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CE3364"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60326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60326B">
              <w:rPr>
                <w:rFonts w:ascii="Tahoma" w:hAnsi="Tahoma" w:cs="Tahoma"/>
                <w:b/>
                <w:bCs/>
                <w:iCs/>
                <w:color w:val="243285"/>
                <w:sz w:val="36"/>
                <w:szCs w:val="36"/>
                <w:lang w:val="es-ES_tradnl"/>
              </w:rPr>
              <w:t>1848-1</w:t>
            </w:r>
          </w:p>
          <w:p w:rsidR="00227CED" w:rsidRPr="0010336F" w:rsidRDefault="00227CED" w:rsidP="00AC626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C6266">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60326B">
              <w:rPr>
                <w:rFonts w:ascii="Tahoma" w:hAnsi="Tahoma" w:cs="Tahoma"/>
                <w:b/>
                <w:bCs/>
                <w:iCs/>
                <w:color w:val="243285"/>
                <w:szCs w:val="24"/>
                <w:lang w:val="es-ES_tradnl"/>
              </w:rPr>
              <w:t>201</w:t>
            </w:r>
            <w:r w:rsidR="00AC6266">
              <w:rPr>
                <w:rFonts w:ascii="Tahoma" w:hAnsi="Tahoma" w:cs="Tahoma"/>
                <w:b/>
                <w:bCs/>
                <w:iCs/>
                <w:color w:val="243285"/>
                <w:szCs w:val="24"/>
                <w:lang w:val="es-ES_tradnl"/>
              </w:rPr>
              <w:t>5</w:t>
            </w:r>
            <w:r w:rsidRPr="0010336F">
              <w:rPr>
                <w:rFonts w:ascii="Tahoma" w:hAnsi="Tahoma" w:cs="Tahoma"/>
                <w:b/>
                <w:bCs/>
                <w:iCs/>
                <w:color w:val="243285"/>
                <w:szCs w:val="24"/>
                <w:lang w:val="es-ES_tradnl"/>
              </w:rPr>
              <w:t>)</w:t>
            </w:r>
          </w:p>
        </w:tc>
      </w:tr>
      <w:tr w:rsidR="00227CED" w:rsidRPr="00CE336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CE3364" w:rsidP="00CE3364">
            <w:pPr>
              <w:spacing w:before="80" w:line="500" w:lineRule="exact"/>
              <w:jc w:val="right"/>
              <w:rPr>
                <w:rFonts w:ascii="Tahoma" w:hAnsi="Tahoma" w:cs="Tahoma"/>
                <w:b/>
                <w:bCs/>
                <w:color w:val="243285"/>
                <w:sz w:val="44"/>
                <w:szCs w:val="44"/>
                <w:lang w:val="es-ES_tradnl"/>
              </w:rPr>
            </w:pPr>
            <w:r w:rsidRPr="00CE3364">
              <w:rPr>
                <w:rFonts w:ascii="Tahoma" w:hAnsi="Tahoma" w:cs="Tahoma"/>
                <w:b/>
                <w:bCs/>
                <w:color w:val="243285"/>
                <w:sz w:val="44"/>
                <w:szCs w:val="44"/>
                <w:lang w:val="es-ES_tradnl"/>
              </w:rPr>
              <w:t>Zonas de seguridad de las producciones digitales</w:t>
            </w:r>
            <w:r>
              <w:rPr>
                <w:rFonts w:ascii="Tahoma" w:hAnsi="Tahoma" w:cs="Tahoma"/>
                <w:b/>
                <w:bCs/>
                <w:color w:val="243285"/>
                <w:sz w:val="44"/>
                <w:szCs w:val="44"/>
                <w:lang w:val="es-ES_tradnl"/>
              </w:rPr>
              <w:t xml:space="preserve"> </w:t>
            </w:r>
            <w:r w:rsidRPr="00CE3364">
              <w:rPr>
                <w:rFonts w:ascii="Tahoma" w:hAnsi="Tahoma" w:cs="Tahoma"/>
                <w:b/>
                <w:bCs/>
                <w:color w:val="243285"/>
                <w:sz w:val="44"/>
                <w:szCs w:val="44"/>
                <w:lang w:val="es-ES_tradnl"/>
              </w:rPr>
              <w:t xml:space="preserve">para pantalla grande </w:t>
            </w:r>
            <w:r>
              <w:rPr>
                <w:rFonts w:ascii="Tahoma" w:hAnsi="Tahoma" w:cs="Tahoma"/>
                <w:b/>
                <w:bCs/>
                <w:color w:val="243285"/>
                <w:sz w:val="44"/>
                <w:szCs w:val="44"/>
                <w:lang w:val="es-ES_tradnl"/>
              </w:rPr>
              <w:br/>
            </w:r>
            <w:r w:rsidRPr="00CE3364">
              <w:rPr>
                <w:rFonts w:ascii="Tahoma" w:hAnsi="Tahoma" w:cs="Tahoma"/>
                <w:b/>
                <w:bCs/>
                <w:color w:val="243285"/>
                <w:sz w:val="44"/>
                <w:szCs w:val="44"/>
                <w:lang w:val="es-ES_tradnl"/>
              </w:rPr>
              <w:t>con formato 16:9</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CE3364"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CE3364"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CE3364"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CE3364"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CE3364"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CE336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CE336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CE3364"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CE3364"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CE3364" w:rsidRDefault="00CE3364" w:rsidP="00CE3364">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1848-1</w:t>
      </w:r>
    </w:p>
    <w:p w:rsidR="00CE3364" w:rsidRPr="002D7E91" w:rsidRDefault="00CE3364" w:rsidP="00CE3364">
      <w:pPr>
        <w:pStyle w:val="Rectitle"/>
        <w:rPr>
          <w:lang w:val="es-ES_tradnl"/>
        </w:rPr>
      </w:pPr>
      <w:r w:rsidRPr="002D7E91">
        <w:rPr>
          <w:lang w:val="es-ES_tradnl"/>
        </w:rPr>
        <w:t>Zonas de seguridad</w:t>
      </w:r>
      <w:r w:rsidRPr="002D7E91">
        <w:rPr>
          <w:rStyle w:val="FootnoteReference"/>
          <w:lang w:val="es-ES_tradnl"/>
        </w:rPr>
        <w:footnoteReference w:customMarkFollows="1" w:id="1"/>
        <w:t>*</w:t>
      </w:r>
      <w:r w:rsidRPr="002D7E91">
        <w:rPr>
          <w:lang w:val="es-ES_tradnl"/>
        </w:rPr>
        <w:t xml:space="preserve"> de las producciones digitales </w:t>
      </w:r>
      <w:r w:rsidRPr="002D7E91">
        <w:rPr>
          <w:lang w:val="es-ES_tradnl"/>
        </w:rPr>
        <w:br/>
        <w:t>para pantalla grande con formato 16:9</w:t>
      </w:r>
    </w:p>
    <w:p w:rsidR="00CE3364" w:rsidRPr="002D7E91" w:rsidRDefault="00CE3364" w:rsidP="00CE3364">
      <w:pPr>
        <w:pStyle w:val="Recdate"/>
        <w:rPr>
          <w:lang w:val="es-ES_tradnl"/>
        </w:rPr>
      </w:pPr>
      <w:r w:rsidRPr="002D7E91">
        <w:rPr>
          <w:lang w:val="es-ES_tradnl"/>
        </w:rPr>
        <w:t>(2008-2015)</w:t>
      </w:r>
    </w:p>
    <w:p w:rsidR="00CE3364" w:rsidRPr="002D7E91" w:rsidRDefault="00CE3364" w:rsidP="00CE3364">
      <w:pPr>
        <w:pStyle w:val="HeadingSum"/>
      </w:pPr>
      <w:r w:rsidRPr="002D7E91">
        <w:t>Cometido</w:t>
      </w:r>
    </w:p>
    <w:p w:rsidR="00CE3364" w:rsidRPr="002D7E91" w:rsidRDefault="00CE3364" w:rsidP="00CE3364">
      <w:pPr>
        <w:pStyle w:val="Summary"/>
      </w:pPr>
      <w:r w:rsidRPr="002D7E91">
        <w:t>Esta Recomendación presenta directrices de las zonas de seguridad para los formatos de 625 líneas, 720 líneas y 1 080 líneas, 2 160 líneas y 4 320 líneas de las producciones para pantalla grande con formato 16:9.</w:t>
      </w:r>
    </w:p>
    <w:p w:rsidR="00CE3364" w:rsidRPr="002D7E91" w:rsidRDefault="00CE3364" w:rsidP="00CE3364">
      <w:pPr>
        <w:pStyle w:val="Normalaftertitle"/>
        <w:rPr>
          <w:lang w:val="es-ES_tradnl"/>
        </w:rPr>
      </w:pPr>
      <w:r w:rsidRPr="002D7E91">
        <w:rPr>
          <w:lang w:val="es-ES_tradnl"/>
        </w:rPr>
        <w:t>La Asamblea de Radiocomunicaciones de la UIT,</w:t>
      </w:r>
    </w:p>
    <w:p w:rsidR="00CE3364" w:rsidRPr="002D7E91" w:rsidRDefault="00CE3364" w:rsidP="00CE3364">
      <w:pPr>
        <w:pStyle w:val="Call"/>
        <w:rPr>
          <w:lang w:val="es-ES_tradnl"/>
        </w:rPr>
      </w:pPr>
      <w:r w:rsidRPr="002D7E91">
        <w:rPr>
          <w:lang w:val="es-ES_tradnl"/>
        </w:rPr>
        <w:t>considerando</w:t>
      </w:r>
    </w:p>
    <w:p w:rsidR="00CE3364" w:rsidRPr="002D7E91" w:rsidRDefault="00CE3364" w:rsidP="00CE3364">
      <w:pPr>
        <w:rPr>
          <w:lang w:val="es-ES_tradnl"/>
        </w:rPr>
      </w:pPr>
      <w:r w:rsidRPr="002D7E91">
        <w:rPr>
          <w:i/>
          <w:iCs/>
          <w:lang w:val="es-ES_tradnl"/>
        </w:rPr>
        <w:t>a)</w:t>
      </w:r>
      <w:r w:rsidRPr="002D7E91">
        <w:rPr>
          <w:lang w:val="es-ES_tradnl"/>
        </w:rPr>
        <w:tab/>
        <w:t>que la Recomendación UIT</w:t>
      </w:r>
      <w:r w:rsidRPr="002D7E91">
        <w:rPr>
          <w:lang w:val="es-ES_tradnl"/>
        </w:rPr>
        <w:noBreakHyphen/>
        <w:t>R BT.1379</w:t>
      </w:r>
      <w:r w:rsidRPr="002D7E91">
        <w:rPr>
          <w:lang w:val="es-ES_tradnl"/>
        </w:rPr>
        <w:noBreakHyphen/>
        <w:t>2 – Zonas de seguridad de las producciones para pantalla grande con formato 16:9 y pantalla normal con formato 4:3 a fin de conseguir un formato común durante el periodo de transición hacia la radiodifusión para pantalla grande de 16:9, ya existe;</w:t>
      </w:r>
    </w:p>
    <w:p w:rsidR="00CE3364" w:rsidRPr="002D7E91" w:rsidRDefault="00CE3364" w:rsidP="00CE3364">
      <w:pPr>
        <w:rPr>
          <w:lang w:val="es-ES_tradnl"/>
        </w:rPr>
      </w:pPr>
      <w:r w:rsidRPr="002D7E91">
        <w:rPr>
          <w:i/>
          <w:iCs/>
          <w:lang w:val="es-ES_tradnl"/>
        </w:rPr>
        <w:t>b)</w:t>
      </w:r>
      <w:r w:rsidRPr="002D7E91">
        <w:rPr>
          <w:lang w:val="es-ES_tradnl"/>
        </w:rPr>
        <w:tab/>
        <w:t>que la utilización de una cadena con formato 16:9 para la transmisión de un programa en 4:3 ha impulsado la introducción de los nuevos equipos 16:9;</w:t>
      </w:r>
    </w:p>
    <w:p w:rsidR="00CE3364" w:rsidRPr="002D7E91" w:rsidRDefault="00CE3364" w:rsidP="00CE3364">
      <w:pPr>
        <w:rPr>
          <w:lang w:val="es-ES_tradnl"/>
        </w:rPr>
      </w:pPr>
      <w:r w:rsidRPr="002D7E91">
        <w:rPr>
          <w:i/>
          <w:iCs/>
          <w:lang w:val="es-ES_tradnl"/>
        </w:rPr>
        <w:t>c)</w:t>
      </w:r>
      <w:r w:rsidRPr="002D7E91">
        <w:rPr>
          <w:lang w:val="es-ES_tradnl"/>
        </w:rPr>
        <w:tab/>
        <w:t xml:space="preserve">que la posibilidad de utilizar un </w:t>
      </w:r>
      <w:r w:rsidRPr="002D7E91">
        <w:rPr>
          <w:szCs w:val="24"/>
          <w:lang w:val="es-ES_tradnl"/>
        </w:rPr>
        <w:t>solo</w:t>
      </w:r>
      <w:r w:rsidRPr="002D7E91">
        <w:rPr>
          <w:lang w:val="es-ES_tradnl"/>
        </w:rPr>
        <w:t xml:space="preserve"> modelo de programa para la transmisión simultánea de servicios digitales 16:9 y 4:3 de contenido de relación de aspecto ha incentivado la transición hacia la radiodifusión 16:9;</w:t>
      </w:r>
    </w:p>
    <w:p w:rsidR="00CE3364" w:rsidRPr="002D7E91" w:rsidRDefault="00CE3364" w:rsidP="00CE3364">
      <w:pPr>
        <w:rPr>
          <w:lang w:val="es-ES_tradnl"/>
        </w:rPr>
      </w:pPr>
      <w:r w:rsidRPr="002D7E91">
        <w:rPr>
          <w:i/>
          <w:iCs/>
          <w:lang w:val="es-ES_tradnl"/>
        </w:rPr>
        <w:t>d)</w:t>
      </w:r>
      <w:r w:rsidRPr="002D7E91">
        <w:rPr>
          <w:lang w:val="es-ES_tradnl"/>
        </w:rPr>
        <w:tab/>
        <w:t>que la utilización de las cadenas de vídeo digital con formato 16:9 de componentes proporcionará una calidad de imagen óptima a los espectadores que vean servicios con formato 16:9;</w:t>
      </w:r>
    </w:p>
    <w:p w:rsidR="00CE3364" w:rsidRPr="002D7E91" w:rsidRDefault="00CE3364" w:rsidP="00CE3364">
      <w:pPr>
        <w:rPr>
          <w:lang w:val="es-ES_tradnl"/>
        </w:rPr>
      </w:pPr>
      <w:r w:rsidRPr="002D7E91">
        <w:rPr>
          <w:i/>
          <w:iCs/>
          <w:lang w:val="es-ES_tradnl"/>
        </w:rPr>
        <w:t>e)</w:t>
      </w:r>
      <w:r w:rsidRPr="002D7E91">
        <w:rPr>
          <w:lang w:val="es-ES_tradnl"/>
        </w:rPr>
        <w:tab/>
        <w:t>que la introducción de los formatos de pantalla grande han incluido 4 320 líneas, 2 160 líneas, 1 080 líneas y 720 líneas, así como una resolución menor;</w:t>
      </w:r>
    </w:p>
    <w:p w:rsidR="00CE3364" w:rsidRPr="002D7E91" w:rsidRDefault="00CE3364" w:rsidP="00CE3364">
      <w:pPr>
        <w:rPr>
          <w:lang w:val="es-ES_tradnl"/>
        </w:rPr>
      </w:pPr>
      <w:r w:rsidRPr="002D7E91">
        <w:rPr>
          <w:i/>
          <w:iCs/>
          <w:lang w:val="es-ES_tradnl"/>
        </w:rPr>
        <w:t>f)</w:t>
      </w:r>
      <w:r w:rsidRPr="002D7E91">
        <w:rPr>
          <w:lang w:val="es-ES_tradnl"/>
        </w:rPr>
        <w:tab/>
        <w:t>que la tecnología digital en las cámaras, distribución y pantallas hace posible mantener el formato capturado originalmente a lo largo de toda la cadena de radiodifusión;</w:t>
      </w:r>
    </w:p>
    <w:p w:rsidR="00CE3364" w:rsidRPr="002D7E91" w:rsidRDefault="00CE3364" w:rsidP="00CE3364">
      <w:pPr>
        <w:rPr>
          <w:lang w:val="es-ES_tradnl"/>
        </w:rPr>
      </w:pPr>
      <w:r w:rsidRPr="002D7E91">
        <w:rPr>
          <w:i/>
          <w:iCs/>
          <w:lang w:val="es-ES_tradnl"/>
        </w:rPr>
        <w:t>g)</w:t>
      </w:r>
      <w:r w:rsidRPr="002D7E91">
        <w:rPr>
          <w:lang w:val="es-ES_tradnl"/>
        </w:rPr>
        <w:tab/>
        <w:t>que la sobreexploración de la pantalla es innecesaria e inconveniente para la televisión digital;</w:t>
      </w:r>
    </w:p>
    <w:p w:rsidR="00CE3364" w:rsidRPr="002D7E91" w:rsidRDefault="00CE3364" w:rsidP="00CE3364">
      <w:pPr>
        <w:rPr>
          <w:lang w:val="es-ES_tradnl"/>
        </w:rPr>
      </w:pPr>
      <w:r w:rsidRPr="002D7E91">
        <w:rPr>
          <w:i/>
          <w:iCs/>
          <w:lang w:val="es-ES_tradnl"/>
        </w:rPr>
        <w:t>h)</w:t>
      </w:r>
      <w:r w:rsidRPr="002D7E91">
        <w:rPr>
          <w:lang w:val="es-ES_tradnl"/>
        </w:rPr>
        <w:tab/>
        <w:t>que actualmente los usuarios ven los programas de televisión en muchos dispositivos que utilizan normalmente pantallas sin sobreexploración,</w:t>
      </w:r>
    </w:p>
    <w:p w:rsidR="00CE3364" w:rsidRPr="002D7E91" w:rsidRDefault="00CE3364" w:rsidP="00CE3364">
      <w:pPr>
        <w:pStyle w:val="Call"/>
        <w:rPr>
          <w:lang w:val="es-ES_tradnl"/>
        </w:rPr>
      </w:pPr>
      <w:r w:rsidRPr="002D7E91">
        <w:rPr>
          <w:lang w:val="es-ES_tradnl"/>
        </w:rPr>
        <w:t>recomienda</w:t>
      </w:r>
    </w:p>
    <w:p w:rsidR="00CE3364" w:rsidRPr="002D7E91" w:rsidRDefault="00CE3364" w:rsidP="00CE3364">
      <w:pPr>
        <w:rPr>
          <w:lang w:val="es-ES_tradnl"/>
        </w:rPr>
      </w:pPr>
      <w:r w:rsidRPr="002D7E91">
        <w:rPr>
          <w:b/>
          <w:lang w:val="es-ES_tradnl"/>
        </w:rPr>
        <w:t>1</w:t>
      </w:r>
      <w:r w:rsidRPr="002D7E91">
        <w:rPr>
          <w:b/>
          <w:lang w:val="es-ES_tradnl"/>
        </w:rPr>
        <w:tab/>
      </w:r>
      <w:r w:rsidRPr="002D7E91">
        <w:rPr>
          <w:lang w:val="es-ES_tradnl"/>
        </w:rPr>
        <w:t>que en el caso de programas destinados a la transmisión de 625 líneas, se tengan en cuenta las directrices para las zonas de seguridad indicadas en el Anexo 1;</w:t>
      </w:r>
    </w:p>
    <w:p w:rsidR="00CE3364" w:rsidRPr="002D7E91" w:rsidRDefault="00CE3364" w:rsidP="00CE3364">
      <w:pPr>
        <w:rPr>
          <w:lang w:val="es-ES_tradnl"/>
        </w:rPr>
      </w:pPr>
      <w:r w:rsidRPr="002D7E91">
        <w:rPr>
          <w:b/>
          <w:lang w:val="es-ES_tradnl"/>
        </w:rPr>
        <w:t>2</w:t>
      </w:r>
      <w:r w:rsidRPr="002D7E91">
        <w:rPr>
          <w:b/>
          <w:lang w:val="es-ES_tradnl"/>
        </w:rPr>
        <w:tab/>
      </w:r>
      <w:r w:rsidRPr="002D7E91">
        <w:rPr>
          <w:lang w:val="es-ES_tradnl"/>
        </w:rPr>
        <w:t>que en el caso de programas destinados a la transmisión de 720 líneas, se tengan en cuenta las directrices para las zonas de seguridad indicadas en el Anexo 2;</w:t>
      </w:r>
    </w:p>
    <w:p w:rsidR="00CE3364" w:rsidRPr="002D7E91" w:rsidRDefault="00CE3364" w:rsidP="00CE3364">
      <w:pPr>
        <w:rPr>
          <w:lang w:val="es-ES_tradnl"/>
        </w:rPr>
      </w:pPr>
      <w:r w:rsidRPr="002D7E91">
        <w:rPr>
          <w:b/>
          <w:lang w:val="es-ES_tradnl"/>
        </w:rPr>
        <w:lastRenderedPageBreak/>
        <w:t>3</w:t>
      </w:r>
      <w:r w:rsidRPr="002D7E91">
        <w:rPr>
          <w:b/>
          <w:lang w:val="es-ES_tradnl"/>
        </w:rPr>
        <w:tab/>
      </w:r>
      <w:r w:rsidRPr="002D7E91">
        <w:rPr>
          <w:lang w:val="es-ES_tradnl"/>
        </w:rPr>
        <w:t>que en el caso de programas destinados a la transmisión de 1 080 líneas, se tengan en cuenta las directrices para las zonas de seguridad indicadas en el Anexo 3;</w:t>
      </w:r>
    </w:p>
    <w:p w:rsidR="00CE3364" w:rsidRPr="002D7E91" w:rsidRDefault="00CE3364" w:rsidP="00CE3364">
      <w:pPr>
        <w:rPr>
          <w:lang w:val="es-ES_tradnl"/>
        </w:rPr>
      </w:pPr>
      <w:r w:rsidRPr="002D7E91">
        <w:rPr>
          <w:b/>
          <w:bCs/>
          <w:lang w:val="es-ES_tradnl"/>
        </w:rPr>
        <w:t>4</w:t>
      </w:r>
      <w:r w:rsidRPr="002D7E91">
        <w:rPr>
          <w:lang w:val="es-ES_tradnl"/>
        </w:rPr>
        <w:tab/>
        <w:t>que en el caso de programas destinados a la transmisión de 2 160 líneas, se tengan en cuenta las directrices para las zonas de seguridad indicadas en el Anexo 4;</w:t>
      </w:r>
    </w:p>
    <w:p w:rsidR="00CE3364" w:rsidRPr="002D7E91" w:rsidRDefault="00CE3364" w:rsidP="00CE3364">
      <w:pPr>
        <w:rPr>
          <w:lang w:val="es-ES_tradnl"/>
        </w:rPr>
      </w:pPr>
      <w:r w:rsidRPr="002D7E91">
        <w:rPr>
          <w:b/>
          <w:bCs/>
          <w:lang w:val="es-ES_tradnl"/>
        </w:rPr>
        <w:t>5</w:t>
      </w:r>
      <w:r w:rsidRPr="002D7E91">
        <w:rPr>
          <w:lang w:val="es-ES_tradnl"/>
        </w:rPr>
        <w:tab/>
        <w:t>que en el caso de programas destinados a la transmisión de 4 320 líneas, se tengan en cuenta las directrices para las zonas de seguridad indicadas en el Anexo 5,</w:t>
      </w:r>
    </w:p>
    <w:p w:rsidR="00CE3364" w:rsidRPr="002D7E91" w:rsidRDefault="00CE3364" w:rsidP="00CE3364">
      <w:pPr>
        <w:pStyle w:val="Call"/>
        <w:rPr>
          <w:lang w:val="es-ES_tradnl"/>
        </w:rPr>
      </w:pPr>
      <w:r w:rsidRPr="002D7E91">
        <w:rPr>
          <w:lang w:val="es-ES_tradnl"/>
        </w:rPr>
        <w:t>recomienda también</w:t>
      </w:r>
    </w:p>
    <w:p w:rsidR="00CE3364" w:rsidRPr="002D7E91" w:rsidRDefault="00CE3364" w:rsidP="00CE3364">
      <w:pPr>
        <w:rPr>
          <w:lang w:val="es-ES_tradnl"/>
        </w:rPr>
      </w:pPr>
      <w:r w:rsidRPr="002D7E91">
        <w:rPr>
          <w:b/>
          <w:lang w:val="es-ES_tradnl"/>
        </w:rPr>
        <w:t>1</w:t>
      </w:r>
      <w:r w:rsidRPr="002D7E91">
        <w:rPr>
          <w:b/>
          <w:lang w:val="es-ES_tradnl"/>
        </w:rPr>
        <w:tab/>
      </w:r>
      <w:r w:rsidRPr="002D7E91">
        <w:rPr>
          <w:lang w:val="es-ES_tradnl"/>
        </w:rPr>
        <w:t>que se encarezca a los fabricantes de pantallas de televisión doméstica a fabricar pantallas sin sobreexploración para que todos los espectadores puedan apreciar la imagen completa aprobada por el productor del programa;</w:t>
      </w:r>
    </w:p>
    <w:p w:rsidR="00CE3364" w:rsidRPr="002D7E91" w:rsidRDefault="00CE3364" w:rsidP="00CE3364">
      <w:pPr>
        <w:rPr>
          <w:lang w:val="es-ES_tradnl"/>
        </w:rPr>
      </w:pPr>
      <w:r w:rsidRPr="002D7E91">
        <w:rPr>
          <w:b/>
          <w:lang w:val="es-ES_tradnl"/>
        </w:rPr>
        <w:t>2</w:t>
      </w:r>
      <w:r w:rsidRPr="002D7E91">
        <w:rPr>
          <w:b/>
          <w:lang w:val="es-ES_tradnl"/>
        </w:rPr>
        <w:tab/>
      </w:r>
      <w:r w:rsidRPr="002D7E91">
        <w:rPr>
          <w:lang w:val="es-ES_tradnl"/>
        </w:rPr>
        <w:t>que, cuando se disponga de ella, se utilice preferiblemente una cadena de producción electrónica de componentes totalmente con formato 16:9.</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nnexNoTitle"/>
        <w:rPr>
          <w:lang w:val="es-ES_tradnl"/>
        </w:rPr>
      </w:pPr>
      <w:r w:rsidRPr="002D7E91">
        <w:rPr>
          <w:lang w:val="es-ES_tradnl"/>
        </w:rPr>
        <w:t>Anexo 1</w:t>
      </w:r>
      <w:r w:rsidRPr="002D7E91">
        <w:rPr>
          <w:lang w:val="es-ES_tradnl"/>
        </w:rPr>
        <w:br/>
      </w:r>
      <w:r w:rsidRPr="002D7E91">
        <w:rPr>
          <w:lang w:val="es-ES_tradnl"/>
        </w:rPr>
        <w:br/>
        <w:t>Zonas de seguridad para programas de televisión para pantalla grande</w:t>
      </w:r>
      <w:r w:rsidRPr="002D7E91">
        <w:rPr>
          <w:lang w:val="es-ES_tradnl"/>
        </w:rPr>
        <w:br/>
        <w:t>destinados a la transmisión de 625 líneas</w:t>
      </w:r>
    </w:p>
    <w:p w:rsidR="00CE3364" w:rsidRPr="002D7E91" w:rsidRDefault="00CE3364" w:rsidP="00CE3364">
      <w:pPr>
        <w:pStyle w:val="Normalaftertitle"/>
        <w:rPr>
          <w:lang w:val="es-ES_tradnl"/>
        </w:rPr>
      </w:pPr>
      <w:r w:rsidRPr="002D7E91">
        <w:rPr>
          <w:lang w:val="es-ES_tradnl"/>
        </w:rPr>
        <w:t>Estas directrices están dirigidas a todos los que intervienen en cualquier etapa del proceso de realización de programas y a los fabricantes de equipos de producción para programas destinados a la radiodifusión utilizando sistemas de transmisión de 625 líneas.</w:t>
      </w:r>
    </w:p>
    <w:p w:rsidR="00CE3364" w:rsidRPr="002D7E91" w:rsidRDefault="00CE3364" w:rsidP="00CE3364">
      <w:pPr>
        <w:rPr>
          <w:lang w:val="es-ES_tradnl"/>
        </w:rPr>
      </w:pPr>
      <w:r w:rsidRPr="002D7E91">
        <w:rPr>
          <w:lang w:val="es-ES_tradnl"/>
        </w:rPr>
        <w:t>Todas las zonas de seguridad se han especificado bajo la hipótesis de que la sobreexploración de las modernas pantallas de los receptores domésticos de televisión normalmente se encontrará en la gama de 7,0 </w:t>
      </w:r>
      <w:r w:rsidRPr="002D7E91">
        <w:rPr>
          <w:rFonts w:ascii="Symbol" w:hAnsi="Symbol"/>
          <w:lang w:val="es-ES_tradnl"/>
        </w:rPr>
        <w:t></w:t>
      </w:r>
      <w:r w:rsidRPr="002D7E91">
        <w:rPr>
          <w:lang w:val="es-ES_tradnl"/>
        </w:rPr>
        <w:t> 1% de la anchura o altura de toda la imagen. Pero para el borde de cualquier imagen, la sobreexploración no debe rebasar el 4% de la anchura o altura total de la imagen.</w:t>
      </w:r>
    </w:p>
    <w:p w:rsidR="00CE3364" w:rsidRDefault="00CE3364" w:rsidP="00CE3364">
      <w:pPr>
        <w:rPr>
          <w:lang w:val="es-ES_tradnl"/>
        </w:rPr>
      </w:pPr>
    </w:p>
    <w:p w:rsidR="00346350" w:rsidRPr="002D7E91" w:rsidRDefault="00346350" w:rsidP="00CE3364">
      <w:pPr>
        <w:rPr>
          <w:lang w:val="es-ES_tradnl"/>
        </w:rPr>
      </w:pPr>
    </w:p>
    <w:p w:rsidR="00CE3364" w:rsidRPr="002D7E91" w:rsidRDefault="00CE3364" w:rsidP="00CE3364">
      <w:pPr>
        <w:pStyle w:val="AppendixNoTitle"/>
        <w:rPr>
          <w:lang w:val="es-ES_tradnl"/>
        </w:rPr>
      </w:pPr>
      <w:r w:rsidRPr="002D7E91">
        <w:rPr>
          <w:lang w:val="es-ES_tradnl"/>
        </w:rPr>
        <w:t>Apéndice 1</w:t>
      </w:r>
      <w:r w:rsidRPr="002D7E91">
        <w:rPr>
          <w:lang w:val="es-ES_tradnl"/>
        </w:rPr>
        <w:br/>
        <w:t>del Anexo 1</w:t>
      </w:r>
      <w:r w:rsidRPr="002D7E91">
        <w:rPr>
          <w:lang w:val="es-ES_tradnl"/>
        </w:rPr>
        <w:br/>
      </w:r>
      <w:r w:rsidRPr="002D7E91">
        <w:rPr>
          <w:lang w:val="es-ES_tradnl"/>
        </w:rPr>
        <w:br/>
        <w:t>Zonas de seguridad para programas de televisión realizados con exploración</w:t>
      </w:r>
      <w:r w:rsidRPr="002D7E91">
        <w:rPr>
          <w:lang w:val="es-ES_tradnl"/>
        </w:rPr>
        <w:br/>
        <w:t>entrelazada de 625 líneas y formato de pantalla grande 16:9:</w:t>
      </w:r>
      <w:r w:rsidRPr="002D7E91">
        <w:rPr>
          <w:lang w:val="es-ES_tradnl"/>
        </w:rPr>
        <w:br/>
        <w:t>recorte de la imagen completa de 16:9</w:t>
      </w:r>
    </w:p>
    <w:p w:rsidR="00CE3364" w:rsidRPr="002D7E91" w:rsidRDefault="00CE3364" w:rsidP="00CE3364">
      <w:pPr>
        <w:pStyle w:val="Normalaftertitle"/>
        <w:rPr>
          <w:lang w:val="es-ES_tradnl"/>
        </w:rPr>
      </w:pPr>
      <w:r w:rsidRPr="002D7E91">
        <w:rPr>
          <w:lang w:val="es-ES_tradnl"/>
        </w:rPr>
        <w:t>El Cuadro 1 muestra la forma de definir las zonas de acción y gráficos para proteger la imagen completa en pantalla grande 16:9.</w:t>
      </w:r>
    </w:p>
    <w:p w:rsidR="00CE3364" w:rsidRPr="002D7E91" w:rsidRDefault="00CE3364" w:rsidP="00CE3364">
      <w:pPr>
        <w:pStyle w:val="TableNo"/>
        <w:rPr>
          <w:lang w:val="es-ES_tradnl"/>
        </w:rPr>
      </w:pPr>
      <w:r w:rsidRPr="002D7E91">
        <w:rPr>
          <w:lang w:val="es-ES_tradnl"/>
        </w:rPr>
        <w:lastRenderedPageBreak/>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2"/>
        <w:gridCol w:w="2160"/>
        <w:gridCol w:w="2160"/>
      </w:tblGrid>
      <w:tr w:rsidR="00CE3364" w:rsidRPr="002D7E91" w:rsidTr="00D0158C">
        <w:trPr>
          <w:jc w:val="center"/>
        </w:trPr>
        <w:tc>
          <w:tcPr>
            <w:tcW w:w="3762" w:type="dxa"/>
            <w:tcBorders>
              <w:top w:val="nil"/>
              <w:left w:val="nil"/>
            </w:tcBorders>
          </w:tcPr>
          <w:p w:rsidR="00CE3364" w:rsidRPr="002D7E91" w:rsidRDefault="00CE3364" w:rsidP="00D0158C">
            <w:pPr>
              <w:pStyle w:val="Tablehead"/>
              <w:rPr>
                <w:lang w:val="es-ES_tradnl"/>
              </w:rPr>
            </w:pPr>
          </w:p>
        </w:tc>
        <w:tc>
          <w:tcPr>
            <w:tcW w:w="2160" w:type="dxa"/>
          </w:tcPr>
          <w:p w:rsidR="00CE3364" w:rsidRPr="002D7E91" w:rsidRDefault="00CE3364" w:rsidP="00D0158C">
            <w:pPr>
              <w:pStyle w:val="Tablehead"/>
              <w:rPr>
                <w:lang w:val="es-ES_tradnl"/>
              </w:rPr>
            </w:pPr>
            <w:r w:rsidRPr="002D7E91">
              <w:rPr>
                <w:lang w:val="es-ES_tradnl"/>
              </w:rPr>
              <w:t>Vertical</w:t>
            </w:r>
          </w:p>
        </w:tc>
        <w:tc>
          <w:tcPr>
            <w:tcW w:w="2160"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762" w:type="dxa"/>
          </w:tcPr>
          <w:p w:rsidR="00CE3364" w:rsidRPr="002D7E91" w:rsidRDefault="00CE3364" w:rsidP="00D0158C">
            <w:pPr>
              <w:pStyle w:val="Tabletext"/>
              <w:rPr>
                <w:lang w:val="es-ES_tradnl"/>
              </w:rPr>
            </w:pPr>
            <w:r w:rsidRPr="002D7E91">
              <w:rPr>
                <w:lang w:val="es-ES_tradnl"/>
              </w:rPr>
              <w:t>Margen seguro de la acción (%)</w:t>
            </w:r>
            <w:r w:rsidRPr="002D7E91">
              <w:rPr>
                <w:vertAlign w:val="superscript"/>
                <w:lang w:val="es-ES_tradnl"/>
              </w:rPr>
              <w:t>(1), (2)</w:t>
            </w:r>
          </w:p>
        </w:tc>
        <w:tc>
          <w:tcPr>
            <w:tcW w:w="2160" w:type="dxa"/>
          </w:tcPr>
          <w:p w:rsidR="00CE3364" w:rsidRPr="002D7E91" w:rsidRDefault="00CE3364" w:rsidP="00D0158C">
            <w:pPr>
              <w:pStyle w:val="Tabletext"/>
              <w:jc w:val="center"/>
              <w:rPr>
                <w:lang w:val="es-ES_tradnl"/>
              </w:rPr>
            </w:pPr>
            <w:r w:rsidRPr="002D7E91">
              <w:rPr>
                <w:lang w:val="es-ES_tradnl"/>
              </w:rPr>
              <w:t>3,5</w:t>
            </w:r>
          </w:p>
        </w:tc>
        <w:tc>
          <w:tcPr>
            <w:tcW w:w="2160"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762" w:type="dxa"/>
            <w:tcBorders>
              <w:bottom w:val="single" w:sz="4" w:space="0" w:color="auto"/>
            </w:tcBorders>
          </w:tcPr>
          <w:p w:rsidR="00CE3364" w:rsidRPr="002D7E91" w:rsidRDefault="00CE3364" w:rsidP="00D0158C">
            <w:pPr>
              <w:pStyle w:val="Tabletext"/>
              <w:rPr>
                <w:lang w:val="es-ES_tradnl"/>
              </w:rPr>
            </w:pPr>
            <w:r w:rsidRPr="002D7E91">
              <w:rPr>
                <w:lang w:val="es-ES_tradnl"/>
              </w:rPr>
              <w:t>Margen seguro de los gráficos (%)</w:t>
            </w:r>
            <w:r w:rsidRPr="002D7E91">
              <w:rPr>
                <w:vertAlign w:val="superscript"/>
                <w:lang w:val="es-ES_tradnl"/>
              </w:rPr>
              <w:t>(1), (3)</w:t>
            </w:r>
          </w:p>
        </w:tc>
        <w:tc>
          <w:tcPr>
            <w:tcW w:w="2160" w:type="dxa"/>
            <w:tcBorders>
              <w:bottom w:val="single" w:sz="4" w:space="0" w:color="auto"/>
            </w:tcBorders>
          </w:tcPr>
          <w:p w:rsidR="00CE3364" w:rsidRPr="002D7E91" w:rsidRDefault="00CE3364" w:rsidP="00D0158C">
            <w:pPr>
              <w:pStyle w:val="Tabletext"/>
              <w:jc w:val="center"/>
              <w:rPr>
                <w:lang w:val="es-ES_tradnl"/>
              </w:rPr>
            </w:pPr>
            <w:r w:rsidRPr="002D7E91">
              <w:rPr>
                <w:lang w:val="es-ES_tradnl"/>
              </w:rPr>
              <w:t>5</w:t>
            </w:r>
          </w:p>
        </w:tc>
        <w:tc>
          <w:tcPr>
            <w:tcW w:w="2160" w:type="dxa"/>
            <w:tcBorders>
              <w:bottom w:val="single" w:sz="4" w:space="0" w:color="auto"/>
            </w:tcBorders>
          </w:tcPr>
          <w:p w:rsidR="00CE3364" w:rsidRPr="002D7E91" w:rsidRDefault="00CE3364" w:rsidP="00D0158C">
            <w:pPr>
              <w:pStyle w:val="Tabletext"/>
              <w:jc w:val="center"/>
              <w:rPr>
                <w:lang w:val="es-ES_tradnl"/>
              </w:rPr>
            </w:pPr>
            <w:r w:rsidRPr="002D7E91">
              <w:rPr>
                <w:lang w:val="es-ES_tradnl"/>
              </w:rPr>
              <w:t>5</w:t>
            </w:r>
          </w:p>
        </w:tc>
      </w:tr>
      <w:tr w:rsidR="00CE3364" w:rsidRPr="000F0987" w:rsidTr="00D0158C">
        <w:trPr>
          <w:jc w:val="center"/>
        </w:trPr>
        <w:tc>
          <w:tcPr>
            <w:tcW w:w="8082" w:type="dxa"/>
            <w:gridSpan w:val="3"/>
            <w:tcBorders>
              <w:left w:val="nil"/>
              <w:bottom w:val="nil"/>
              <w:right w:val="nil"/>
            </w:tcBorders>
          </w:tcPr>
          <w:p w:rsidR="00CE3364" w:rsidRPr="002D7E91" w:rsidRDefault="00CE3364" w:rsidP="00D0158C">
            <w:pPr>
              <w:pStyle w:val="Tablelegend"/>
              <w:rPr>
                <w:lang w:val="es-ES_tradnl"/>
              </w:rPr>
            </w:pPr>
            <w:r w:rsidRPr="002D7E91">
              <w:rPr>
                <w:vertAlign w:val="superscript"/>
                <w:lang w:val="es-ES_tradnl"/>
              </w:rPr>
              <w:t>(1)</w:t>
            </w:r>
            <w:r w:rsidRPr="002D7E91">
              <w:rPr>
                <w:lang w:val="es-ES_tradnl"/>
              </w:rPr>
              <w:tab/>
              <w:t>Definido en la Recomendación UIT</w:t>
            </w:r>
            <w:r w:rsidRPr="002D7E91">
              <w:rPr>
                <w:lang w:val="es-ES_tradnl"/>
              </w:rPr>
              <w:noBreakHyphen/>
              <w:t>R BT.1379</w:t>
            </w:r>
            <w:r w:rsidRPr="002D7E91">
              <w:rPr>
                <w:lang w:val="es-ES_tradnl"/>
              </w:rPr>
              <w:noBreakHyphen/>
              <w:t>2.</w:t>
            </w:r>
          </w:p>
          <w:p w:rsidR="00CE3364" w:rsidRPr="002D7E91" w:rsidRDefault="00CE3364" w:rsidP="00D0158C">
            <w:pPr>
              <w:pStyle w:val="Tablelegend"/>
              <w:rPr>
                <w:lang w:val="es-ES_tradnl"/>
              </w:rPr>
            </w:pPr>
            <w:r w:rsidRPr="002D7E91">
              <w:rPr>
                <w:vertAlign w:val="superscript"/>
                <w:lang w:val="es-ES_tradnl"/>
              </w:rPr>
              <w:t>(2)</w:t>
            </w:r>
            <w:r w:rsidRPr="002D7E91">
              <w:rPr>
                <w:lang w:val="es-ES_tradnl"/>
              </w:rPr>
              <w:tab/>
              <w:t>El margen seguro de la acción es el 3,5% en las partes superior, inferior y laterales de la imagen original.</w:t>
            </w:r>
          </w:p>
          <w:p w:rsidR="00CE3364" w:rsidRPr="002D7E91" w:rsidRDefault="00CE3364" w:rsidP="00D0158C">
            <w:pPr>
              <w:pStyle w:val="Tablelegend"/>
              <w:rPr>
                <w:lang w:val="es-ES_tradnl"/>
              </w:rPr>
            </w:pPr>
            <w:r w:rsidRPr="002D7E91">
              <w:rPr>
                <w:vertAlign w:val="superscript"/>
                <w:lang w:val="es-ES_tradnl"/>
              </w:rPr>
              <w:t>(3)</w:t>
            </w:r>
            <w:r w:rsidRPr="002D7E91">
              <w:rPr>
                <w:lang w:val="es-ES_tradnl"/>
              </w:rPr>
              <w:tab/>
              <w:t xml:space="preserve">El margen seguro de los gráficos es el 5% en las partes superior, inferior y laterales de la imagen original. </w:t>
            </w:r>
          </w:p>
        </w:tc>
      </w:tr>
    </w:tbl>
    <w:p w:rsidR="00CE3364" w:rsidRPr="002D7E91" w:rsidRDefault="00CE3364" w:rsidP="00CE3364">
      <w:pPr>
        <w:pStyle w:val="Tablefin"/>
        <w:rPr>
          <w:lang w:val="es-ES_tradnl"/>
        </w:rPr>
      </w:pPr>
    </w:p>
    <w:p w:rsidR="00CE3364" w:rsidRPr="002D7E91" w:rsidRDefault="00CE3364" w:rsidP="0060326B">
      <w:pPr>
        <w:pStyle w:val="Normalaftertitle"/>
        <w:rPr>
          <w:lang w:val="es-ES_tradnl"/>
        </w:rPr>
      </w:pPr>
      <w:r w:rsidRPr="002D7E91">
        <w:rPr>
          <w:lang w:val="es-ES_tradnl"/>
        </w:rPr>
        <w:t>La Fig</w:t>
      </w:r>
      <w:r w:rsidR="0060326B">
        <w:rPr>
          <w:lang w:val="es-ES_tradnl"/>
        </w:rPr>
        <w:t>.</w:t>
      </w:r>
      <w:r w:rsidRPr="002D7E91">
        <w:rPr>
          <w:lang w:val="es-ES_tradnl"/>
        </w:rPr>
        <w:t> 1 muestra estas zonas con más detalle.</w:t>
      </w:r>
    </w:p>
    <w:p w:rsidR="00CE3364" w:rsidRPr="002D7E91" w:rsidRDefault="00CE3364" w:rsidP="00CE3364">
      <w:pPr>
        <w:pStyle w:val="FigureNo"/>
        <w:rPr>
          <w:lang w:val="es-ES_tradnl"/>
        </w:rPr>
      </w:pPr>
      <w:r w:rsidRPr="002D7E91">
        <w:rPr>
          <w:lang w:val="es-ES_tradnl"/>
        </w:rPr>
        <w:t>Figura 1</w:t>
      </w:r>
    </w:p>
    <w:p w:rsidR="00CE3364" w:rsidRPr="002D7E91" w:rsidRDefault="00CE3364" w:rsidP="00CE3364">
      <w:pPr>
        <w:pStyle w:val="Figuretitle"/>
        <w:rPr>
          <w:lang w:val="es-ES_tradnl"/>
        </w:rPr>
      </w:pPr>
      <w:r w:rsidRPr="002D7E91">
        <w:rPr>
          <w:lang w:val="es-ES_tradnl"/>
        </w:rPr>
        <w:t>Recorte de 16:9 de la imagen completa 16:9 con exploración entrelazada de 625 líneas</w:t>
      </w:r>
    </w:p>
    <w:p w:rsidR="00CE3364" w:rsidRPr="002D7E91" w:rsidRDefault="00CE3364" w:rsidP="00CE3364">
      <w:pPr>
        <w:pStyle w:val="Blanc"/>
        <w:rPr>
          <w:lang w:val="es-ES_tradnl"/>
        </w:rPr>
      </w:pPr>
    </w:p>
    <w:p w:rsidR="00CE3364" w:rsidRPr="002D7E91" w:rsidRDefault="00CE3364" w:rsidP="00CE3364">
      <w:pPr>
        <w:pStyle w:val="Figure"/>
        <w:rPr>
          <w:lang w:val="es-ES_tradnl"/>
        </w:rPr>
      </w:pPr>
      <w:r w:rsidRPr="002D7E91">
        <w:rPr>
          <w:lang w:val="es-ES_tradnl"/>
        </w:rPr>
        <w:object w:dxaOrig="9231" w:dyaOrig="5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258.55pt" o:ole="" o:allowoverlap="f">
            <v:imagedata r:id="rId14" o:title=""/>
          </v:shape>
          <o:OLEObject Type="Embed" ProgID="CorelDRAW.Graphic.14" ShapeID="_x0000_i1025" DrawAspect="Content" ObjectID="_1587803943" r:id="rId15"/>
        </w:object>
      </w:r>
    </w:p>
    <w:p w:rsidR="00CE3364" w:rsidRPr="002D7E91" w:rsidRDefault="00CE3364" w:rsidP="00CE3364">
      <w:pPr>
        <w:pStyle w:val="Normalaftertitle"/>
        <w:rPr>
          <w:lang w:val="es-ES_tradnl"/>
        </w:rPr>
      </w:pPr>
      <w:r w:rsidRPr="002D7E91">
        <w:rPr>
          <w:lang w:val="es-ES_tradnl"/>
        </w:rPr>
        <w:t>Las definiciones de las zonas de seguridad se expresan en números de líneas y píxeles, que son más precisos que los porcentajes utilizados anteriormente. Sin embargo, se incluyen también los porcentajes porque las comparaciones se han basado en porcentajes. La numeración de las líneas se ha calculado basándose en que el campo 1 está emparejado con la línea del campo 2 que está debajo de aquél, y la línea del campo 1 que está justamente dentro de la casilla del porcentaje se define como el borde de la imagen activa.</w:t>
      </w:r>
    </w:p>
    <w:p w:rsidR="00CE3364" w:rsidRPr="002D7E91" w:rsidRDefault="00CE3364" w:rsidP="00CE3364">
      <w:pPr>
        <w:rPr>
          <w:lang w:val="es-ES_tradnl"/>
        </w:rPr>
      </w:pPr>
      <w:r w:rsidRPr="002D7E91">
        <w:rPr>
          <w:lang w:val="es-ES_tradnl"/>
        </w:rPr>
        <w:t>Por tanto, los dibujos muestran las líneas primera y última y los píxeles primero y último que están dentro de las zonas de seguridad.</w:t>
      </w:r>
    </w:p>
    <w:p w:rsidR="00CE3364" w:rsidRPr="002D7E91" w:rsidRDefault="00CE3364" w:rsidP="00CE3364">
      <w:pPr>
        <w:pStyle w:val="AnnexNoTitle"/>
        <w:rPr>
          <w:lang w:val="es-ES_tradnl"/>
        </w:rPr>
      </w:pPr>
      <w:r w:rsidRPr="002D7E91">
        <w:rPr>
          <w:lang w:val="es-ES_tradnl"/>
        </w:rPr>
        <w:lastRenderedPageBreak/>
        <w:t>Anexo 2</w:t>
      </w:r>
      <w:r w:rsidRPr="002D7E91">
        <w:rPr>
          <w:lang w:val="es-ES_tradnl"/>
        </w:rPr>
        <w:br/>
      </w:r>
      <w:r w:rsidRPr="002D7E91">
        <w:rPr>
          <w:lang w:val="es-ES_tradnl"/>
        </w:rPr>
        <w:br/>
        <w:t xml:space="preserve">Zonas de seguridad en programas de televisión para transmisión </w:t>
      </w:r>
      <w:r w:rsidRPr="002D7E91">
        <w:rPr>
          <w:lang w:val="es-ES_tradnl"/>
        </w:rPr>
        <w:br/>
        <w:t>de 720 líneas de pantalla grande</w:t>
      </w:r>
    </w:p>
    <w:p w:rsidR="00CE3364" w:rsidRPr="002D7E91" w:rsidRDefault="00CE3364" w:rsidP="00CE3364">
      <w:pPr>
        <w:pStyle w:val="Normalaftertitle"/>
        <w:rPr>
          <w:lang w:val="es-ES_tradnl"/>
        </w:rPr>
      </w:pPr>
      <w:r w:rsidRPr="002D7E91">
        <w:rPr>
          <w:lang w:val="es-ES_tradnl"/>
        </w:rPr>
        <w:t>Estas directrices van dirigidas a todos los que intervienen en cualquier etapa del proceso de utilización de programas y a los fabricantes de equipos de producción de programas destinados a la radiodifusión utilizando sistemas de transmisión de 720 líneas.</w:t>
      </w:r>
    </w:p>
    <w:p w:rsidR="00CE3364" w:rsidRPr="002D7E91" w:rsidRDefault="00CE3364" w:rsidP="00CE3364">
      <w:pPr>
        <w:rPr>
          <w:lang w:val="es-ES_tradnl"/>
        </w:rPr>
      </w:pPr>
      <w:r w:rsidRPr="002D7E91">
        <w:rPr>
          <w:lang w:val="es-ES_tradnl"/>
        </w:rPr>
        <w:t xml:space="preserve">Las zonas de seguridad se han especificado bajo la hipótesis de que la sobreexploración en las pantallas modernas de los receptores domésticos de televisión se encontrará normalmente en la gama de 7,0 </w:t>
      </w:r>
      <w:r w:rsidRPr="002D7E91">
        <w:rPr>
          <w:rFonts w:ascii="Symbol" w:hAnsi="Symbol"/>
          <w:lang w:val="es-ES_tradnl"/>
        </w:rPr>
        <w:t></w:t>
      </w:r>
      <w:r w:rsidRPr="002D7E91">
        <w:rPr>
          <w:lang w:val="es-ES_tradnl"/>
        </w:rPr>
        <w:t xml:space="preserve"> 1% de la anchura o altura de la imagen total. Pero para el borde de cualquier imagen, la sobreexploración no debe rebasar el 4% de la anchura o altura de la imagen total.</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ppendixNoTitle"/>
        <w:rPr>
          <w:lang w:val="es-ES_tradnl"/>
        </w:rPr>
      </w:pPr>
      <w:r w:rsidRPr="002D7E91">
        <w:rPr>
          <w:lang w:val="es-ES_tradnl"/>
        </w:rPr>
        <w:t>Apéndice 1</w:t>
      </w:r>
      <w:r w:rsidRPr="002D7E91">
        <w:rPr>
          <w:lang w:val="es-ES_tradnl"/>
        </w:rPr>
        <w:br/>
        <w:t>del Anexo 2</w:t>
      </w:r>
      <w:r w:rsidRPr="002D7E91">
        <w:rPr>
          <w:lang w:val="es-ES_tradnl"/>
        </w:rPr>
        <w:br/>
      </w:r>
      <w:r w:rsidRPr="002D7E91">
        <w:rPr>
          <w:lang w:val="es-ES_tradnl"/>
        </w:rPr>
        <w:br/>
        <w:t xml:space="preserve">Zonas de seguridad para programas de televisión elaborados en formato de pantalla grande de 16:9 con exploración progresiva de 720 líneas: </w:t>
      </w:r>
      <w:r w:rsidRPr="002D7E91">
        <w:rPr>
          <w:lang w:val="es-ES_tradnl"/>
        </w:rPr>
        <w:br/>
        <w:t>recorte de la imagen completa de 16:9</w:t>
      </w:r>
    </w:p>
    <w:p w:rsidR="00CE3364" w:rsidRPr="002D7E91" w:rsidRDefault="00CE3364" w:rsidP="00A207D0">
      <w:pPr>
        <w:pStyle w:val="Normalaftertitle"/>
        <w:rPr>
          <w:lang w:val="es-ES_tradnl"/>
        </w:rPr>
      </w:pPr>
      <w:r w:rsidRPr="002D7E91">
        <w:rPr>
          <w:lang w:val="es-ES_tradnl"/>
        </w:rPr>
        <w:t>En el Cuadro 2 se muestra cómo se definen las zonas de acción y de gráficos para proteger toda la imagen de pantalla grande de 16:9.</w:t>
      </w:r>
    </w:p>
    <w:p w:rsidR="00CE3364" w:rsidRPr="002D7E91" w:rsidRDefault="00CE3364" w:rsidP="00CE3364">
      <w:pPr>
        <w:pStyle w:val="TableNo"/>
        <w:rPr>
          <w:lang w:val="es-ES_tradnl"/>
        </w:rPr>
      </w:pPr>
      <w:r w:rsidRPr="002D7E91">
        <w:rPr>
          <w:lang w:val="es-ES_tradnl"/>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CE3364" w:rsidRPr="002D7E91" w:rsidTr="00D0158C">
        <w:trPr>
          <w:jc w:val="center"/>
        </w:trPr>
        <w:tc>
          <w:tcPr>
            <w:tcW w:w="3969" w:type="dxa"/>
            <w:tcBorders>
              <w:top w:val="nil"/>
              <w:left w:val="nil"/>
            </w:tcBorders>
          </w:tcPr>
          <w:p w:rsidR="00CE3364" w:rsidRPr="002D7E91" w:rsidRDefault="00CE3364" w:rsidP="00D0158C">
            <w:pPr>
              <w:rPr>
                <w:lang w:val="es-ES_tradnl"/>
              </w:rPr>
            </w:pPr>
          </w:p>
        </w:tc>
        <w:tc>
          <w:tcPr>
            <w:tcW w:w="2268" w:type="dxa"/>
          </w:tcPr>
          <w:p w:rsidR="00CE3364" w:rsidRPr="002D7E91" w:rsidRDefault="00CE3364" w:rsidP="00D0158C">
            <w:pPr>
              <w:pStyle w:val="Tablehead"/>
              <w:rPr>
                <w:lang w:val="es-ES_tradnl"/>
              </w:rPr>
            </w:pPr>
            <w:r w:rsidRPr="002D7E91">
              <w:rPr>
                <w:lang w:val="es-ES_tradnl"/>
              </w:rPr>
              <w:t>Vertical</w:t>
            </w:r>
          </w:p>
        </w:tc>
        <w:tc>
          <w:tcPr>
            <w:tcW w:w="2268"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la acción (%)</w:t>
            </w:r>
          </w:p>
        </w:tc>
        <w:tc>
          <w:tcPr>
            <w:tcW w:w="2268" w:type="dxa"/>
          </w:tcPr>
          <w:p w:rsidR="00CE3364" w:rsidRPr="002D7E91" w:rsidRDefault="00CE3364" w:rsidP="00D0158C">
            <w:pPr>
              <w:pStyle w:val="Tabletext"/>
              <w:jc w:val="center"/>
              <w:rPr>
                <w:lang w:val="es-ES_tradnl"/>
              </w:rPr>
            </w:pPr>
            <w:r w:rsidRPr="002D7E91">
              <w:rPr>
                <w:lang w:val="es-ES_tradnl"/>
              </w:rPr>
              <w:t>3,5</w:t>
            </w:r>
          </w:p>
        </w:tc>
        <w:tc>
          <w:tcPr>
            <w:tcW w:w="2268"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los gráficos (%)</w:t>
            </w:r>
          </w:p>
        </w:tc>
        <w:tc>
          <w:tcPr>
            <w:tcW w:w="2268" w:type="dxa"/>
          </w:tcPr>
          <w:p w:rsidR="00CE3364" w:rsidRPr="002D7E91" w:rsidRDefault="00CE3364" w:rsidP="00D0158C">
            <w:pPr>
              <w:pStyle w:val="Tabletext"/>
              <w:jc w:val="center"/>
              <w:rPr>
                <w:lang w:val="es-ES_tradnl"/>
              </w:rPr>
            </w:pPr>
            <w:r w:rsidRPr="002D7E91">
              <w:rPr>
                <w:lang w:val="es-ES_tradnl"/>
              </w:rPr>
              <w:t>5</w:t>
            </w:r>
          </w:p>
        </w:tc>
        <w:tc>
          <w:tcPr>
            <w:tcW w:w="2268" w:type="dxa"/>
          </w:tcPr>
          <w:p w:rsidR="00CE3364" w:rsidRPr="002D7E91" w:rsidRDefault="00CE3364" w:rsidP="00D0158C">
            <w:pPr>
              <w:pStyle w:val="Tabletext"/>
              <w:jc w:val="center"/>
              <w:rPr>
                <w:lang w:val="es-ES_tradnl"/>
              </w:rPr>
            </w:pPr>
            <w:r w:rsidRPr="002D7E91">
              <w:rPr>
                <w:lang w:val="es-ES_tradnl"/>
              </w:rPr>
              <w:t>5</w:t>
            </w:r>
          </w:p>
        </w:tc>
      </w:tr>
    </w:tbl>
    <w:p w:rsidR="00CE3364" w:rsidRPr="002D7E91" w:rsidRDefault="00CE3364" w:rsidP="00CE3364">
      <w:pPr>
        <w:pStyle w:val="Tablefin"/>
        <w:rPr>
          <w:lang w:val="es-ES_tradnl"/>
        </w:rPr>
      </w:pPr>
    </w:p>
    <w:p w:rsidR="00CE3364" w:rsidRPr="002D7E91" w:rsidRDefault="00CE3364" w:rsidP="0060326B">
      <w:pPr>
        <w:rPr>
          <w:lang w:val="es-ES_tradnl"/>
        </w:rPr>
      </w:pPr>
      <w:r w:rsidRPr="002D7E91">
        <w:rPr>
          <w:lang w:val="es-ES_tradnl"/>
        </w:rPr>
        <w:t>En la Fig</w:t>
      </w:r>
      <w:r w:rsidR="0060326B">
        <w:rPr>
          <w:lang w:val="es-ES_tradnl"/>
        </w:rPr>
        <w:t>.</w:t>
      </w:r>
      <w:r w:rsidRPr="002D7E91">
        <w:rPr>
          <w:lang w:val="es-ES_tradnl"/>
        </w:rPr>
        <w:t xml:space="preserve"> 2 se muestran estas zonas con más detalle.</w:t>
      </w:r>
    </w:p>
    <w:p w:rsidR="00CE3364" w:rsidRPr="002D7E91" w:rsidRDefault="00CE3364" w:rsidP="00CE3364">
      <w:pPr>
        <w:pStyle w:val="FigureNo"/>
        <w:rPr>
          <w:lang w:val="es-ES_tradnl"/>
        </w:rPr>
      </w:pPr>
      <w:r w:rsidRPr="002D7E91">
        <w:rPr>
          <w:lang w:val="es-ES_tradnl"/>
        </w:rPr>
        <w:lastRenderedPageBreak/>
        <w:t>FigurA 2</w:t>
      </w:r>
    </w:p>
    <w:p w:rsidR="00CE3364" w:rsidRPr="002D7E91" w:rsidRDefault="00CE3364" w:rsidP="00CE3364">
      <w:pPr>
        <w:pStyle w:val="Figuretitle"/>
        <w:rPr>
          <w:lang w:val="es-ES_tradnl"/>
        </w:rPr>
      </w:pPr>
      <w:r w:rsidRPr="002D7E91">
        <w:rPr>
          <w:lang w:val="es-ES_tradnl"/>
        </w:rPr>
        <w:t>Recorte 16:9 de la imagen completa de 16:9, exploración progresiva de 720 líneas</w:t>
      </w:r>
    </w:p>
    <w:p w:rsidR="00CE3364" w:rsidRPr="002D7E91" w:rsidRDefault="00346350" w:rsidP="00CE3364">
      <w:pPr>
        <w:pStyle w:val="Figure"/>
        <w:rPr>
          <w:lang w:val="es-ES_tradnl"/>
        </w:rPr>
      </w:pPr>
      <w:r w:rsidRPr="002D7E91">
        <w:rPr>
          <w:lang w:val="es-ES_tradnl"/>
        </w:rPr>
        <w:object w:dxaOrig="6935" w:dyaOrig="4094">
          <v:shape id="_x0000_i1026" type="#_x0000_t75" style="width:406.35pt;height:243.55pt" o:ole="">
            <v:imagedata r:id="rId16" o:title="" cropbottom="-1360f" cropright="-512f"/>
          </v:shape>
          <o:OLEObject Type="Embed" ProgID="CorelDraw.Graphic.16" ShapeID="_x0000_i1026" DrawAspect="Content" ObjectID="_1587803944" r:id="rId17"/>
        </w:object>
      </w:r>
    </w:p>
    <w:p w:rsidR="00CE3364" w:rsidRPr="002D7E91" w:rsidRDefault="00CE3364" w:rsidP="00CE3364">
      <w:pPr>
        <w:rPr>
          <w:lang w:val="es-ES_tradnl"/>
        </w:rPr>
      </w:pPr>
      <w:r w:rsidRPr="002D7E91">
        <w:rPr>
          <w:lang w:val="es-ES_tradnl"/>
        </w:rPr>
        <w:t>Las definiciones de las zonas de seguridad se expresan en números de líneas y píxeles, que son más precisos que los porcentajes utilizados anteriormente. No obstante, se incluyen también los porcentajes porque las comparaciones se han basado en porcentajes.</w:t>
      </w:r>
    </w:p>
    <w:p w:rsidR="00CE3364" w:rsidRPr="002D7E91" w:rsidRDefault="00CE3364" w:rsidP="00CE3364">
      <w:pPr>
        <w:rPr>
          <w:lang w:val="es-ES_tradnl"/>
        </w:rPr>
      </w:pPr>
      <w:r w:rsidRPr="002D7E91">
        <w:rPr>
          <w:lang w:val="es-ES_tradnl"/>
        </w:rPr>
        <w:t>Por tanto, los dibujos dan las líneas primera y última y los píxeles primero y último que están dentro de las zonas de seguridad.</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nnexNoTitle"/>
        <w:rPr>
          <w:lang w:val="es-ES_tradnl"/>
        </w:rPr>
      </w:pPr>
      <w:r w:rsidRPr="002D7E91">
        <w:rPr>
          <w:lang w:val="es-ES_tradnl"/>
        </w:rPr>
        <w:t>Anexo 3</w:t>
      </w:r>
      <w:r w:rsidRPr="002D7E91">
        <w:rPr>
          <w:lang w:val="es-ES_tradnl"/>
        </w:rPr>
        <w:br/>
      </w:r>
      <w:r w:rsidRPr="002D7E91">
        <w:rPr>
          <w:lang w:val="es-ES_tradnl"/>
        </w:rPr>
        <w:br/>
        <w:t xml:space="preserve">Zonas de seguridad en programas de televisión para </w:t>
      </w:r>
      <w:r w:rsidRPr="002D7E91">
        <w:rPr>
          <w:lang w:val="es-ES_tradnl"/>
        </w:rPr>
        <w:br/>
        <w:t>transmisión de 1 080 líneas de pantalla grande</w:t>
      </w:r>
    </w:p>
    <w:p w:rsidR="00CE3364" w:rsidRPr="002D7E91" w:rsidRDefault="00CE3364" w:rsidP="00A207D0">
      <w:pPr>
        <w:pStyle w:val="Normalaftertitle"/>
        <w:rPr>
          <w:lang w:val="es-ES_tradnl"/>
        </w:rPr>
      </w:pPr>
      <w:r w:rsidRPr="002D7E91">
        <w:rPr>
          <w:lang w:val="es-ES_tradnl"/>
        </w:rPr>
        <w:t>Estas directrices van dirigidas a todos los que intervienen en cualquier etapa del proceso de utilización de programas y a los fabricantes de equipos de producción de programas destinados a la radiodifusión utilizando sistemas de transmisión de 1 080 líneas.</w:t>
      </w:r>
    </w:p>
    <w:p w:rsidR="00CE3364" w:rsidRPr="002D7E91" w:rsidRDefault="00CE3364" w:rsidP="00CE3364">
      <w:pPr>
        <w:spacing w:before="240"/>
        <w:rPr>
          <w:lang w:val="es-ES_tradnl"/>
        </w:rPr>
      </w:pPr>
      <w:r w:rsidRPr="002D7E91">
        <w:rPr>
          <w:lang w:val="es-ES_tradnl"/>
        </w:rPr>
        <w:t xml:space="preserve">Las zonas de seguridad se han especificado bajo la hipótesis de que la sobreexploración en las pantallas modernas de los receptores domésticos de televisión se encontrará normalmente en la gama de 7,0 </w:t>
      </w:r>
      <w:r w:rsidRPr="002D7E91">
        <w:rPr>
          <w:rFonts w:ascii="Symbol" w:hAnsi="Symbol"/>
          <w:lang w:val="es-ES_tradnl"/>
        </w:rPr>
        <w:t></w:t>
      </w:r>
      <w:r w:rsidRPr="002D7E91">
        <w:rPr>
          <w:lang w:val="es-ES_tradnl"/>
        </w:rPr>
        <w:t xml:space="preserve"> 1% de la anchura o altura de la imagen total. Pero para el borde de cualquier imagen, la sobreexploración no debe rebasar el 4% de la anchura o altura de la imagen total.</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ppendixNoTitle"/>
        <w:rPr>
          <w:lang w:val="es-ES_tradnl"/>
        </w:rPr>
      </w:pPr>
      <w:r w:rsidRPr="002D7E91">
        <w:rPr>
          <w:lang w:val="es-ES_tradnl"/>
        </w:rPr>
        <w:lastRenderedPageBreak/>
        <w:t>Apéndice 1</w:t>
      </w:r>
      <w:r w:rsidRPr="002D7E91">
        <w:rPr>
          <w:lang w:val="es-ES_tradnl"/>
        </w:rPr>
        <w:br/>
        <w:t>del Anexo 3</w:t>
      </w:r>
      <w:r w:rsidRPr="002D7E91">
        <w:rPr>
          <w:lang w:val="es-ES_tradnl"/>
        </w:rPr>
        <w:br/>
      </w:r>
      <w:r w:rsidRPr="002D7E91">
        <w:rPr>
          <w:lang w:val="es-ES_tradnl"/>
        </w:rPr>
        <w:br/>
        <w:t xml:space="preserve">Zonas de seguridad para programas de televisión elaborados en el formato de exploración entrelazada de 1 080 líneas de pantalla grande de 16:9: </w:t>
      </w:r>
      <w:r w:rsidRPr="002D7E91">
        <w:rPr>
          <w:lang w:val="es-ES_tradnl"/>
        </w:rPr>
        <w:br/>
        <w:t>recorte de la imagen completa de 16:9</w:t>
      </w:r>
    </w:p>
    <w:p w:rsidR="00CE3364" w:rsidRPr="002D7E91" w:rsidRDefault="00CE3364" w:rsidP="00A207D0">
      <w:pPr>
        <w:pStyle w:val="Normalaftertitle"/>
        <w:rPr>
          <w:lang w:val="es-ES_tradnl"/>
        </w:rPr>
      </w:pPr>
      <w:r w:rsidRPr="002D7E91">
        <w:rPr>
          <w:lang w:val="es-ES_tradnl"/>
        </w:rPr>
        <w:t>En el Cuadro 3 se muestra cómo se definen las zonas de acción y de gráficos para proteger toda la imagen de pantalla grande de 16:9.</w:t>
      </w:r>
    </w:p>
    <w:p w:rsidR="00CE3364" w:rsidRPr="002D7E91" w:rsidRDefault="00CE3364" w:rsidP="00CE3364">
      <w:pPr>
        <w:pStyle w:val="TableNo"/>
        <w:rPr>
          <w:lang w:val="es-ES_tradnl"/>
        </w:rPr>
      </w:pPr>
      <w:r w:rsidRPr="002D7E91">
        <w:rPr>
          <w:lang w:val="es-ES_tradnl"/>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CE3364" w:rsidRPr="002D7E91" w:rsidTr="00D0158C">
        <w:trPr>
          <w:jc w:val="center"/>
        </w:trPr>
        <w:tc>
          <w:tcPr>
            <w:tcW w:w="3969" w:type="dxa"/>
            <w:tcBorders>
              <w:top w:val="nil"/>
              <w:left w:val="nil"/>
            </w:tcBorders>
          </w:tcPr>
          <w:p w:rsidR="00CE3364" w:rsidRPr="002D7E91" w:rsidRDefault="00CE3364" w:rsidP="00D015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p>
        </w:tc>
        <w:tc>
          <w:tcPr>
            <w:tcW w:w="2268" w:type="dxa"/>
          </w:tcPr>
          <w:p w:rsidR="00CE3364" w:rsidRPr="002D7E91" w:rsidRDefault="00CE3364" w:rsidP="00D0158C">
            <w:pPr>
              <w:pStyle w:val="Tablehead"/>
              <w:rPr>
                <w:lang w:val="es-ES_tradnl"/>
              </w:rPr>
            </w:pPr>
            <w:r w:rsidRPr="002D7E91">
              <w:rPr>
                <w:lang w:val="es-ES_tradnl"/>
              </w:rPr>
              <w:t>Vertical</w:t>
            </w:r>
          </w:p>
        </w:tc>
        <w:tc>
          <w:tcPr>
            <w:tcW w:w="2268"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la acción (%)</w:t>
            </w:r>
          </w:p>
        </w:tc>
        <w:tc>
          <w:tcPr>
            <w:tcW w:w="2268" w:type="dxa"/>
          </w:tcPr>
          <w:p w:rsidR="00CE3364" w:rsidRPr="002D7E91" w:rsidRDefault="00CE3364" w:rsidP="00D0158C">
            <w:pPr>
              <w:pStyle w:val="Tabletext"/>
              <w:jc w:val="center"/>
              <w:rPr>
                <w:lang w:val="es-ES_tradnl"/>
              </w:rPr>
            </w:pPr>
            <w:r w:rsidRPr="002D7E91">
              <w:rPr>
                <w:lang w:val="es-ES_tradnl"/>
              </w:rPr>
              <w:t>3,5</w:t>
            </w:r>
          </w:p>
        </w:tc>
        <w:tc>
          <w:tcPr>
            <w:tcW w:w="2268"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los gráficos (%)</w:t>
            </w:r>
          </w:p>
        </w:tc>
        <w:tc>
          <w:tcPr>
            <w:tcW w:w="2268" w:type="dxa"/>
          </w:tcPr>
          <w:p w:rsidR="00CE3364" w:rsidRPr="002D7E91" w:rsidRDefault="00CE3364" w:rsidP="00D0158C">
            <w:pPr>
              <w:pStyle w:val="Tabletext"/>
              <w:jc w:val="center"/>
              <w:rPr>
                <w:lang w:val="es-ES_tradnl"/>
              </w:rPr>
            </w:pPr>
            <w:r w:rsidRPr="002D7E91">
              <w:rPr>
                <w:lang w:val="es-ES_tradnl"/>
              </w:rPr>
              <w:t>5</w:t>
            </w:r>
          </w:p>
        </w:tc>
        <w:tc>
          <w:tcPr>
            <w:tcW w:w="2268" w:type="dxa"/>
          </w:tcPr>
          <w:p w:rsidR="00CE3364" w:rsidRPr="002D7E91" w:rsidRDefault="00CE3364" w:rsidP="00D0158C">
            <w:pPr>
              <w:pStyle w:val="Tabletext"/>
              <w:jc w:val="center"/>
              <w:rPr>
                <w:lang w:val="es-ES_tradnl"/>
              </w:rPr>
            </w:pPr>
            <w:r w:rsidRPr="002D7E91">
              <w:rPr>
                <w:lang w:val="es-ES_tradnl"/>
              </w:rPr>
              <w:t>5</w:t>
            </w:r>
          </w:p>
        </w:tc>
      </w:tr>
    </w:tbl>
    <w:p w:rsidR="00CE3364" w:rsidRPr="002D7E91" w:rsidRDefault="00CE3364" w:rsidP="00CE3364">
      <w:pPr>
        <w:pStyle w:val="Tablefin"/>
        <w:rPr>
          <w:lang w:val="es-ES_tradnl"/>
        </w:rPr>
      </w:pPr>
    </w:p>
    <w:p w:rsidR="00CE3364" w:rsidRPr="002D7E91" w:rsidRDefault="00CE3364" w:rsidP="0060326B">
      <w:pPr>
        <w:rPr>
          <w:lang w:val="es-ES_tradnl"/>
        </w:rPr>
      </w:pPr>
      <w:r w:rsidRPr="002D7E91">
        <w:rPr>
          <w:lang w:val="es-ES_tradnl"/>
        </w:rPr>
        <w:t>En la Fig</w:t>
      </w:r>
      <w:r w:rsidR="0060326B">
        <w:rPr>
          <w:lang w:val="es-ES_tradnl"/>
        </w:rPr>
        <w:t>.</w:t>
      </w:r>
      <w:r w:rsidRPr="002D7E91">
        <w:rPr>
          <w:lang w:val="es-ES_tradnl"/>
        </w:rPr>
        <w:t xml:space="preserve"> 3 se muestran estas zonas con más detalle.</w:t>
      </w:r>
    </w:p>
    <w:p w:rsidR="00CE3364" w:rsidRPr="002D7E91" w:rsidRDefault="00CE3364" w:rsidP="00CE3364">
      <w:pPr>
        <w:pStyle w:val="FigureNo"/>
        <w:rPr>
          <w:lang w:val="es-ES_tradnl"/>
        </w:rPr>
      </w:pPr>
      <w:r w:rsidRPr="002D7E91">
        <w:rPr>
          <w:lang w:val="es-ES_tradnl"/>
        </w:rPr>
        <w:t>FIGURA 3</w:t>
      </w:r>
    </w:p>
    <w:p w:rsidR="00CE3364" w:rsidRPr="002D7E91" w:rsidRDefault="00CE3364" w:rsidP="00CE3364">
      <w:pPr>
        <w:pStyle w:val="Figuretitle"/>
        <w:rPr>
          <w:lang w:val="es-ES_tradnl"/>
        </w:rPr>
      </w:pPr>
      <w:r w:rsidRPr="002D7E91">
        <w:rPr>
          <w:lang w:val="es-ES_tradnl"/>
        </w:rPr>
        <w:t>Recorte de la imagen completa de 16:9, exploración entrelazada de 1 080 líneas</w:t>
      </w:r>
    </w:p>
    <w:p w:rsidR="00CE3364" w:rsidRPr="002D7E91" w:rsidRDefault="00346350" w:rsidP="00CE3364">
      <w:pPr>
        <w:pStyle w:val="Figure"/>
        <w:rPr>
          <w:lang w:val="es-ES_tradnl"/>
        </w:rPr>
      </w:pPr>
      <w:r w:rsidRPr="002D7E91">
        <w:rPr>
          <w:lang w:val="es-ES_tradnl"/>
        </w:rPr>
        <w:object w:dxaOrig="6930" w:dyaOrig="4094">
          <v:shape id="_x0000_i1027" type="#_x0000_t75" style="width:438.9pt;height:261.1pt" o:ole="">
            <v:imagedata r:id="rId18" o:title="" cropbottom="-1123f" cropright="-755f"/>
          </v:shape>
          <o:OLEObject Type="Embed" ProgID="CorelDraw.Graphic.16" ShapeID="_x0000_i1027" DrawAspect="Content" ObjectID="_1587803945" r:id="rId19"/>
        </w:object>
      </w:r>
    </w:p>
    <w:p w:rsidR="00CE3364" w:rsidRPr="002D7E91" w:rsidRDefault="00CE3364" w:rsidP="00CE3364">
      <w:pPr>
        <w:rPr>
          <w:lang w:val="es-ES_tradnl"/>
        </w:rPr>
      </w:pPr>
      <w:r w:rsidRPr="002D7E91">
        <w:rPr>
          <w:lang w:val="es-ES_tradnl"/>
        </w:rPr>
        <w:t>Las definiciones de las zonas de seguridad se expresan en números de líneas y píxeles, que son más precisos que los porcentajes utilizados anteriormente. No obstante, se incluyen también los porcentajes porque las comparaciones se han basado en porcentajes. La numeración de las líneas se ha calculado sobre la base de que el campo 1 está emparejado con la línea del campo 2 que está debajo de aquél, y la línea del campo 1 que está justamente dentro de la casilla del porcentaje se define como el borde de la imagen activa.</w:t>
      </w:r>
    </w:p>
    <w:p w:rsidR="00CE3364" w:rsidRPr="002D7E91" w:rsidRDefault="00CE3364" w:rsidP="00CE3364">
      <w:pPr>
        <w:rPr>
          <w:lang w:val="es-ES_tradnl"/>
        </w:rPr>
      </w:pPr>
      <w:r w:rsidRPr="002D7E91">
        <w:rPr>
          <w:lang w:val="es-ES_tradnl"/>
        </w:rPr>
        <w:t>Por tanto, los dibujos dan las líneas primera y última y los píxeles primero y último que están dentro de las zonas de seguridad.</w:t>
      </w:r>
    </w:p>
    <w:p w:rsidR="00CE3364" w:rsidRPr="002D7E91" w:rsidRDefault="00CE3364" w:rsidP="00CE3364">
      <w:pPr>
        <w:pStyle w:val="AppendixNoTitle"/>
        <w:rPr>
          <w:lang w:val="es-ES_tradnl"/>
        </w:rPr>
      </w:pPr>
      <w:r w:rsidRPr="002D7E91">
        <w:rPr>
          <w:lang w:val="es-ES_tradnl"/>
        </w:rPr>
        <w:lastRenderedPageBreak/>
        <w:t>Apéndice 2</w:t>
      </w:r>
      <w:r w:rsidRPr="002D7E91">
        <w:rPr>
          <w:lang w:val="es-ES_tradnl"/>
        </w:rPr>
        <w:br/>
        <w:t>del Anexo 3</w:t>
      </w:r>
      <w:r w:rsidRPr="002D7E91">
        <w:rPr>
          <w:lang w:val="es-ES_tradnl"/>
        </w:rPr>
        <w:br/>
      </w:r>
      <w:r w:rsidRPr="002D7E91">
        <w:rPr>
          <w:lang w:val="es-ES_tradnl"/>
        </w:rPr>
        <w:br/>
        <w:t xml:space="preserve">Zonas de seguridad para programas de televisión elaborados en el formato de exploración progresiva de 1 080 líneas de pantalla grande de 16:9: </w:t>
      </w:r>
      <w:r w:rsidRPr="002D7E91">
        <w:rPr>
          <w:lang w:val="es-ES_tradnl"/>
        </w:rPr>
        <w:br/>
        <w:t>recorte de la imagen completa de 16:9</w:t>
      </w:r>
    </w:p>
    <w:p w:rsidR="00CE3364" w:rsidRPr="002D7E91" w:rsidRDefault="00CE3364" w:rsidP="00A207D0">
      <w:pPr>
        <w:pStyle w:val="Normalaftertitle"/>
        <w:rPr>
          <w:lang w:val="es-ES_tradnl"/>
        </w:rPr>
      </w:pPr>
      <w:r w:rsidRPr="002D7E91">
        <w:rPr>
          <w:lang w:val="es-ES_tradnl"/>
        </w:rPr>
        <w:t>En el Cuadro 4 se muestra cómo se definen las zonas de acción y de gráficos para proteger toda la imagen de pantalla grande de 16:9.</w:t>
      </w:r>
    </w:p>
    <w:p w:rsidR="00CE3364" w:rsidRPr="002D7E91" w:rsidRDefault="00CE3364" w:rsidP="00CE3364">
      <w:pPr>
        <w:pStyle w:val="TableNo"/>
        <w:rPr>
          <w:lang w:val="es-ES_tradnl"/>
        </w:rPr>
      </w:pPr>
      <w:r w:rsidRPr="002D7E91">
        <w:rPr>
          <w:lang w:val="es-ES_tradnl"/>
        </w:rPr>
        <w:t>CUADRO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CE3364" w:rsidRPr="002D7E91" w:rsidTr="00D0158C">
        <w:trPr>
          <w:jc w:val="center"/>
        </w:trPr>
        <w:tc>
          <w:tcPr>
            <w:tcW w:w="3969" w:type="dxa"/>
            <w:tcBorders>
              <w:top w:val="nil"/>
              <w:left w:val="nil"/>
            </w:tcBorders>
          </w:tcPr>
          <w:p w:rsidR="00CE3364" w:rsidRPr="002D7E91" w:rsidRDefault="00CE3364" w:rsidP="00D015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2268" w:type="dxa"/>
          </w:tcPr>
          <w:p w:rsidR="00CE3364" w:rsidRPr="002D7E91" w:rsidRDefault="00CE3364" w:rsidP="00D0158C">
            <w:pPr>
              <w:pStyle w:val="Tablehead"/>
              <w:rPr>
                <w:lang w:val="es-ES_tradnl"/>
              </w:rPr>
            </w:pPr>
            <w:r w:rsidRPr="002D7E91">
              <w:rPr>
                <w:lang w:val="es-ES_tradnl"/>
              </w:rPr>
              <w:t>Vertical</w:t>
            </w:r>
          </w:p>
        </w:tc>
        <w:tc>
          <w:tcPr>
            <w:tcW w:w="2268"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la acción (%</w:t>
            </w:r>
            <w:r w:rsidRPr="002D7E91">
              <w:rPr>
                <w:rFonts w:ascii="Symbol" w:hAnsi="Symbol"/>
                <w:lang w:val="es-ES_tradnl"/>
              </w:rPr>
              <w:t></w:t>
            </w:r>
          </w:p>
        </w:tc>
        <w:tc>
          <w:tcPr>
            <w:tcW w:w="2268" w:type="dxa"/>
          </w:tcPr>
          <w:p w:rsidR="00CE3364" w:rsidRPr="002D7E91" w:rsidRDefault="00CE3364" w:rsidP="00D0158C">
            <w:pPr>
              <w:pStyle w:val="Tabletext"/>
              <w:jc w:val="center"/>
              <w:rPr>
                <w:lang w:val="es-ES_tradnl"/>
              </w:rPr>
            </w:pPr>
            <w:r w:rsidRPr="002D7E91">
              <w:rPr>
                <w:lang w:val="es-ES_tradnl"/>
              </w:rPr>
              <w:t>3,5</w:t>
            </w:r>
          </w:p>
        </w:tc>
        <w:tc>
          <w:tcPr>
            <w:tcW w:w="2268"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los gráficos (%</w:t>
            </w:r>
            <w:r w:rsidRPr="002D7E91">
              <w:rPr>
                <w:rFonts w:ascii="Symbol" w:hAnsi="Symbol"/>
                <w:lang w:val="es-ES_tradnl"/>
              </w:rPr>
              <w:t></w:t>
            </w:r>
          </w:p>
        </w:tc>
        <w:tc>
          <w:tcPr>
            <w:tcW w:w="2268" w:type="dxa"/>
          </w:tcPr>
          <w:p w:rsidR="00CE3364" w:rsidRPr="002D7E91" w:rsidRDefault="00CE3364" w:rsidP="00D0158C">
            <w:pPr>
              <w:pStyle w:val="Tabletext"/>
              <w:jc w:val="center"/>
              <w:rPr>
                <w:lang w:val="es-ES_tradnl"/>
              </w:rPr>
            </w:pPr>
            <w:r w:rsidRPr="002D7E91">
              <w:rPr>
                <w:lang w:val="es-ES_tradnl"/>
              </w:rPr>
              <w:t>5</w:t>
            </w:r>
          </w:p>
        </w:tc>
        <w:tc>
          <w:tcPr>
            <w:tcW w:w="2268" w:type="dxa"/>
          </w:tcPr>
          <w:p w:rsidR="00CE3364" w:rsidRPr="002D7E91" w:rsidRDefault="00CE3364" w:rsidP="00D0158C">
            <w:pPr>
              <w:pStyle w:val="Tabletext"/>
              <w:jc w:val="center"/>
              <w:rPr>
                <w:lang w:val="es-ES_tradnl"/>
              </w:rPr>
            </w:pPr>
            <w:r w:rsidRPr="002D7E91">
              <w:rPr>
                <w:lang w:val="es-ES_tradnl"/>
              </w:rPr>
              <w:t>5</w:t>
            </w:r>
          </w:p>
        </w:tc>
      </w:tr>
    </w:tbl>
    <w:p w:rsidR="00CE3364" w:rsidRPr="002D7E91" w:rsidRDefault="00CE3364" w:rsidP="00CE3364">
      <w:pPr>
        <w:pStyle w:val="Tablefin"/>
        <w:rPr>
          <w:lang w:val="es-ES_tradnl"/>
        </w:rPr>
      </w:pPr>
    </w:p>
    <w:p w:rsidR="00CE3364" w:rsidRPr="002D7E91" w:rsidRDefault="00CE3364" w:rsidP="0060326B">
      <w:pPr>
        <w:rPr>
          <w:lang w:val="es-ES_tradnl"/>
        </w:rPr>
      </w:pPr>
      <w:r w:rsidRPr="002D7E91">
        <w:rPr>
          <w:lang w:val="es-ES_tradnl"/>
        </w:rPr>
        <w:t>En la Fig</w:t>
      </w:r>
      <w:r w:rsidR="0060326B">
        <w:rPr>
          <w:lang w:val="es-ES_tradnl"/>
        </w:rPr>
        <w:t>.</w:t>
      </w:r>
      <w:r w:rsidRPr="002D7E91">
        <w:rPr>
          <w:lang w:val="es-ES_tradnl"/>
        </w:rPr>
        <w:t xml:space="preserve"> 4 se muestran estas zonas con más detalle.</w:t>
      </w:r>
    </w:p>
    <w:p w:rsidR="00CE3364" w:rsidRPr="002D7E91" w:rsidRDefault="00CE3364" w:rsidP="00CE3364">
      <w:pPr>
        <w:pStyle w:val="FigureNo"/>
        <w:rPr>
          <w:lang w:val="es-ES_tradnl"/>
        </w:rPr>
      </w:pPr>
      <w:r w:rsidRPr="002D7E91">
        <w:rPr>
          <w:lang w:val="es-ES_tradnl"/>
        </w:rPr>
        <w:t>FIGURA 4</w:t>
      </w:r>
    </w:p>
    <w:p w:rsidR="00CE3364" w:rsidRPr="002D7E91" w:rsidRDefault="00CE3364" w:rsidP="00CE3364">
      <w:pPr>
        <w:pStyle w:val="Figuretitle"/>
        <w:rPr>
          <w:lang w:val="es-ES_tradnl"/>
        </w:rPr>
      </w:pPr>
      <w:r w:rsidRPr="002D7E91">
        <w:rPr>
          <w:lang w:val="es-ES_tradnl"/>
        </w:rPr>
        <w:t>Recorte de la imagen completa de 16:9, exploración progresiva de 1 080 líneas</w:t>
      </w:r>
    </w:p>
    <w:p w:rsidR="00CE3364" w:rsidRPr="002D7E91" w:rsidRDefault="00346350" w:rsidP="00CE3364">
      <w:pPr>
        <w:pStyle w:val="Figure"/>
        <w:rPr>
          <w:lang w:val="es-ES_tradnl"/>
        </w:rPr>
      </w:pPr>
      <w:r w:rsidRPr="002D7E91">
        <w:rPr>
          <w:lang w:val="es-ES_tradnl"/>
        </w:rPr>
        <w:object w:dxaOrig="6935" w:dyaOrig="4094">
          <v:shape id="_x0000_i1028" type="#_x0000_t75" style="width:432.65pt;height:255.45pt" o:ole="">
            <v:imagedata r:id="rId20" o:title="" cropbottom="-976f" cropright="-867f"/>
          </v:shape>
          <o:OLEObject Type="Embed" ProgID="CorelDraw.Graphic.16" ShapeID="_x0000_i1028" DrawAspect="Content" ObjectID="_1587803946" r:id="rId21"/>
        </w:object>
      </w:r>
    </w:p>
    <w:p w:rsidR="00CE3364" w:rsidRPr="002D7E91" w:rsidRDefault="00CE3364" w:rsidP="00CE3364">
      <w:pPr>
        <w:rPr>
          <w:lang w:val="es-ES_tradnl"/>
        </w:rPr>
      </w:pPr>
      <w:r w:rsidRPr="002D7E91">
        <w:rPr>
          <w:lang w:val="es-ES_tradnl"/>
        </w:rPr>
        <w:t>Las definiciones de las zonas de seguridad se expresan en números de líneas y píxeles, que son más precisos que los porcentajes utilizados anteriormente. No obstante, se incluyen también los porcentajes porque las comparaciones se han basado en porcentaje.</w:t>
      </w:r>
    </w:p>
    <w:p w:rsidR="00CE3364" w:rsidRPr="002D7E91" w:rsidRDefault="00CE3364" w:rsidP="00CE3364">
      <w:pPr>
        <w:rPr>
          <w:lang w:val="es-ES_tradnl"/>
        </w:rPr>
      </w:pPr>
      <w:r w:rsidRPr="002D7E91">
        <w:rPr>
          <w:lang w:val="es-ES_tradnl"/>
        </w:rPr>
        <w:t>Por tanto, los dibujos dan las líneas primera y última y los píxeles primero y último que están dentro de las zonas de seguridad.</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nnexNoTitle"/>
        <w:rPr>
          <w:lang w:val="es-ES_tradnl"/>
        </w:rPr>
      </w:pPr>
      <w:r w:rsidRPr="002D7E91">
        <w:rPr>
          <w:lang w:val="es-ES_tradnl"/>
        </w:rPr>
        <w:lastRenderedPageBreak/>
        <w:t>Anexo 4</w:t>
      </w:r>
      <w:r w:rsidRPr="002D7E91">
        <w:rPr>
          <w:lang w:val="es-ES_tradnl"/>
        </w:rPr>
        <w:br/>
      </w:r>
      <w:r w:rsidRPr="002D7E91">
        <w:rPr>
          <w:lang w:val="es-ES_tradnl"/>
        </w:rPr>
        <w:br/>
        <w:t xml:space="preserve">Zonas de seguridad en programas de televisión para </w:t>
      </w:r>
      <w:r w:rsidRPr="002D7E91">
        <w:rPr>
          <w:lang w:val="es-ES_tradnl"/>
        </w:rPr>
        <w:br/>
        <w:t>transmisión de 2 160 líneas de pantalla grande</w:t>
      </w:r>
    </w:p>
    <w:p w:rsidR="00CE3364" w:rsidRPr="002D7E91" w:rsidRDefault="00CE3364" w:rsidP="00A207D0">
      <w:pPr>
        <w:pStyle w:val="Normalaftertitle"/>
        <w:rPr>
          <w:lang w:val="es-ES_tradnl"/>
        </w:rPr>
      </w:pPr>
      <w:r w:rsidRPr="002D7E91">
        <w:rPr>
          <w:lang w:val="es-ES_tradnl"/>
        </w:rPr>
        <w:t>Estas directrices van dirigidas a todos los que intervienen en cualquier etapa del proceso de utilización de programas y a los fabricantes de equipos de producción de programas destinados a la radiodifusión utilizando sistemas de transmisión de 2 160 líneas.</w:t>
      </w:r>
    </w:p>
    <w:p w:rsidR="00CE3364" w:rsidRPr="002D7E91" w:rsidRDefault="00CE3364" w:rsidP="0060326B">
      <w:pPr>
        <w:pStyle w:val="Note"/>
        <w:rPr>
          <w:lang w:val="es-ES_tradnl"/>
        </w:rPr>
      </w:pPr>
      <w:r w:rsidRPr="002D7E91">
        <w:rPr>
          <w:lang w:val="es-ES_tradnl"/>
        </w:rPr>
        <w:t>NOTA – Dentro de este Anexo se reconoce que la nomenclatura implicó cierto intercambio entre los términos líneas y píxeles. En la Fig</w:t>
      </w:r>
      <w:r w:rsidR="0060326B">
        <w:rPr>
          <w:lang w:val="es-ES_tradnl"/>
        </w:rPr>
        <w:t>.</w:t>
      </w:r>
      <w:r w:rsidRPr="002D7E91">
        <w:rPr>
          <w:lang w:val="es-ES_tradnl"/>
        </w:rPr>
        <w:t xml:space="preserve"> 5 siguiente, se aplicó el recuento de píxeles para las dimensiones tanto horizontal como vertical.</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ppendixNoTitle"/>
        <w:rPr>
          <w:lang w:val="es-ES_tradnl"/>
        </w:rPr>
      </w:pPr>
      <w:r w:rsidRPr="002D7E91">
        <w:rPr>
          <w:lang w:val="es-ES_tradnl"/>
        </w:rPr>
        <w:t>Apéndice 1</w:t>
      </w:r>
      <w:r w:rsidRPr="002D7E91">
        <w:rPr>
          <w:lang w:val="es-ES_tradnl"/>
        </w:rPr>
        <w:br/>
        <w:t>del Anexo 4</w:t>
      </w:r>
      <w:r w:rsidRPr="002D7E91">
        <w:rPr>
          <w:lang w:val="es-ES_tradnl"/>
        </w:rPr>
        <w:br/>
      </w:r>
      <w:r w:rsidRPr="002D7E91">
        <w:rPr>
          <w:lang w:val="es-ES_tradnl"/>
        </w:rPr>
        <w:br/>
        <w:t>Zonas de seguridad en programas de televisión elaborados en el formato de exploración progresiva de 2 160 líneas de pantalla grande de formato 16:9: recorte de la imagen completa de 16:9</w:t>
      </w:r>
    </w:p>
    <w:p w:rsidR="00CE3364" w:rsidRPr="002D7E91" w:rsidRDefault="00CE3364" w:rsidP="00A207D0">
      <w:pPr>
        <w:pStyle w:val="Normalaftertitle"/>
        <w:rPr>
          <w:lang w:val="es-ES_tradnl"/>
        </w:rPr>
      </w:pPr>
      <w:r w:rsidRPr="002D7E91">
        <w:rPr>
          <w:lang w:val="es-ES_tradnl"/>
        </w:rPr>
        <w:t>En el Cuadro 5 se muestra cómo se definen las zonas de acción y de gráficos para proteger toda la imagen de pantalla grande de 16:9.</w:t>
      </w:r>
    </w:p>
    <w:p w:rsidR="00CE3364" w:rsidRPr="002D7E91" w:rsidRDefault="00CE3364" w:rsidP="00CE3364">
      <w:pPr>
        <w:pStyle w:val="TableNo"/>
        <w:rPr>
          <w:lang w:val="es-ES_tradnl"/>
        </w:rPr>
      </w:pPr>
      <w:r w:rsidRPr="002D7E91">
        <w:rPr>
          <w:lang w:val="es-ES_tradnl"/>
        </w:rPr>
        <w:t>CUADRO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CE3364" w:rsidRPr="002D7E91" w:rsidTr="00D0158C">
        <w:trPr>
          <w:jc w:val="center"/>
        </w:trPr>
        <w:tc>
          <w:tcPr>
            <w:tcW w:w="3969" w:type="dxa"/>
            <w:tcBorders>
              <w:top w:val="nil"/>
              <w:left w:val="nil"/>
            </w:tcBorders>
          </w:tcPr>
          <w:p w:rsidR="00CE3364" w:rsidRPr="002D7E91" w:rsidRDefault="00CE3364" w:rsidP="00D015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2268" w:type="dxa"/>
          </w:tcPr>
          <w:p w:rsidR="00CE3364" w:rsidRPr="002D7E91" w:rsidRDefault="00CE3364" w:rsidP="00D0158C">
            <w:pPr>
              <w:pStyle w:val="Tablehead"/>
              <w:rPr>
                <w:lang w:val="es-ES_tradnl"/>
              </w:rPr>
            </w:pPr>
            <w:r w:rsidRPr="002D7E91">
              <w:rPr>
                <w:lang w:val="es-ES_tradnl"/>
              </w:rPr>
              <w:t>Vertical</w:t>
            </w:r>
          </w:p>
        </w:tc>
        <w:tc>
          <w:tcPr>
            <w:tcW w:w="2268"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la acción (%)</w:t>
            </w:r>
          </w:p>
        </w:tc>
        <w:tc>
          <w:tcPr>
            <w:tcW w:w="2268" w:type="dxa"/>
          </w:tcPr>
          <w:p w:rsidR="00CE3364" w:rsidRPr="002D7E91" w:rsidRDefault="00CE3364" w:rsidP="00D0158C">
            <w:pPr>
              <w:pStyle w:val="Tabletext"/>
              <w:jc w:val="center"/>
              <w:rPr>
                <w:lang w:val="es-ES_tradnl"/>
              </w:rPr>
            </w:pPr>
            <w:r w:rsidRPr="002D7E91">
              <w:rPr>
                <w:lang w:val="es-ES_tradnl"/>
              </w:rPr>
              <w:t>3,5</w:t>
            </w:r>
          </w:p>
        </w:tc>
        <w:tc>
          <w:tcPr>
            <w:tcW w:w="2268"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los gráficos (%)</w:t>
            </w:r>
          </w:p>
        </w:tc>
        <w:tc>
          <w:tcPr>
            <w:tcW w:w="2268" w:type="dxa"/>
          </w:tcPr>
          <w:p w:rsidR="00CE3364" w:rsidRPr="002D7E91" w:rsidRDefault="00CE3364" w:rsidP="00D0158C">
            <w:pPr>
              <w:pStyle w:val="Tabletext"/>
              <w:jc w:val="center"/>
              <w:rPr>
                <w:lang w:val="es-ES_tradnl"/>
              </w:rPr>
            </w:pPr>
            <w:r w:rsidRPr="002D7E91">
              <w:rPr>
                <w:lang w:val="es-ES_tradnl"/>
              </w:rPr>
              <w:t>5</w:t>
            </w:r>
          </w:p>
        </w:tc>
        <w:tc>
          <w:tcPr>
            <w:tcW w:w="2268" w:type="dxa"/>
          </w:tcPr>
          <w:p w:rsidR="00CE3364" w:rsidRPr="002D7E91" w:rsidRDefault="00CE3364" w:rsidP="00D0158C">
            <w:pPr>
              <w:pStyle w:val="Tabletext"/>
              <w:jc w:val="center"/>
              <w:rPr>
                <w:lang w:val="es-ES_tradnl"/>
              </w:rPr>
            </w:pPr>
            <w:r w:rsidRPr="002D7E91">
              <w:rPr>
                <w:lang w:val="es-ES_tradnl"/>
              </w:rPr>
              <w:t>5</w:t>
            </w:r>
          </w:p>
        </w:tc>
      </w:tr>
    </w:tbl>
    <w:p w:rsidR="00CE3364" w:rsidRPr="002D7E91" w:rsidRDefault="00CE3364" w:rsidP="00CE3364">
      <w:pPr>
        <w:pStyle w:val="Tablefin"/>
        <w:rPr>
          <w:lang w:val="es-ES_tradnl"/>
        </w:rPr>
      </w:pPr>
    </w:p>
    <w:p w:rsidR="00CE3364" w:rsidRPr="002D7E91" w:rsidRDefault="00CE3364" w:rsidP="0060326B">
      <w:pPr>
        <w:rPr>
          <w:lang w:val="es-ES_tradnl"/>
        </w:rPr>
      </w:pPr>
      <w:r w:rsidRPr="002D7E91">
        <w:rPr>
          <w:lang w:val="es-ES_tradnl"/>
        </w:rPr>
        <w:t>En la Fig</w:t>
      </w:r>
      <w:r w:rsidR="0060326B">
        <w:rPr>
          <w:lang w:val="es-ES_tradnl"/>
        </w:rPr>
        <w:t>.</w:t>
      </w:r>
      <w:r w:rsidRPr="002D7E91">
        <w:rPr>
          <w:lang w:val="es-ES_tradnl"/>
        </w:rPr>
        <w:t xml:space="preserve"> 5 se muestran estas zonas con más detalle.</w:t>
      </w:r>
    </w:p>
    <w:p w:rsidR="00CE3364" w:rsidRPr="002D7E91" w:rsidRDefault="00CE3364" w:rsidP="00CE3364">
      <w:pPr>
        <w:pStyle w:val="FigureNo"/>
        <w:rPr>
          <w:lang w:val="es-ES_tradnl"/>
        </w:rPr>
      </w:pPr>
      <w:r w:rsidRPr="002D7E91">
        <w:rPr>
          <w:lang w:val="es-ES_tradnl"/>
        </w:rPr>
        <w:lastRenderedPageBreak/>
        <w:t>FIGURA 5</w:t>
      </w:r>
    </w:p>
    <w:p w:rsidR="00CE3364" w:rsidRPr="002D7E91" w:rsidRDefault="00CE3364" w:rsidP="00CE3364">
      <w:pPr>
        <w:pStyle w:val="Figuretitle"/>
        <w:rPr>
          <w:lang w:val="es-ES_tradnl"/>
        </w:rPr>
      </w:pPr>
      <w:r w:rsidRPr="002D7E91">
        <w:rPr>
          <w:lang w:val="es-ES_tradnl"/>
        </w:rPr>
        <w:t>Recorte de la imagen completa de 16:9, exploración progresiva de 2 160 líneas</w:t>
      </w:r>
    </w:p>
    <w:p w:rsidR="00CE3364" w:rsidRPr="002D7E91" w:rsidRDefault="00346350" w:rsidP="00CE3364">
      <w:pPr>
        <w:pStyle w:val="Figure"/>
        <w:rPr>
          <w:lang w:val="es-ES_tradnl"/>
        </w:rPr>
      </w:pPr>
      <w:r w:rsidRPr="002D7E91">
        <w:rPr>
          <w:lang w:val="es-ES_tradnl"/>
        </w:rPr>
        <w:object w:dxaOrig="6933" w:dyaOrig="4094">
          <v:shape id="_x0000_i1029" type="#_x0000_t75" style="width:420.75pt;height:251.05pt" o:ole="">
            <v:imagedata r:id="rId22" o:title="" cropbottom="-1156f" cropright="-494f"/>
          </v:shape>
          <o:OLEObject Type="Embed" ProgID="CorelDraw.Graphic.16" ShapeID="_x0000_i1029" DrawAspect="Content" ObjectID="_1587803947" r:id="rId23"/>
        </w:object>
      </w:r>
    </w:p>
    <w:p w:rsidR="00CE3364" w:rsidRPr="002D7E91" w:rsidRDefault="00CE3364" w:rsidP="00CE3364">
      <w:pPr>
        <w:rPr>
          <w:lang w:val="es-ES_tradnl"/>
        </w:rPr>
      </w:pPr>
      <w:r w:rsidRPr="002D7E91">
        <w:rPr>
          <w:lang w:val="es-ES_tradnl"/>
        </w:rPr>
        <w:t xml:space="preserve">Las definiciones de las zonas de seguridad se expresan en números de líneas y píxeles, que son más precisos que los porcentajes utilizados anteriormente. No obstante, se incluyen también los porcentajes porque las comparaciones se han basado en porcentaje. </w:t>
      </w:r>
    </w:p>
    <w:p w:rsidR="00CE3364" w:rsidRPr="002D7E91" w:rsidRDefault="00CE3364" w:rsidP="00CE3364">
      <w:pPr>
        <w:rPr>
          <w:lang w:val="es-ES_tradnl"/>
        </w:rPr>
      </w:pPr>
      <w:r w:rsidRPr="002D7E91">
        <w:rPr>
          <w:lang w:val="es-ES_tradnl"/>
        </w:rPr>
        <w:t>Por tanto, los dibujos dan las líneas primera y última y los píxeles primero y último que están dentro de las zonas de seguridad.</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nnexNoTitle"/>
        <w:rPr>
          <w:lang w:val="es-ES_tradnl"/>
        </w:rPr>
      </w:pPr>
      <w:r w:rsidRPr="002D7E91">
        <w:rPr>
          <w:lang w:val="es-ES_tradnl"/>
        </w:rPr>
        <w:t>Anexo 5</w:t>
      </w:r>
      <w:r w:rsidRPr="002D7E91">
        <w:rPr>
          <w:lang w:val="es-ES_tradnl"/>
        </w:rPr>
        <w:br/>
      </w:r>
      <w:r w:rsidRPr="002D7E91">
        <w:rPr>
          <w:lang w:val="es-ES_tradnl"/>
        </w:rPr>
        <w:br/>
        <w:t xml:space="preserve">Zonas de seguridad en programas de televisión para </w:t>
      </w:r>
      <w:r w:rsidRPr="002D7E91">
        <w:rPr>
          <w:lang w:val="es-ES_tradnl"/>
        </w:rPr>
        <w:br/>
        <w:t>transmisión de 4 320 líneas de pantalla grande</w:t>
      </w:r>
    </w:p>
    <w:p w:rsidR="00CE3364" w:rsidRPr="002D7E91" w:rsidRDefault="00CE3364" w:rsidP="00A207D0">
      <w:pPr>
        <w:pStyle w:val="Normalaftertitle"/>
        <w:rPr>
          <w:lang w:val="es-ES_tradnl"/>
        </w:rPr>
      </w:pPr>
      <w:r w:rsidRPr="002D7E91">
        <w:rPr>
          <w:lang w:val="es-ES_tradnl"/>
        </w:rPr>
        <w:t>Estas directrices van dirigidas a todos los que intervienen en cualquier etapa del proceso de utilización de programas y a los fabricantes de equipos de producción de programas destinados a la radiodifusión utilizando sistemas de transmisión de 4 320 líneas.</w:t>
      </w:r>
    </w:p>
    <w:p w:rsidR="00CE3364" w:rsidRPr="002D7E91" w:rsidRDefault="00CE3364" w:rsidP="0060326B">
      <w:pPr>
        <w:pStyle w:val="Note"/>
        <w:rPr>
          <w:lang w:val="es-ES_tradnl"/>
        </w:rPr>
      </w:pPr>
      <w:r w:rsidRPr="002D7E91">
        <w:rPr>
          <w:lang w:val="es-ES_tradnl"/>
        </w:rPr>
        <w:t>NOTA – Dentro de este Anexo se reconoce que la nomenclatura implicó cierto intercambio entre los términos líneas y píxeles. En la Fig</w:t>
      </w:r>
      <w:r w:rsidR="0060326B">
        <w:rPr>
          <w:lang w:val="es-ES_tradnl"/>
        </w:rPr>
        <w:t>.</w:t>
      </w:r>
      <w:r w:rsidRPr="002D7E91">
        <w:rPr>
          <w:lang w:val="es-ES_tradnl"/>
        </w:rPr>
        <w:t xml:space="preserve"> 6 siguiente, se aplicó el recuento de píxeles para las dimensiones tanto horizontal como vertical.</w:t>
      </w:r>
    </w:p>
    <w:p w:rsidR="00CE3364" w:rsidRPr="002D7E91" w:rsidRDefault="00CE3364" w:rsidP="00CE3364">
      <w:pPr>
        <w:rPr>
          <w:lang w:val="es-ES_tradnl"/>
        </w:rPr>
      </w:pPr>
    </w:p>
    <w:p w:rsidR="00CE3364" w:rsidRPr="002D7E91" w:rsidRDefault="00CE3364" w:rsidP="00CE3364">
      <w:pPr>
        <w:rPr>
          <w:lang w:val="es-ES_tradnl"/>
        </w:rPr>
      </w:pPr>
    </w:p>
    <w:p w:rsidR="00CE3364" w:rsidRPr="002D7E91" w:rsidRDefault="00CE3364" w:rsidP="00CE3364">
      <w:pPr>
        <w:pStyle w:val="AppendixNoTitle"/>
        <w:rPr>
          <w:lang w:val="es-ES_tradnl"/>
        </w:rPr>
      </w:pPr>
      <w:r w:rsidRPr="002D7E91">
        <w:rPr>
          <w:lang w:val="es-ES_tradnl"/>
        </w:rPr>
        <w:lastRenderedPageBreak/>
        <w:t>Apéndice 1</w:t>
      </w:r>
      <w:r w:rsidRPr="002D7E91">
        <w:rPr>
          <w:lang w:val="es-ES_tradnl"/>
        </w:rPr>
        <w:br/>
        <w:t>del Anexo 5</w:t>
      </w:r>
      <w:r w:rsidRPr="002D7E91">
        <w:rPr>
          <w:lang w:val="es-ES_tradnl"/>
        </w:rPr>
        <w:br/>
      </w:r>
      <w:r w:rsidRPr="002D7E91">
        <w:rPr>
          <w:lang w:val="es-ES_tradnl"/>
        </w:rPr>
        <w:br/>
        <w:t>Zonas de seguridad en programas de televisión elaborados en el formato de exploración progresiva de 4 320 líneas de pantalla grande de formato 16:9: recorte de la imagen completa de 16:9</w:t>
      </w:r>
    </w:p>
    <w:p w:rsidR="00CE3364" w:rsidRPr="002D7E91" w:rsidRDefault="00CE3364" w:rsidP="00A207D0">
      <w:pPr>
        <w:pStyle w:val="Normalaftertitle"/>
        <w:rPr>
          <w:lang w:val="es-ES_tradnl"/>
        </w:rPr>
      </w:pPr>
      <w:r w:rsidRPr="002D7E91">
        <w:rPr>
          <w:lang w:val="es-ES_tradnl"/>
        </w:rPr>
        <w:t>En el Cuadro 6 se muestra cómo se definen las zonas de acción y de gráficos para proteger toda la imagen de pantalla grande de 16:9.</w:t>
      </w:r>
    </w:p>
    <w:p w:rsidR="00CE3364" w:rsidRPr="002D7E91" w:rsidRDefault="00CE3364" w:rsidP="00CE3364">
      <w:pPr>
        <w:pStyle w:val="TableNo"/>
        <w:rPr>
          <w:lang w:val="es-ES_tradnl"/>
        </w:rPr>
      </w:pPr>
      <w:r w:rsidRPr="002D7E91">
        <w:rPr>
          <w:lang w:val="es-ES_tradnl"/>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CE3364" w:rsidRPr="002D7E91" w:rsidTr="00D0158C">
        <w:trPr>
          <w:jc w:val="center"/>
        </w:trPr>
        <w:tc>
          <w:tcPr>
            <w:tcW w:w="3969" w:type="dxa"/>
            <w:tcBorders>
              <w:top w:val="nil"/>
              <w:left w:val="nil"/>
            </w:tcBorders>
          </w:tcPr>
          <w:p w:rsidR="00CE3364" w:rsidRPr="002D7E91" w:rsidRDefault="00CE3364" w:rsidP="00D015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2268" w:type="dxa"/>
          </w:tcPr>
          <w:p w:rsidR="00CE3364" w:rsidRPr="002D7E91" w:rsidRDefault="00CE3364" w:rsidP="00D0158C">
            <w:pPr>
              <w:pStyle w:val="Tablehead"/>
              <w:rPr>
                <w:lang w:val="es-ES_tradnl"/>
              </w:rPr>
            </w:pPr>
            <w:r w:rsidRPr="002D7E91">
              <w:rPr>
                <w:lang w:val="es-ES_tradnl"/>
              </w:rPr>
              <w:t>Vertical</w:t>
            </w:r>
          </w:p>
        </w:tc>
        <w:tc>
          <w:tcPr>
            <w:tcW w:w="2268" w:type="dxa"/>
          </w:tcPr>
          <w:p w:rsidR="00CE3364" w:rsidRPr="002D7E91" w:rsidRDefault="00CE3364" w:rsidP="00D0158C">
            <w:pPr>
              <w:pStyle w:val="Tablehead"/>
              <w:rPr>
                <w:lang w:val="es-ES_tradnl"/>
              </w:rPr>
            </w:pPr>
            <w:r w:rsidRPr="002D7E91">
              <w:rPr>
                <w:lang w:val="es-ES_tradnl"/>
              </w:rPr>
              <w:t>Horizontal</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la acción (%)</w:t>
            </w:r>
          </w:p>
        </w:tc>
        <w:tc>
          <w:tcPr>
            <w:tcW w:w="2268" w:type="dxa"/>
          </w:tcPr>
          <w:p w:rsidR="00CE3364" w:rsidRPr="002D7E91" w:rsidRDefault="00CE3364" w:rsidP="00D0158C">
            <w:pPr>
              <w:pStyle w:val="Tabletext"/>
              <w:jc w:val="center"/>
              <w:rPr>
                <w:lang w:val="es-ES_tradnl"/>
              </w:rPr>
            </w:pPr>
            <w:r w:rsidRPr="002D7E91">
              <w:rPr>
                <w:lang w:val="es-ES_tradnl"/>
              </w:rPr>
              <w:t>3,5</w:t>
            </w:r>
          </w:p>
        </w:tc>
        <w:tc>
          <w:tcPr>
            <w:tcW w:w="2268" w:type="dxa"/>
          </w:tcPr>
          <w:p w:rsidR="00CE3364" w:rsidRPr="002D7E91" w:rsidRDefault="00CE3364" w:rsidP="00D0158C">
            <w:pPr>
              <w:pStyle w:val="Tabletext"/>
              <w:jc w:val="center"/>
              <w:rPr>
                <w:lang w:val="es-ES_tradnl"/>
              </w:rPr>
            </w:pPr>
            <w:r w:rsidRPr="002D7E91">
              <w:rPr>
                <w:lang w:val="es-ES_tradnl"/>
              </w:rPr>
              <w:t>3,5</w:t>
            </w:r>
          </w:p>
        </w:tc>
      </w:tr>
      <w:tr w:rsidR="00CE3364" w:rsidRPr="002D7E91" w:rsidTr="00D0158C">
        <w:trPr>
          <w:jc w:val="center"/>
        </w:trPr>
        <w:tc>
          <w:tcPr>
            <w:tcW w:w="3969" w:type="dxa"/>
          </w:tcPr>
          <w:p w:rsidR="00CE3364" w:rsidRPr="002D7E91" w:rsidRDefault="00CE3364" w:rsidP="00D0158C">
            <w:pPr>
              <w:pStyle w:val="Tabletext"/>
              <w:rPr>
                <w:lang w:val="es-ES_tradnl"/>
              </w:rPr>
            </w:pPr>
            <w:r w:rsidRPr="002D7E91">
              <w:rPr>
                <w:lang w:val="es-ES_tradnl"/>
              </w:rPr>
              <w:t>Margen seguro de los gráficos (%)</w:t>
            </w:r>
          </w:p>
        </w:tc>
        <w:tc>
          <w:tcPr>
            <w:tcW w:w="2268" w:type="dxa"/>
          </w:tcPr>
          <w:p w:rsidR="00CE3364" w:rsidRPr="002D7E91" w:rsidRDefault="00CE3364" w:rsidP="00D0158C">
            <w:pPr>
              <w:pStyle w:val="Tabletext"/>
              <w:jc w:val="center"/>
              <w:rPr>
                <w:lang w:val="es-ES_tradnl"/>
              </w:rPr>
            </w:pPr>
            <w:r w:rsidRPr="002D7E91">
              <w:rPr>
                <w:lang w:val="es-ES_tradnl"/>
              </w:rPr>
              <w:t>5</w:t>
            </w:r>
          </w:p>
        </w:tc>
        <w:tc>
          <w:tcPr>
            <w:tcW w:w="2268" w:type="dxa"/>
          </w:tcPr>
          <w:p w:rsidR="00CE3364" w:rsidRPr="002D7E91" w:rsidRDefault="00CE3364" w:rsidP="00D0158C">
            <w:pPr>
              <w:pStyle w:val="Tabletext"/>
              <w:jc w:val="center"/>
              <w:rPr>
                <w:lang w:val="es-ES_tradnl"/>
              </w:rPr>
            </w:pPr>
            <w:r w:rsidRPr="002D7E91">
              <w:rPr>
                <w:lang w:val="es-ES_tradnl"/>
              </w:rPr>
              <w:t>5</w:t>
            </w:r>
          </w:p>
        </w:tc>
      </w:tr>
    </w:tbl>
    <w:p w:rsidR="00CE3364" w:rsidRPr="002D7E91" w:rsidRDefault="00CE3364" w:rsidP="00CE3364">
      <w:pPr>
        <w:pStyle w:val="Tablefin"/>
        <w:rPr>
          <w:lang w:val="es-ES_tradnl"/>
        </w:rPr>
      </w:pPr>
    </w:p>
    <w:p w:rsidR="00CE3364" w:rsidRPr="002D7E91" w:rsidRDefault="00CE3364" w:rsidP="0060326B">
      <w:pPr>
        <w:rPr>
          <w:lang w:val="es-ES_tradnl"/>
        </w:rPr>
      </w:pPr>
      <w:r w:rsidRPr="002D7E91">
        <w:rPr>
          <w:lang w:val="es-ES_tradnl"/>
        </w:rPr>
        <w:t xml:space="preserve">En la </w:t>
      </w:r>
      <w:r w:rsidR="0060326B">
        <w:rPr>
          <w:lang w:val="es-ES_tradnl"/>
        </w:rPr>
        <w:t>Fig.</w:t>
      </w:r>
      <w:r w:rsidRPr="002D7E91">
        <w:rPr>
          <w:lang w:val="es-ES_tradnl"/>
        </w:rPr>
        <w:t xml:space="preserve"> 6 se muestran estas zonas con más detalle.</w:t>
      </w:r>
    </w:p>
    <w:p w:rsidR="00CE3364" w:rsidRPr="002D7E91" w:rsidRDefault="00CE3364" w:rsidP="00CE3364">
      <w:pPr>
        <w:pStyle w:val="FigureNo"/>
        <w:rPr>
          <w:lang w:val="es-ES_tradnl"/>
        </w:rPr>
      </w:pPr>
      <w:r w:rsidRPr="002D7E91">
        <w:rPr>
          <w:lang w:val="es-ES_tradnl"/>
        </w:rPr>
        <w:t>FIGURA 6</w:t>
      </w:r>
    </w:p>
    <w:p w:rsidR="00CE3364" w:rsidRPr="002D7E91" w:rsidRDefault="00CE3364" w:rsidP="00CE3364">
      <w:pPr>
        <w:pStyle w:val="Figuretitle"/>
        <w:rPr>
          <w:lang w:val="es-ES_tradnl"/>
        </w:rPr>
      </w:pPr>
      <w:r w:rsidRPr="002D7E91">
        <w:rPr>
          <w:lang w:val="es-ES_tradnl"/>
        </w:rPr>
        <w:t>Recorte de la imagen completa de 16:9, exploración progresiva de 4 320 líneas</w:t>
      </w:r>
    </w:p>
    <w:p w:rsidR="00CE3364" w:rsidRPr="002D7E91" w:rsidRDefault="00346350" w:rsidP="00CE3364">
      <w:pPr>
        <w:pStyle w:val="Figure"/>
        <w:rPr>
          <w:lang w:val="es-ES_tradnl"/>
        </w:rPr>
      </w:pPr>
      <w:r w:rsidRPr="002D7E91">
        <w:rPr>
          <w:lang w:val="es-ES_tradnl"/>
        </w:rPr>
        <w:object w:dxaOrig="6936" w:dyaOrig="4094">
          <v:shape id="_x0000_i1030" type="#_x0000_t75" style="width:422pt;height:250.45pt" o:ole="">
            <v:imagedata r:id="rId24" o:title="" cropbottom="-996f" cropright="-691f"/>
          </v:shape>
          <o:OLEObject Type="Embed" ProgID="CorelDraw.Graphic.16" ShapeID="_x0000_i1030" DrawAspect="Content" ObjectID="_1587803948" r:id="rId25"/>
        </w:object>
      </w:r>
    </w:p>
    <w:p w:rsidR="00CE3364" w:rsidRPr="002D7E91" w:rsidRDefault="00CE3364" w:rsidP="00CE3364">
      <w:pPr>
        <w:rPr>
          <w:lang w:val="es-ES_tradnl"/>
        </w:rPr>
      </w:pPr>
      <w:r w:rsidRPr="002D7E91">
        <w:rPr>
          <w:lang w:val="es-ES_tradnl"/>
        </w:rPr>
        <w:t>Las definiciones de las zonas de seguridad se expresan en números de líneas y píxeles, que son más precisos que los porcentajes utilizados anteriormente. No obstante, se incluyen también los porcentajes porque las compa</w:t>
      </w:r>
      <w:bookmarkStart w:id="4" w:name="_GoBack"/>
      <w:bookmarkEnd w:id="4"/>
      <w:r w:rsidRPr="002D7E91">
        <w:rPr>
          <w:lang w:val="es-ES_tradnl"/>
        </w:rPr>
        <w:t>raciones se han basado en porcentaje.</w:t>
      </w:r>
    </w:p>
    <w:p w:rsidR="00CE3364" w:rsidRPr="002D7E91" w:rsidRDefault="00CE3364" w:rsidP="00CE3364">
      <w:pPr>
        <w:rPr>
          <w:lang w:val="es-ES_tradnl"/>
        </w:rPr>
      </w:pPr>
      <w:r w:rsidRPr="002D7E91">
        <w:rPr>
          <w:lang w:val="es-ES_tradnl"/>
        </w:rPr>
        <w:t>Por tanto, los dibujos dan las líneas primera y última y los píxeles primero y último que están dentro de las zonas de seguridad.</w:t>
      </w:r>
    </w:p>
    <w:p w:rsidR="00CE3364" w:rsidRPr="002D7E91" w:rsidRDefault="00CE3364" w:rsidP="00CE3364">
      <w:pPr>
        <w:pStyle w:val="Reasons"/>
        <w:rPr>
          <w:lang w:val="es-ES_tradnl"/>
        </w:rPr>
      </w:pPr>
    </w:p>
    <w:p w:rsidR="00CE3364" w:rsidRPr="002D7E91" w:rsidRDefault="00CE3364" w:rsidP="00CE3364">
      <w:pPr>
        <w:jc w:val="center"/>
        <w:rPr>
          <w:lang w:val="es-ES_tradnl"/>
        </w:rPr>
      </w:pPr>
      <w:r w:rsidRPr="002D7E91">
        <w:rPr>
          <w:lang w:val="es-ES_tradnl"/>
        </w:rPr>
        <w:t>______________</w:t>
      </w:r>
    </w:p>
    <w:p w:rsidR="00F77F28" w:rsidRDefault="00F77F28" w:rsidP="00344123">
      <w:pPr>
        <w:pStyle w:val="RecNo"/>
        <w:spacing w:before="0"/>
        <w:rPr>
          <w:lang w:val="es-ES_tradnl"/>
        </w:rPr>
      </w:pPr>
    </w:p>
    <w:sectPr w:rsidR="00F77F28" w:rsidSect="00344123">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 w:id="1">
    <w:p w:rsidR="00CE3364" w:rsidRPr="00164F83" w:rsidRDefault="00CE3364" w:rsidP="00CE3364">
      <w:pPr>
        <w:pStyle w:val="FootnoteText"/>
        <w:rPr>
          <w:lang w:val="es-ES_tradnl"/>
        </w:rPr>
      </w:pPr>
      <w:r w:rsidRPr="00164F83">
        <w:rPr>
          <w:rStyle w:val="FootnoteReference"/>
          <w:lang w:val="es-ES_tradnl"/>
        </w:rPr>
        <w:t>*</w:t>
      </w:r>
      <w:r w:rsidRPr="00164F83">
        <w:rPr>
          <w:lang w:val="es-ES_tradnl"/>
        </w:rPr>
        <w:tab/>
        <w:t>Las zonas de seguridad están ubicadas en la zona de imagen activa de los sistemas de producción de televisión y garantizan la visibilidad de elementos de imagen críticos de los programas de televisión en la mayoría de los receptores domésticos de televisión. Las zonas de seguridad se definen generalmente mediante una zona de acción de seguridad y una zona gráfica de seguridad; la zona de acción de seguridad es la máxima zona de imagen a la que deben circunscribirse todas las acciones significativas, y la zona gráfica de seguridad es la máxima zona de imagen a la que deben circunscribirse todos los gráficos significativos.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A26D18">
      <w:rPr>
        <w:rStyle w:val="PageNumber"/>
        <w:b/>
        <w:bCs/>
        <w:noProof/>
      </w:rPr>
      <w:t>ii</w:t>
    </w:r>
    <w:r>
      <w:rPr>
        <w:rStyle w:val="PageNumber"/>
        <w:b/>
        <w:bCs/>
      </w:rPr>
      <w:fldChar w:fldCharType="end"/>
    </w:r>
    <w:r w:rsidR="00987473">
      <w:tab/>
    </w:r>
    <w:r w:rsidR="00235212">
      <w:fldChar w:fldCharType="begin"/>
    </w:r>
    <w:r w:rsidR="00235212">
      <w:instrText xml:space="preserve"> DOCPROPERTY "Header" \* MERGEFORMAT </w:instrText>
    </w:r>
    <w:r w:rsidR="00235212">
      <w:fldChar w:fldCharType="separate"/>
    </w:r>
    <w:r w:rsidR="00A26D18" w:rsidRPr="00A26D18">
      <w:rPr>
        <w:b/>
        <w:bCs/>
      </w:rPr>
      <w:t xml:space="preserve">Rec. </w:t>
    </w:r>
    <w:r w:rsidR="00235212">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A26D18">
      <w:rPr>
        <w:b/>
        <w:bCs/>
        <w:noProof/>
      </w:rPr>
      <w:t>UIT-R  BT.1848-1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235212">
      <w:fldChar w:fldCharType="begin"/>
    </w:r>
    <w:r w:rsidR="00235212">
      <w:instrText xml:space="preserve"> DOCPROPERTY "Header" \* MERGEFORMAT </w:instrText>
    </w:r>
    <w:r w:rsidR="00235212">
      <w:fldChar w:fldCharType="separate"/>
    </w:r>
    <w:r w:rsidR="00A26D18" w:rsidRPr="00A26D18">
      <w:rPr>
        <w:b/>
        <w:bCs/>
      </w:rPr>
      <w:t xml:space="preserve">Rec. </w:t>
    </w:r>
    <w:r w:rsidR="00235212">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A26D18">
      <w:rPr>
        <w:b/>
        <w:bCs/>
        <w:noProof/>
      </w:rPr>
      <w:t>UIT-R  BT.1848-1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235212">
      <w:rPr>
        <w:rStyle w:val="PageNumber"/>
        <w:b/>
        <w:bCs/>
        <w:noProof/>
        <w:lang w:val="en-US"/>
      </w:rPr>
      <w:t>10</w:t>
    </w:r>
    <w:r>
      <w:rPr>
        <w:rStyle w:val="PageNumber"/>
        <w:b/>
        <w:bCs/>
      </w:rPr>
      <w:fldChar w:fldCharType="end"/>
    </w:r>
    <w:r w:rsidR="00987473">
      <w:rPr>
        <w:lang w:val="en-US"/>
      </w:rPr>
      <w:tab/>
    </w:r>
    <w:r w:rsidR="00235212">
      <w:fldChar w:fldCharType="begin"/>
    </w:r>
    <w:r w:rsidR="00235212">
      <w:instrText xml:space="preserve"> DOCPROPERTY "Header" \* MERGEFORMAT </w:instrText>
    </w:r>
    <w:r w:rsidR="00235212">
      <w:fldChar w:fldCharType="separate"/>
    </w:r>
    <w:r w:rsidR="00A26D18" w:rsidRPr="00A26D18">
      <w:rPr>
        <w:b/>
        <w:bCs/>
        <w:lang w:val="en-US"/>
      </w:rPr>
      <w:t xml:space="preserve">Rec. </w:t>
    </w:r>
    <w:r w:rsidR="00235212">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235212">
      <w:rPr>
        <w:b/>
        <w:bCs/>
        <w:noProof/>
      </w:rPr>
      <w:t>UIT-R  BT.1848-1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235212">
      <w:fldChar w:fldCharType="begin"/>
    </w:r>
    <w:r w:rsidR="00235212">
      <w:instrText xml:space="preserve"> DOCPROPERTY "Header" \* MERGEFORMAT </w:instrText>
    </w:r>
    <w:r w:rsidR="00235212">
      <w:fldChar w:fldCharType="separate"/>
    </w:r>
    <w:r w:rsidR="00A26D18" w:rsidRPr="00A26D18">
      <w:rPr>
        <w:b/>
        <w:bCs/>
      </w:rPr>
      <w:t xml:space="preserve">Rec. </w:t>
    </w:r>
    <w:r w:rsidR="00235212">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235212">
      <w:rPr>
        <w:b/>
        <w:bCs/>
        <w:noProof/>
      </w:rPr>
      <w:t>UIT-R  BT.1848-1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235212">
      <w:rPr>
        <w:rStyle w:val="PageNumber"/>
        <w:b/>
        <w:bCs/>
        <w:noProof/>
      </w:rPr>
      <w:t>9</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B3F9D"/>
    <w:rsid w:val="001E29DB"/>
    <w:rsid w:val="00227CED"/>
    <w:rsid w:val="00235212"/>
    <w:rsid w:val="0025326C"/>
    <w:rsid w:val="00284AF8"/>
    <w:rsid w:val="002D76C4"/>
    <w:rsid w:val="00317A39"/>
    <w:rsid w:val="0032222F"/>
    <w:rsid w:val="00344123"/>
    <w:rsid w:val="00346350"/>
    <w:rsid w:val="00360BEA"/>
    <w:rsid w:val="00363854"/>
    <w:rsid w:val="00364BE9"/>
    <w:rsid w:val="003657DB"/>
    <w:rsid w:val="003829F0"/>
    <w:rsid w:val="004156D2"/>
    <w:rsid w:val="004452A9"/>
    <w:rsid w:val="00474E13"/>
    <w:rsid w:val="004B5CC6"/>
    <w:rsid w:val="005726A7"/>
    <w:rsid w:val="005777F3"/>
    <w:rsid w:val="005F43D1"/>
    <w:rsid w:val="0060326B"/>
    <w:rsid w:val="00607D68"/>
    <w:rsid w:val="00633625"/>
    <w:rsid w:val="006553B9"/>
    <w:rsid w:val="006818DE"/>
    <w:rsid w:val="00684CC5"/>
    <w:rsid w:val="006C7692"/>
    <w:rsid w:val="00721270"/>
    <w:rsid w:val="007A0B78"/>
    <w:rsid w:val="008376E4"/>
    <w:rsid w:val="00841C89"/>
    <w:rsid w:val="008A2014"/>
    <w:rsid w:val="008B6031"/>
    <w:rsid w:val="00930489"/>
    <w:rsid w:val="00954D24"/>
    <w:rsid w:val="00965853"/>
    <w:rsid w:val="00987473"/>
    <w:rsid w:val="009940E7"/>
    <w:rsid w:val="009E1F8B"/>
    <w:rsid w:val="009E470E"/>
    <w:rsid w:val="00A207D0"/>
    <w:rsid w:val="00A26D18"/>
    <w:rsid w:val="00A26FDC"/>
    <w:rsid w:val="00A43420"/>
    <w:rsid w:val="00A54278"/>
    <w:rsid w:val="00A55737"/>
    <w:rsid w:val="00A6617B"/>
    <w:rsid w:val="00A921CB"/>
    <w:rsid w:val="00AB0DC8"/>
    <w:rsid w:val="00AC6266"/>
    <w:rsid w:val="00AE798C"/>
    <w:rsid w:val="00AF6707"/>
    <w:rsid w:val="00B17542"/>
    <w:rsid w:val="00B37FDF"/>
    <w:rsid w:val="00B44E24"/>
    <w:rsid w:val="00B4535E"/>
    <w:rsid w:val="00C058C9"/>
    <w:rsid w:val="00C225E7"/>
    <w:rsid w:val="00C23DBD"/>
    <w:rsid w:val="00C86E03"/>
    <w:rsid w:val="00CC6858"/>
    <w:rsid w:val="00CD276D"/>
    <w:rsid w:val="00CE3364"/>
    <w:rsid w:val="00DF4176"/>
    <w:rsid w:val="00E35FD1"/>
    <w:rsid w:val="00E40FF2"/>
    <w:rsid w:val="00EB1B24"/>
    <w:rsid w:val="00EC539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3364"/>
    <w:pPr>
      <w:keepNext/>
      <w:keepLines/>
      <w:spacing w:before="480"/>
      <w:ind w:left="794" w:hanging="794"/>
      <w:outlineLvl w:val="0"/>
    </w:pPr>
    <w:rPr>
      <w:b/>
    </w:rPr>
  </w:style>
  <w:style w:type="paragraph" w:styleId="Heading2">
    <w:name w:val="heading 2"/>
    <w:basedOn w:val="Heading1"/>
    <w:next w:val="Normal"/>
    <w:qFormat/>
    <w:rsid w:val="00CE3364"/>
    <w:pPr>
      <w:spacing w:before="320"/>
      <w:outlineLvl w:val="1"/>
    </w:pPr>
  </w:style>
  <w:style w:type="paragraph" w:styleId="Heading3">
    <w:name w:val="heading 3"/>
    <w:basedOn w:val="Heading1"/>
    <w:next w:val="Normal"/>
    <w:qFormat/>
    <w:rsid w:val="00CE3364"/>
    <w:pPr>
      <w:spacing w:before="200"/>
      <w:outlineLvl w:val="2"/>
    </w:pPr>
  </w:style>
  <w:style w:type="paragraph" w:styleId="Heading4">
    <w:name w:val="heading 4"/>
    <w:basedOn w:val="Heading3"/>
    <w:next w:val="Normal"/>
    <w:qFormat/>
    <w:rsid w:val="00CE3364"/>
    <w:pPr>
      <w:tabs>
        <w:tab w:val="clear" w:pos="794"/>
        <w:tab w:val="left" w:pos="992"/>
      </w:tabs>
      <w:ind w:left="992" w:hanging="992"/>
      <w:outlineLvl w:val="3"/>
    </w:pPr>
  </w:style>
  <w:style w:type="paragraph" w:styleId="Heading5">
    <w:name w:val="heading 5"/>
    <w:basedOn w:val="Heading4"/>
    <w:next w:val="Normal"/>
    <w:qFormat/>
    <w:rsid w:val="00CE3364"/>
    <w:pPr>
      <w:outlineLvl w:val="4"/>
    </w:pPr>
  </w:style>
  <w:style w:type="paragraph" w:styleId="Heading6">
    <w:name w:val="heading 6"/>
    <w:basedOn w:val="Heading4"/>
    <w:next w:val="Normal"/>
    <w:qFormat/>
    <w:rsid w:val="00CE3364"/>
    <w:pPr>
      <w:tabs>
        <w:tab w:val="clear" w:pos="992"/>
        <w:tab w:val="clear" w:pos="1191"/>
      </w:tabs>
      <w:ind w:left="1588" w:hanging="1588"/>
      <w:outlineLvl w:val="5"/>
    </w:pPr>
  </w:style>
  <w:style w:type="paragraph" w:styleId="Heading7">
    <w:name w:val="heading 7"/>
    <w:basedOn w:val="Heading6"/>
    <w:next w:val="Normal"/>
    <w:qFormat/>
    <w:rsid w:val="00CE3364"/>
    <w:pPr>
      <w:outlineLvl w:val="6"/>
    </w:pPr>
  </w:style>
  <w:style w:type="paragraph" w:styleId="Heading8">
    <w:name w:val="heading 8"/>
    <w:basedOn w:val="Heading6"/>
    <w:next w:val="Normal"/>
    <w:qFormat/>
    <w:rsid w:val="00CE3364"/>
    <w:pPr>
      <w:outlineLvl w:val="7"/>
    </w:pPr>
  </w:style>
  <w:style w:type="paragraph" w:styleId="Heading9">
    <w:name w:val="heading 9"/>
    <w:basedOn w:val="Heading6"/>
    <w:next w:val="Normal"/>
    <w:qFormat/>
    <w:rsid w:val="00CE3364"/>
    <w:pPr>
      <w:jc w:val="left"/>
      <w:outlineLvl w:val="8"/>
    </w:pPr>
  </w:style>
  <w:style w:type="character" w:default="1" w:styleId="DefaultParagraphFont">
    <w:name w:val="Default Paragraph Font"/>
    <w:uiPriority w:val="1"/>
    <w:semiHidden/>
    <w:unhideWhenUsed/>
    <w:rsid w:val="00CE336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E3364"/>
  </w:style>
  <w:style w:type="paragraph" w:styleId="Header">
    <w:name w:val="header"/>
    <w:basedOn w:val="Normal"/>
    <w:rsid w:val="00CE33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33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3364"/>
  </w:style>
  <w:style w:type="paragraph" w:customStyle="1" w:styleId="Headingb">
    <w:name w:val="Heading_b"/>
    <w:basedOn w:val="Heading3"/>
    <w:next w:val="Normal"/>
    <w:rsid w:val="00CE3364"/>
    <w:pPr>
      <w:spacing w:before="160"/>
      <w:ind w:left="0" w:firstLine="0"/>
      <w:outlineLvl w:val="9"/>
    </w:pPr>
  </w:style>
  <w:style w:type="paragraph" w:customStyle="1" w:styleId="Headingi">
    <w:name w:val="Heading_i"/>
    <w:basedOn w:val="Heading3"/>
    <w:next w:val="Normal"/>
    <w:rsid w:val="00CE3364"/>
    <w:pPr>
      <w:spacing w:before="160"/>
      <w:ind w:left="0" w:firstLine="0"/>
    </w:pPr>
    <w:rPr>
      <w:b w:val="0"/>
      <w:i/>
    </w:rPr>
  </w:style>
  <w:style w:type="character" w:customStyle="1" w:styleId="href">
    <w:name w:val="href"/>
    <w:basedOn w:val="DefaultParagraphFont"/>
    <w:rsid w:val="00CE3364"/>
  </w:style>
  <w:style w:type="paragraph" w:customStyle="1" w:styleId="enumlev1">
    <w:name w:val="enumlev1"/>
    <w:basedOn w:val="Normal"/>
    <w:rsid w:val="00CE3364"/>
    <w:pPr>
      <w:spacing w:before="80"/>
      <w:ind w:left="794" w:hanging="794"/>
    </w:pPr>
  </w:style>
  <w:style w:type="paragraph" w:customStyle="1" w:styleId="enumlev2">
    <w:name w:val="enumlev2"/>
    <w:basedOn w:val="enumlev1"/>
    <w:rsid w:val="00CE3364"/>
    <w:pPr>
      <w:ind w:left="1191" w:hanging="397"/>
    </w:pPr>
  </w:style>
  <w:style w:type="paragraph" w:customStyle="1" w:styleId="enumlev3">
    <w:name w:val="enumlev3"/>
    <w:basedOn w:val="enumlev2"/>
    <w:rsid w:val="00CE3364"/>
    <w:pPr>
      <w:ind w:left="1588"/>
    </w:pPr>
  </w:style>
  <w:style w:type="paragraph" w:customStyle="1" w:styleId="Normalaftertitle">
    <w:name w:val="Normal_after_title"/>
    <w:basedOn w:val="Normal"/>
    <w:next w:val="Normal"/>
    <w:rsid w:val="00CE3364"/>
    <w:pPr>
      <w:spacing w:before="320"/>
    </w:pPr>
  </w:style>
  <w:style w:type="paragraph" w:customStyle="1" w:styleId="Note">
    <w:name w:val="Note"/>
    <w:basedOn w:val="Normal"/>
    <w:rsid w:val="00CE33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336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E3364"/>
    <w:pPr>
      <w:keepNext/>
      <w:keepLines/>
      <w:spacing w:before="240"/>
      <w:jc w:val="center"/>
    </w:pPr>
    <w:rPr>
      <w:b/>
      <w:sz w:val="28"/>
    </w:rPr>
  </w:style>
  <w:style w:type="paragraph" w:customStyle="1" w:styleId="Recref">
    <w:name w:val="Rec_ref"/>
    <w:basedOn w:val="Normal"/>
    <w:next w:val="Recdate"/>
    <w:rsid w:val="00CE3364"/>
    <w:pPr>
      <w:jc w:val="center"/>
    </w:pPr>
  </w:style>
  <w:style w:type="paragraph" w:customStyle="1" w:styleId="Recdate">
    <w:name w:val="Rec_date"/>
    <w:basedOn w:val="Recref"/>
    <w:next w:val="Normalaftertitle"/>
    <w:rsid w:val="00CE3364"/>
    <w:pPr>
      <w:jc w:val="right"/>
    </w:pPr>
  </w:style>
  <w:style w:type="paragraph" w:customStyle="1" w:styleId="HeadingSum">
    <w:name w:val="Heading_Sum"/>
    <w:basedOn w:val="Headingb"/>
    <w:next w:val="Normal"/>
    <w:autoRedefine/>
    <w:rsid w:val="00CE3364"/>
    <w:pPr>
      <w:spacing w:before="240"/>
    </w:pPr>
    <w:rPr>
      <w:sz w:val="22"/>
      <w:lang w:val="es-ES_tradnl"/>
    </w:rPr>
  </w:style>
  <w:style w:type="paragraph" w:customStyle="1" w:styleId="AnnexNoTitle">
    <w:name w:val="Annex_NoTitle"/>
    <w:basedOn w:val="Normal"/>
    <w:next w:val="Normalaftertitle"/>
    <w:rsid w:val="00CE3364"/>
    <w:pPr>
      <w:keepNext/>
      <w:keepLines/>
      <w:spacing w:before="480" w:after="80"/>
      <w:jc w:val="center"/>
    </w:pPr>
    <w:rPr>
      <w:b/>
      <w:sz w:val="28"/>
    </w:rPr>
  </w:style>
  <w:style w:type="paragraph" w:customStyle="1" w:styleId="AppendixNoTitle">
    <w:name w:val="Appendix_NoTitle"/>
    <w:basedOn w:val="AnnexNoTitle"/>
    <w:next w:val="Normal"/>
    <w:rsid w:val="00CE3364"/>
  </w:style>
  <w:style w:type="paragraph" w:customStyle="1" w:styleId="Tablefin">
    <w:name w:val="Table_fin"/>
    <w:basedOn w:val="Normal"/>
    <w:next w:val="Normal"/>
    <w:rsid w:val="00CE3364"/>
    <w:pPr>
      <w:spacing w:before="0"/>
    </w:pPr>
    <w:rPr>
      <w:sz w:val="20"/>
      <w:lang w:val="en-GB"/>
    </w:rPr>
  </w:style>
  <w:style w:type="paragraph" w:customStyle="1" w:styleId="Tablehead">
    <w:name w:val="Table_head"/>
    <w:basedOn w:val="Normal"/>
    <w:next w:val="Normal"/>
    <w:rsid w:val="00CE33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33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3364"/>
    <w:pPr>
      <w:keepNext/>
      <w:spacing w:before="360" w:after="120"/>
      <w:jc w:val="center"/>
    </w:pPr>
  </w:style>
  <w:style w:type="paragraph" w:customStyle="1" w:styleId="Tabletext">
    <w:name w:val="Table_text"/>
    <w:basedOn w:val="Normal"/>
    <w:link w:val="TabletextChar"/>
    <w:rsid w:val="00CE33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3364"/>
    <w:pPr>
      <w:tabs>
        <w:tab w:val="clear" w:pos="1191"/>
        <w:tab w:val="clear" w:pos="1588"/>
        <w:tab w:val="clear" w:pos="1985"/>
        <w:tab w:val="center" w:pos="4820"/>
        <w:tab w:val="right" w:pos="9639"/>
      </w:tabs>
    </w:pPr>
  </w:style>
  <w:style w:type="paragraph" w:customStyle="1" w:styleId="Equationlegend">
    <w:name w:val="Equation_legend"/>
    <w:basedOn w:val="NormalIndent"/>
    <w:rsid w:val="00CE33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3364"/>
    <w:pPr>
      <w:ind w:left="794"/>
    </w:pPr>
  </w:style>
  <w:style w:type="paragraph" w:customStyle="1" w:styleId="Figurelegend">
    <w:name w:val="Figure_legend"/>
    <w:basedOn w:val="Normal"/>
    <w:rsid w:val="00CE33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E3364"/>
    <w:pPr>
      <w:keepNext/>
      <w:keepLines/>
      <w:spacing w:before="480" w:after="80"/>
      <w:jc w:val="center"/>
    </w:pPr>
    <w:rPr>
      <w:caps/>
      <w:sz w:val="18"/>
    </w:rPr>
  </w:style>
  <w:style w:type="paragraph" w:customStyle="1" w:styleId="Figuretitle">
    <w:name w:val="Figure_title"/>
    <w:basedOn w:val="Normal"/>
    <w:next w:val="Figure"/>
    <w:rsid w:val="00CE3364"/>
    <w:pPr>
      <w:keepNext/>
      <w:spacing w:before="0" w:after="120"/>
      <w:jc w:val="center"/>
    </w:pPr>
    <w:rPr>
      <w:rFonts w:ascii="Times New Roman Bold" w:hAnsi="Times New Roman Bold"/>
      <w:b/>
      <w:sz w:val="18"/>
    </w:rPr>
  </w:style>
  <w:style w:type="paragraph" w:customStyle="1" w:styleId="Figure">
    <w:name w:val="Figure"/>
    <w:basedOn w:val="FigureNo"/>
    <w:next w:val="Normal"/>
    <w:rsid w:val="00CE3364"/>
    <w:pPr>
      <w:keepNext w:val="0"/>
      <w:spacing w:before="0" w:after="240"/>
    </w:pPr>
  </w:style>
  <w:style w:type="paragraph" w:customStyle="1" w:styleId="tocpart">
    <w:name w:val="tocpart"/>
    <w:basedOn w:val="Normal"/>
    <w:rsid w:val="00CE33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3364"/>
    <w:pPr>
      <w:keepNext/>
      <w:keepLines/>
      <w:spacing w:before="480"/>
      <w:jc w:val="center"/>
    </w:pPr>
    <w:rPr>
      <w:sz w:val="28"/>
    </w:rPr>
  </w:style>
  <w:style w:type="paragraph" w:customStyle="1" w:styleId="Arttitle">
    <w:name w:val="Art_title"/>
    <w:basedOn w:val="Normal"/>
    <w:next w:val="Normalaftertitle"/>
    <w:rsid w:val="00CE3364"/>
    <w:pPr>
      <w:keepNext/>
      <w:keepLines/>
      <w:spacing w:before="240"/>
      <w:jc w:val="center"/>
    </w:pPr>
    <w:rPr>
      <w:b/>
      <w:sz w:val="28"/>
    </w:rPr>
  </w:style>
  <w:style w:type="paragraph" w:customStyle="1" w:styleId="Blanc">
    <w:name w:val="Blanc"/>
    <w:basedOn w:val="Normal"/>
    <w:next w:val="Tabletext"/>
    <w:rsid w:val="00CE336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33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3364"/>
    <w:pPr>
      <w:keepNext/>
      <w:keepLines/>
      <w:spacing w:before="160"/>
      <w:ind w:left="794"/>
    </w:pPr>
    <w:rPr>
      <w:i/>
    </w:rPr>
  </w:style>
  <w:style w:type="paragraph" w:customStyle="1" w:styleId="ChapNo">
    <w:name w:val="Chap_No"/>
    <w:basedOn w:val="ArtNo"/>
    <w:next w:val="Chaptitle"/>
    <w:rsid w:val="00CE3364"/>
    <w:rPr>
      <w:b/>
    </w:rPr>
  </w:style>
  <w:style w:type="paragraph" w:customStyle="1" w:styleId="Chaptitle">
    <w:name w:val="Chap_title"/>
    <w:basedOn w:val="Arttitle"/>
    <w:next w:val="Normalaftertitle"/>
    <w:rsid w:val="00CE3364"/>
  </w:style>
  <w:style w:type="character" w:styleId="FootnoteReference">
    <w:name w:val="footnote reference"/>
    <w:basedOn w:val="DefaultParagraphFont"/>
    <w:semiHidden/>
    <w:rsid w:val="00CE3364"/>
    <w:rPr>
      <w:position w:val="6"/>
      <w:sz w:val="18"/>
    </w:rPr>
  </w:style>
  <w:style w:type="paragraph" w:styleId="FootnoteText">
    <w:name w:val="footnote text"/>
    <w:basedOn w:val="Normal"/>
    <w:semiHidden/>
    <w:rsid w:val="00CE3364"/>
    <w:pPr>
      <w:keepLines/>
      <w:tabs>
        <w:tab w:val="left" w:pos="255"/>
      </w:tabs>
      <w:ind w:left="255" w:hanging="255"/>
    </w:pPr>
    <w:rPr>
      <w:sz w:val="22"/>
    </w:rPr>
  </w:style>
  <w:style w:type="paragraph" w:styleId="Index1">
    <w:name w:val="index 1"/>
    <w:basedOn w:val="Normal"/>
    <w:next w:val="Normal"/>
    <w:semiHidden/>
    <w:rsid w:val="00CE3364"/>
  </w:style>
  <w:style w:type="paragraph" w:styleId="Index2">
    <w:name w:val="index 2"/>
    <w:basedOn w:val="Normal"/>
    <w:next w:val="Normal"/>
    <w:semiHidden/>
    <w:rsid w:val="00CE3364"/>
    <w:pPr>
      <w:ind w:left="283"/>
    </w:pPr>
  </w:style>
  <w:style w:type="paragraph" w:styleId="Index3">
    <w:name w:val="index 3"/>
    <w:basedOn w:val="Normal"/>
    <w:next w:val="Normal"/>
    <w:semiHidden/>
    <w:rsid w:val="00CE3364"/>
    <w:pPr>
      <w:ind w:left="566"/>
    </w:pPr>
  </w:style>
  <w:style w:type="paragraph" w:styleId="IndexHeading">
    <w:name w:val="index heading"/>
    <w:basedOn w:val="Normal"/>
    <w:next w:val="Index1"/>
    <w:semiHidden/>
    <w:rsid w:val="00CE3364"/>
  </w:style>
  <w:style w:type="paragraph" w:customStyle="1" w:styleId="Line">
    <w:name w:val="Line"/>
    <w:basedOn w:val="Normal"/>
    <w:next w:val="Normal"/>
    <w:rsid w:val="00CE33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33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3364"/>
  </w:style>
  <w:style w:type="paragraph" w:customStyle="1" w:styleId="Partref">
    <w:name w:val="Part_ref"/>
    <w:basedOn w:val="Normal"/>
    <w:next w:val="Normal"/>
    <w:rsid w:val="00CE3364"/>
    <w:pPr>
      <w:keepNext/>
      <w:keepLines/>
      <w:spacing w:after="280"/>
      <w:jc w:val="center"/>
    </w:pPr>
  </w:style>
  <w:style w:type="paragraph" w:customStyle="1" w:styleId="Parttitle">
    <w:name w:val="Part_title"/>
    <w:basedOn w:val="Normal"/>
    <w:next w:val="Normalaftertitle"/>
    <w:rsid w:val="00CE33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3364"/>
  </w:style>
  <w:style w:type="paragraph" w:customStyle="1" w:styleId="QuestionNo">
    <w:name w:val="Question_No"/>
    <w:basedOn w:val="RecNo"/>
    <w:next w:val="Normal"/>
    <w:rsid w:val="00CE3364"/>
  </w:style>
  <w:style w:type="paragraph" w:customStyle="1" w:styleId="Questionref">
    <w:name w:val="Question_ref"/>
    <w:basedOn w:val="Recref"/>
    <w:next w:val="Questiondate"/>
    <w:rsid w:val="00CE3364"/>
  </w:style>
  <w:style w:type="paragraph" w:customStyle="1" w:styleId="Questiontitle">
    <w:name w:val="Question_title"/>
    <w:basedOn w:val="Normal"/>
    <w:next w:val="Questionref"/>
    <w:rsid w:val="00CE3364"/>
  </w:style>
  <w:style w:type="paragraph" w:customStyle="1" w:styleId="Reftext">
    <w:name w:val="Ref_text"/>
    <w:basedOn w:val="Normal"/>
    <w:rsid w:val="00CE3364"/>
    <w:pPr>
      <w:ind w:left="794" w:hanging="794"/>
    </w:pPr>
    <w:rPr>
      <w:sz w:val="22"/>
    </w:rPr>
  </w:style>
  <w:style w:type="paragraph" w:customStyle="1" w:styleId="Reftitle">
    <w:name w:val="Ref_title"/>
    <w:basedOn w:val="Normal"/>
    <w:next w:val="Reftext"/>
    <w:rsid w:val="00CE33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3364"/>
  </w:style>
  <w:style w:type="paragraph" w:customStyle="1" w:styleId="RepNo">
    <w:name w:val="Rep_No"/>
    <w:basedOn w:val="RecNo"/>
    <w:next w:val="Reptitle"/>
    <w:rsid w:val="00CE3364"/>
  </w:style>
  <w:style w:type="paragraph" w:customStyle="1" w:styleId="Reptitle">
    <w:name w:val="Rep_title"/>
    <w:basedOn w:val="Rectitle"/>
    <w:next w:val="Repref"/>
    <w:rsid w:val="00CE3364"/>
  </w:style>
  <w:style w:type="paragraph" w:customStyle="1" w:styleId="Repref">
    <w:name w:val="Rep_ref"/>
    <w:basedOn w:val="Recref"/>
    <w:next w:val="Repdate"/>
    <w:rsid w:val="00CE3364"/>
  </w:style>
  <w:style w:type="paragraph" w:customStyle="1" w:styleId="Resdate">
    <w:name w:val="Res_date"/>
    <w:basedOn w:val="Recdate"/>
    <w:next w:val="Normalaftertitle"/>
    <w:rsid w:val="00CE3364"/>
  </w:style>
  <w:style w:type="paragraph" w:customStyle="1" w:styleId="ResNo">
    <w:name w:val="Res_No"/>
    <w:basedOn w:val="RecNo"/>
    <w:next w:val="Restitle"/>
    <w:rsid w:val="00CE3364"/>
  </w:style>
  <w:style w:type="paragraph" w:customStyle="1" w:styleId="Restitle">
    <w:name w:val="Res_title"/>
    <w:basedOn w:val="Normal"/>
    <w:next w:val="Resref"/>
    <w:rsid w:val="00CE3364"/>
    <w:pPr>
      <w:spacing w:before="240"/>
      <w:jc w:val="center"/>
    </w:pPr>
    <w:rPr>
      <w:b/>
      <w:sz w:val="28"/>
    </w:rPr>
  </w:style>
  <w:style w:type="paragraph" w:customStyle="1" w:styleId="Resref">
    <w:name w:val="Res_ref"/>
    <w:basedOn w:val="Recref"/>
    <w:next w:val="Resdate"/>
    <w:rsid w:val="00CE3364"/>
  </w:style>
  <w:style w:type="paragraph" w:customStyle="1" w:styleId="SectionNo">
    <w:name w:val="Section_No"/>
    <w:basedOn w:val="Normal"/>
    <w:next w:val="Normal"/>
    <w:rsid w:val="00CE3364"/>
  </w:style>
  <w:style w:type="paragraph" w:customStyle="1" w:styleId="Sectiontitle">
    <w:name w:val="Section_title"/>
    <w:basedOn w:val="Normal"/>
    <w:next w:val="Normalaftertitle"/>
    <w:rsid w:val="00CE33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3364"/>
    <w:pPr>
      <w:tabs>
        <w:tab w:val="clear" w:pos="794"/>
        <w:tab w:val="clear" w:pos="1191"/>
        <w:tab w:val="clear" w:pos="1588"/>
        <w:tab w:val="clear" w:pos="1985"/>
        <w:tab w:val="right" w:pos="9611"/>
      </w:tabs>
    </w:pPr>
    <w:rPr>
      <w:i/>
    </w:rPr>
  </w:style>
  <w:style w:type="paragraph" w:styleId="TOC1">
    <w:name w:val="toc 1"/>
    <w:basedOn w:val="Normal"/>
    <w:semiHidden/>
    <w:rsid w:val="00CE33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3364"/>
    <w:pPr>
      <w:tabs>
        <w:tab w:val="clear" w:pos="567"/>
        <w:tab w:val="left" w:pos="1276"/>
      </w:tabs>
      <w:spacing w:before="160"/>
      <w:ind w:left="1276" w:hanging="709"/>
    </w:pPr>
  </w:style>
  <w:style w:type="paragraph" w:styleId="TOC3">
    <w:name w:val="toc 3"/>
    <w:basedOn w:val="TOC2"/>
    <w:semiHidden/>
    <w:rsid w:val="00CE3364"/>
    <w:pPr>
      <w:tabs>
        <w:tab w:val="clear" w:pos="1276"/>
        <w:tab w:val="left" w:pos="2155"/>
      </w:tabs>
      <w:ind w:left="2155" w:hanging="879"/>
    </w:pPr>
  </w:style>
  <w:style w:type="paragraph" w:styleId="TOC4">
    <w:name w:val="toc 4"/>
    <w:basedOn w:val="TOC3"/>
    <w:semiHidden/>
    <w:rsid w:val="00CE3364"/>
    <w:pPr>
      <w:tabs>
        <w:tab w:val="left" w:pos="3261"/>
      </w:tabs>
      <w:spacing w:before="80"/>
      <w:ind w:left="3261" w:hanging="993"/>
    </w:pPr>
  </w:style>
  <w:style w:type="paragraph" w:styleId="TOC5">
    <w:name w:val="toc 5"/>
    <w:basedOn w:val="TOC4"/>
    <w:semiHidden/>
    <w:rsid w:val="00CE3364"/>
  </w:style>
  <w:style w:type="paragraph" w:styleId="TOC6">
    <w:name w:val="toc 6"/>
    <w:basedOn w:val="TOC4"/>
    <w:semiHidden/>
    <w:rsid w:val="00CE3364"/>
  </w:style>
  <w:style w:type="paragraph" w:styleId="TOC7">
    <w:name w:val="toc 7"/>
    <w:basedOn w:val="TOC4"/>
    <w:semiHidden/>
    <w:rsid w:val="00CE3364"/>
  </w:style>
  <w:style w:type="paragraph" w:styleId="TOC8">
    <w:name w:val="toc 8"/>
    <w:basedOn w:val="TOC4"/>
    <w:semiHidden/>
    <w:rsid w:val="00CE3364"/>
  </w:style>
  <w:style w:type="paragraph" w:customStyle="1" w:styleId="Annexref">
    <w:name w:val="Annex_ref"/>
    <w:basedOn w:val="Normal"/>
    <w:next w:val="Normalaftertitle"/>
    <w:rsid w:val="00CE3364"/>
    <w:pPr>
      <w:keepNext/>
      <w:keepLines/>
      <w:spacing w:after="280"/>
      <w:jc w:val="center"/>
    </w:pPr>
  </w:style>
  <w:style w:type="paragraph" w:customStyle="1" w:styleId="Appendixref">
    <w:name w:val="Appendix_ref"/>
    <w:basedOn w:val="Annexref"/>
    <w:next w:val="Normalaftertitle"/>
    <w:rsid w:val="00CE3364"/>
  </w:style>
  <w:style w:type="paragraph" w:customStyle="1" w:styleId="Tabletitle">
    <w:name w:val="Table_title"/>
    <w:basedOn w:val="Normal"/>
    <w:next w:val="Tablehead"/>
    <w:rsid w:val="00CE3364"/>
    <w:pPr>
      <w:keepNext/>
      <w:spacing w:before="0" w:after="120"/>
      <w:jc w:val="center"/>
    </w:pPr>
    <w:rPr>
      <w:b/>
    </w:rPr>
  </w:style>
  <w:style w:type="paragraph" w:customStyle="1" w:styleId="Summary">
    <w:name w:val="Summary"/>
    <w:basedOn w:val="Normal"/>
    <w:next w:val="Normalaftertitle"/>
    <w:autoRedefine/>
    <w:rsid w:val="00CE3364"/>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E3364"/>
    <w:pPr>
      <w:ind w:left="-85" w:firstLine="0"/>
    </w:pPr>
    <w:rPr>
      <w:lang w:val="en-US"/>
    </w:rPr>
  </w:style>
  <w:style w:type="character" w:customStyle="1" w:styleId="TabletextChar">
    <w:name w:val="Table_text Char"/>
    <w:basedOn w:val="DefaultParagraphFont"/>
    <w:link w:val="Tabletext"/>
    <w:locked/>
    <w:rsid w:val="00CE3364"/>
    <w:rPr>
      <w:sz w:val="22"/>
      <w:lang w:val="fr-FR" w:eastAsia="en-US"/>
    </w:rPr>
  </w:style>
  <w:style w:type="paragraph" w:customStyle="1" w:styleId="Reasons">
    <w:name w:val="Reasons"/>
    <w:basedOn w:val="Normal"/>
    <w:qFormat/>
    <w:rsid w:val="00CE336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12</Pages>
  <Words>2595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16220</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13</cp:revision>
  <cp:lastPrinted>2018-05-14T09:34:00Z</cp:lastPrinted>
  <dcterms:created xsi:type="dcterms:W3CDTF">2018-05-14T09:06:00Z</dcterms:created>
  <dcterms:modified xsi:type="dcterms:W3CDTF">2018-05-14T09:51:00Z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