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512D" w:rsidRDefault="005F512D" w:rsidP="005F512D"/>
    <w:p w:rsidR="005F512D" w:rsidRDefault="005F512D" w:rsidP="005F512D"/>
    <w:p w:rsidR="005F512D" w:rsidRDefault="005F512D" w:rsidP="005F512D"/>
    <w:p w:rsidR="005F512D" w:rsidRDefault="005F512D" w:rsidP="005F512D"/>
    <w:p w:rsidR="005F512D" w:rsidRDefault="005F512D" w:rsidP="005F512D"/>
    <w:p w:rsidR="005F512D" w:rsidRDefault="005F512D" w:rsidP="005F512D"/>
    <w:p w:rsidR="005F512D" w:rsidRDefault="005F512D" w:rsidP="005F512D"/>
    <w:p w:rsidR="005F512D" w:rsidRDefault="005F512D" w:rsidP="005F512D"/>
    <w:p w:rsidR="005F512D" w:rsidRDefault="005F512D" w:rsidP="005F512D"/>
    <w:p w:rsidR="005F512D" w:rsidRDefault="005F512D" w:rsidP="005F512D"/>
    <w:p w:rsidR="005F512D" w:rsidRDefault="005F512D" w:rsidP="005F512D"/>
    <w:p w:rsidR="005F512D" w:rsidRDefault="005F512D" w:rsidP="005F512D"/>
    <w:tbl>
      <w:tblPr>
        <w:tblW w:w="10089" w:type="dxa"/>
        <w:tblLook w:val="01E0" w:firstRow="1" w:lastRow="1" w:firstColumn="1" w:lastColumn="1" w:noHBand="0" w:noVBand="0"/>
      </w:tblPr>
      <w:tblGrid>
        <w:gridCol w:w="10089"/>
      </w:tblGrid>
      <w:tr w:rsidR="005F512D" w:rsidRPr="006B55A9" w:rsidTr="006C04A3">
        <w:tc>
          <w:tcPr>
            <w:tcW w:w="10089" w:type="dxa"/>
          </w:tcPr>
          <w:p w:rsidR="005F512D" w:rsidRPr="006B55A9" w:rsidRDefault="005F512D" w:rsidP="006C04A3">
            <w:pPr>
              <w:spacing w:before="380" w:line="280" w:lineRule="exact"/>
              <w:jc w:val="right"/>
              <w:rPr>
                <w:rFonts w:ascii="Tahoma" w:hAnsi="Tahoma" w:cs="Tahoma"/>
                <w:b/>
                <w:bCs/>
                <w:iCs/>
                <w:color w:val="243285"/>
                <w:sz w:val="32"/>
                <w:szCs w:val="32"/>
                <w:lang w:val="en-US"/>
              </w:rPr>
            </w:pPr>
          </w:p>
          <w:p w:rsidR="005F512D" w:rsidRPr="006B55A9" w:rsidRDefault="005F512D" w:rsidP="005F512D">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Pr>
                <w:rFonts w:ascii="Tahoma" w:hAnsi="Tahoma" w:cs="Tahoma"/>
                <w:b/>
                <w:bCs/>
                <w:iCs/>
                <w:color w:val="243285"/>
                <w:sz w:val="36"/>
                <w:szCs w:val="36"/>
              </w:rPr>
              <w:t>1848-</w:t>
            </w:r>
            <w:r w:rsidR="00107454">
              <w:rPr>
                <w:rFonts w:ascii="Tahoma" w:hAnsi="Tahoma" w:cs="Tahoma"/>
                <w:b/>
                <w:bCs/>
                <w:iCs/>
                <w:color w:val="243285"/>
                <w:sz w:val="36"/>
                <w:szCs w:val="36"/>
              </w:rPr>
              <w:t>1</w:t>
            </w:r>
          </w:p>
          <w:p w:rsidR="005F512D" w:rsidRPr="006B55A9" w:rsidRDefault="005F512D" w:rsidP="005F512D">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Pr>
                <w:rFonts w:ascii="Tahoma" w:hAnsi="Tahoma" w:cs="Tahoma"/>
                <w:b/>
                <w:bCs/>
                <w:iCs/>
                <w:color w:val="243285"/>
                <w:szCs w:val="24"/>
              </w:rPr>
              <w:t>10</w:t>
            </w:r>
            <w:r w:rsidRPr="006B55A9">
              <w:rPr>
                <w:rFonts w:ascii="Tahoma" w:hAnsi="Tahoma" w:cs="Tahoma"/>
                <w:b/>
                <w:bCs/>
                <w:iCs/>
                <w:color w:val="243285"/>
                <w:szCs w:val="24"/>
              </w:rPr>
              <w:t>/</w:t>
            </w:r>
            <w:r>
              <w:rPr>
                <w:rFonts w:ascii="Tahoma" w:hAnsi="Tahoma" w:cs="Tahoma"/>
                <w:b/>
                <w:bCs/>
                <w:iCs/>
                <w:color w:val="243285"/>
                <w:szCs w:val="24"/>
              </w:rPr>
              <w:t>2015</w:t>
            </w:r>
            <w:r w:rsidRPr="006B55A9">
              <w:rPr>
                <w:rFonts w:ascii="Tahoma" w:hAnsi="Tahoma" w:cs="Tahoma"/>
                <w:b/>
                <w:bCs/>
                <w:iCs/>
                <w:color w:val="243285"/>
                <w:szCs w:val="24"/>
              </w:rPr>
              <w:t>)</w:t>
            </w:r>
          </w:p>
        </w:tc>
      </w:tr>
      <w:tr w:rsidR="005F512D" w:rsidRPr="003707F1" w:rsidTr="006C04A3">
        <w:tc>
          <w:tcPr>
            <w:tcW w:w="10089" w:type="dxa"/>
          </w:tcPr>
          <w:p w:rsidR="005F512D" w:rsidRPr="00D4048C" w:rsidRDefault="005F512D" w:rsidP="006C04A3">
            <w:pPr>
              <w:spacing w:before="80" w:line="500" w:lineRule="exact"/>
              <w:jc w:val="right"/>
              <w:rPr>
                <w:rFonts w:ascii="Tahoma" w:hAnsi="Tahoma" w:cs="Tahoma"/>
                <w:b/>
                <w:bCs/>
                <w:iCs/>
                <w:color w:val="243285"/>
                <w:sz w:val="44"/>
                <w:szCs w:val="44"/>
                <w:lang w:val="en-US"/>
              </w:rPr>
            </w:pPr>
          </w:p>
          <w:p w:rsidR="005F512D" w:rsidRPr="006B55A9" w:rsidRDefault="00D4048C" w:rsidP="00D4048C">
            <w:pPr>
              <w:spacing w:before="80" w:line="500" w:lineRule="exact"/>
              <w:jc w:val="right"/>
              <w:rPr>
                <w:rFonts w:ascii="Tahoma" w:hAnsi="Tahoma" w:cs="Tahoma"/>
                <w:b/>
                <w:bCs/>
                <w:color w:val="243285"/>
                <w:sz w:val="44"/>
                <w:szCs w:val="44"/>
                <w:lang w:val="en-US"/>
              </w:rPr>
            </w:pPr>
            <w:r w:rsidRPr="00D4048C">
              <w:rPr>
                <w:rFonts w:ascii="Tahoma" w:hAnsi="Tahoma" w:cs="Tahoma"/>
                <w:b/>
                <w:bCs/>
                <w:color w:val="243285"/>
                <w:sz w:val="44"/>
                <w:szCs w:val="44"/>
                <w:lang w:val="en-US"/>
              </w:rPr>
              <w:t xml:space="preserve">Safe areas of wide-screen 16:9 aspect </w:t>
            </w:r>
            <w:r>
              <w:rPr>
                <w:rFonts w:ascii="Tahoma" w:hAnsi="Tahoma" w:cs="Tahoma"/>
                <w:b/>
                <w:bCs/>
                <w:color w:val="243285"/>
                <w:sz w:val="44"/>
                <w:szCs w:val="44"/>
                <w:lang w:val="en-US"/>
              </w:rPr>
              <w:br/>
            </w:r>
            <w:r w:rsidRPr="00D4048C">
              <w:rPr>
                <w:rFonts w:ascii="Tahoma" w:hAnsi="Tahoma" w:cs="Tahoma"/>
                <w:b/>
                <w:bCs/>
                <w:color w:val="243285"/>
                <w:sz w:val="44"/>
                <w:szCs w:val="44"/>
                <w:lang w:val="en-US"/>
              </w:rPr>
              <w:t>ratio digital productions</w:t>
            </w:r>
          </w:p>
          <w:p w:rsidR="005F512D" w:rsidRPr="006B55A9" w:rsidRDefault="005F512D" w:rsidP="006C04A3">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5F512D" w:rsidRPr="003707F1" w:rsidTr="006C04A3">
        <w:tc>
          <w:tcPr>
            <w:tcW w:w="10089" w:type="dxa"/>
          </w:tcPr>
          <w:p w:rsidR="005F512D" w:rsidRPr="00BA7614" w:rsidRDefault="005F512D" w:rsidP="006C04A3">
            <w:pPr>
              <w:spacing w:before="80" w:line="280" w:lineRule="exact"/>
              <w:ind w:right="640"/>
              <w:rPr>
                <w:rFonts w:ascii="Tahoma" w:hAnsi="Tahoma" w:cs="Tahoma"/>
                <w:b/>
                <w:bCs/>
                <w:iCs/>
                <w:color w:val="243285"/>
                <w:sz w:val="32"/>
                <w:szCs w:val="32"/>
                <w:lang w:val="en-US"/>
              </w:rPr>
            </w:pPr>
          </w:p>
          <w:p w:rsidR="005F512D" w:rsidRPr="00BA7614" w:rsidRDefault="005F512D" w:rsidP="006C04A3">
            <w:pPr>
              <w:spacing w:before="80" w:line="280" w:lineRule="exact"/>
              <w:ind w:right="640"/>
              <w:rPr>
                <w:rFonts w:ascii="Tahoma" w:hAnsi="Tahoma" w:cs="Tahoma"/>
                <w:b/>
                <w:bCs/>
                <w:iCs/>
                <w:color w:val="243285"/>
                <w:sz w:val="32"/>
                <w:szCs w:val="32"/>
                <w:lang w:val="en-US"/>
              </w:rPr>
            </w:pPr>
          </w:p>
          <w:p w:rsidR="005F512D" w:rsidRPr="00BA7614" w:rsidRDefault="005F512D" w:rsidP="006C04A3">
            <w:pPr>
              <w:spacing w:before="80" w:after="180" w:line="360" w:lineRule="exact"/>
              <w:ind w:right="720"/>
              <w:rPr>
                <w:rFonts w:ascii="Tahoma" w:hAnsi="Tahoma" w:cs="Tahoma"/>
                <w:b/>
                <w:bCs/>
                <w:iCs/>
                <w:color w:val="243285"/>
                <w:sz w:val="36"/>
                <w:szCs w:val="36"/>
                <w:lang w:val="en-US"/>
              </w:rPr>
            </w:pPr>
          </w:p>
          <w:p w:rsidR="005F512D" w:rsidRPr="006B55A9" w:rsidRDefault="005F512D" w:rsidP="006C04A3">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5F512D" w:rsidRPr="006B55A9" w:rsidRDefault="005F512D" w:rsidP="006C04A3">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5F512D" w:rsidRPr="006B55A9" w:rsidRDefault="005F512D" w:rsidP="006C04A3">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5F512D" w:rsidRPr="006B55A9" w:rsidRDefault="005F512D" w:rsidP="006C04A3">
            <w:pPr>
              <w:spacing w:before="80" w:line="360" w:lineRule="exact"/>
              <w:jc w:val="right"/>
              <w:rPr>
                <w:rFonts w:ascii="Tahoma" w:hAnsi="Tahoma" w:cs="Tahoma"/>
                <w:b/>
                <w:bCs/>
                <w:iCs/>
                <w:color w:val="243285"/>
                <w:sz w:val="32"/>
                <w:szCs w:val="32"/>
                <w:lang w:val="en-US"/>
              </w:rPr>
            </w:pPr>
          </w:p>
        </w:tc>
      </w:tr>
    </w:tbl>
    <w:p w:rsidR="005F512D" w:rsidRDefault="005F512D" w:rsidP="005F512D">
      <w:pPr>
        <w:spacing w:before="80"/>
        <w:rPr>
          <w:i/>
          <w:sz w:val="22"/>
          <w:lang w:val="en-US"/>
        </w:rPr>
      </w:pPr>
    </w:p>
    <w:p w:rsidR="005F512D" w:rsidRDefault="005F512D" w:rsidP="005F512D">
      <w:pPr>
        <w:spacing w:before="80"/>
        <w:rPr>
          <w:i/>
          <w:sz w:val="22"/>
          <w:lang w:val="en-US"/>
        </w:rPr>
      </w:pPr>
    </w:p>
    <w:p w:rsidR="005F512D" w:rsidRDefault="005F512D" w:rsidP="005F512D">
      <w:pPr>
        <w:spacing w:before="80"/>
        <w:rPr>
          <w:i/>
          <w:sz w:val="22"/>
          <w:lang w:val="en-US"/>
        </w:rPr>
      </w:pPr>
    </w:p>
    <w:p w:rsidR="005F512D" w:rsidRDefault="005F512D" w:rsidP="005F512D">
      <w:pPr>
        <w:spacing w:before="80"/>
        <w:rPr>
          <w:i/>
          <w:sz w:val="22"/>
          <w:lang w:val="en-US"/>
        </w:rPr>
      </w:pPr>
    </w:p>
    <w:p w:rsidR="005F512D" w:rsidRDefault="005F512D" w:rsidP="005F512D">
      <w:pPr>
        <w:spacing w:before="80"/>
        <w:rPr>
          <w:i/>
          <w:sz w:val="22"/>
          <w:lang w:val="en-US"/>
        </w:rPr>
      </w:pPr>
    </w:p>
    <w:p w:rsidR="005F512D" w:rsidRDefault="005F512D" w:rsidP="005F512D">
      <w:pPr>
        <w:spacing w:before="80"/>
        <w:rPr>
          <w:i/>
          <w:sz w:val="22"/>
          <w:lang w:val="en-US"/>
        </w:rPr>
      </w:pPr>
    </w:p>
    <w:p w:rsidR="005F512D" w:rsidRDefault="005F512D" w:rsidP="005F512D">
      <w:pPr>
        <w:pStyle w:val="Equation"/>
        <w:tabs>
          <w:tab w:val="clear" w:pos="4820"/>
          <w:tab w:val="clear" w:pos="9639"/>
          <w:tab w:val="left" w:pos="1191"/>
          <w:tab w:val="left" w:pos="1588"/>
          <w:tab w:val="left" w:pos="1985"/>
        </w:tabs>
        <w:rPr>
          <w:rFonts w:ascii="Palatino Linotype" w:hAnsi="Palatino Linotype"/>
          <w:lang w:val="en-US"/>
        </w:rPr>
        <w:sectPr w:rsidR="005F512D">
          <w:headerReference w:type="even" r:id="rId6"/>
          <w:headerReference w:type="default" r:id="rId7"/>
          <w:pgSz w:w="11907" w:h="16840" w:code="9"/>
          <w:pgMar w:top="1089" w:right="1089" w:bottom="284" w:left="1089" w:header="567" w:footer="284" w:gutter="0"/>
          <w:pgNumType w:start="1"/>
          <w:cols w:space="720"/>
        </w:sectPr>
      </w:pPr>
    </w:p>
    <w:p w:rsidR="005F512D" w:rsidRPr="00586EF8" w:rsidRDefault="005F512D" w:rsidP="005F51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F512D" w:rsidRDefault="005F512D" w:rsidP="005F512D">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F512D" w:rsidRDefault="005F512D" w:rsidP="005F512D">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F512D" w:rsidRPr="00B714F3" w:rsidRDefault="005F512D" w:rsidP="005F512D">
      <w:pPr>
        <w:pStyle w:val="Heading1"/>
        <w:spacing w:before="680"/>
        <w:jc w:val="center"/>
        <w:rPr>
          <w:szCs w:val="24"/>
          <w:lang w:val="en-US"/>
        </w:rPr>
      </w:pPr>
      <w:r w:rsidRPr="00B714F3">
        <w:rPr>
          <w:szCs w:val="24"/>
          <w:lang w:val="en-US"/>
        </w:rPr>
        <w:t>Policy on Intellectual Property Right (IPR)</w:t>
      </w:r>
    </w:p>
    <w:p w:rsidR="005F512D" w:rsidRPr="00B714F3" w:rsidRDefault="005F512D" w:rsidP="005F512D">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F512D" w:rsidRDefault="005F512D" w:rsidP="005F512D">
      <w:pPr>
        <w:jc w:val="center"/>
        <w:rPr>
          <w:sz w:val="22"/>
          <w:lang w:val="en-US"/>
        </w:rPr>
      </w:pPr>
    </w:p>
    <w:p w:rsidR="005F512D" w:rsidRDefault="005F512D" w:rsidP="005F512D">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F512D" w:rsidRPr="003707F1" w:rsidTr="006C04A3">
        <w:tc>
          <w:tcPr>
            <w:tcW w:w="9360" w:type="dxa"/>
            <w:gridSpan w:val="2"/>
          </w:tcPr>
          <w:p w:rsidR="005F512D" w:rsidRPr="00036EE3" w:rsidRDefault="005F512D" w:rsidP="006C04A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5F512D" w:rsidRPr="00036EE3" w:rsidRDefault="005F512D" w:rsidP="006C04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036EE3">
              <w:rPr>
                <w:b w:val="0"/>
                <w:sz w:val="18"/>
                <w:szCs w:val="18"/>
                <w:lang w:val="en-US"/>
              </w:rPr>
              <w:t>)</w:t>
            </w:r>
          </w:p>
        </w:tc>
      </w:tr>
      <w:tr w:rsidR="005F512D" w:rsidRPr="00036EE3" w:rsidTr="006C04A3">
        <w:tc>
          <w:tcPr>
            <w:tcW w:w="1140" w:type="dxa"/>
          </w:tcPr>
          <w:p w:rsidR="005F512D" w:rsidRPr="00036EE3" w:rsidRDefault="005F512D" w:rsidP="006C04A3">
            <w:pPr>
              <w:spacing w:before="200" w:after="100"/>
              <w:ind w:left="57"/>
              <w:rPr>
                <w:b/>
                <w:bCs/>
                <w:sz w:val="20"/>
                <w:lang w:val="en-US"/>
              </w:rPr>
            </w:pPr>
            <w:r w:rsidRPr="00036EE3">
              <w:rPr>
                <w:b/>
                <w:bCs/>
                <w:sz w:val="20"/>
                <w:lang w:val="en-US"/>
              </w:rPr>
              <w:t>Series</w:t>
            </w:r>
          </w:p>
        </w:tc>
        <w:tc>
          <w:tcPr>
            <w:tcW w:w="8220" w:type="dxa"/>
          </w:tcPr>
          <w:p w:rsidR="005F512D" w:rsidRPr="00036EE3" w:rsidRDefault="005F512D" w:rsidP="006C04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5F512D" w:rsidRPr="00036EE3" w:rsidTr="006C04A3">
        <w:tc>
          <w:tcPr>
            <w:tcW w:w="1140" w:type="dxa"/>
          </w:tcPr>
          <w:p w:rsidR="005F512D" w:rsidRPr="00036EE3" w:rsidRDefault="005F512D" w:rsidP="006C04A3">
            <w:pPr>
              <w:spacing w:before="30" w:after="30"/>
              <w:ind w:left="57"/>
              <w:jc w:val="left"/>
              <w:rPr>
                <w:b/>
                <w:bCs/>
                <w:sz w:val="20"/>
                <w:lang w:val="en-US"/>
              </w:rPr>
            </w:pPr>
            <w:r w:rsidRPr="00036EE3">
              <w:rPr>
                <w:b/>
                <w:bCs/>
                <w:sz w:val="20"/>
                <w:lang w:val="en-US"/>
              </w:rPr>
              <w:t>BO</w:t>
            </w:r>
          </w:p>
        </w:tc>
        <w:tc>
          <w:tcPr>
            <w:tcW w:w="8220" w:type="dxa"/>
          </w:tcPr>
          <w:p w:rsidR="005F512D" w:rsidRPr="00036EE3" w:rsidRDefault="005F512D" w:rsidP="006C04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5F512D" w:rsidRPr="003707F1" w:rsidTr="006C04A3">
        <w:tc>
          <w:tcPr>
            <w:tcW w:w="1140" w:type="dxa"/>
          </w:tcPr>
          <w:p w:rsidR="005F512D" w:rsidRPr="00036EE3" w:rsidRDefault="005F512D" w:rsidP="006C04A3">
            <w:pPr>
              <w:spacing w:before="30" w:after="30"/>
              <w:ind w:left="57"/>
              <w:jc w:val="left"/>
              <w:rPr>
                <w:b/>
                <w:bCs/>
                <w:sz w:val="20"/>
                <w:lang w:val="en-US"/>
              </w:rPr>
            </w:pPr>
            <w:r w:rsidRPr="00036EE3">
              <w:rPr>
                <w:b/>
                <w:bCs/>
                <w:sz w:val="20"/>
                <w:lang w:val="en-US"/>
              </w:rPr>
              <w:t>BR</w:t>
            </w:r>
          </w:p>
        </w:tc>
        <w:tc>
          <w:tcPr>
            <w:tcW w:w="8220" w:type="dxa"/>
          </w:tcPr>
          <w:p w:rsidR="005F512D" w:rsidRPr="00036EE3" w:rsidRDefault="005F512D" w:rsidP="006C04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5F512D" w:rsidRPr="00036EE3" w:rsidTr="006C04A3">
        <w:tc>
          <w:tcPr>
            <w:tcW w:w="1140" w:type="dxa"/>
            <w:tcBorders>
              <w:bottom w:val="nil"/>
            </w:tcBorders>
          </w:tcPr>
          <w:p w:rsidR="005F512D" w:rsidRPr="00036EE3" w:rsidRDefault="005F512D" w:rsidP="006C04A3">
            <w:pPr>
              <w:spacing w:before="30" w:after="30"/>
              <w:ind w:left="57"/>
              <w:jc w:val="left"/>
              <w:rPr>
                <w:b/>
                <w:bCs/>
                <w:sz w:val="20"/>
                <w:lang w:val="en-US"/>
              </w:rPr>
            </w:pPr>
            <w:r w:rsidRPr="00036EE3">
              <w:rPr>
                <w:b/>
                <w:bCs/>
                <w:sz w:val="20"/>
                <w:lang w:val="en-US"/>
              </w:rPr>
              <w:t>BS</w:t>
            </w:r>
          </w:p>
        </w:tc>
        <w:tc>
          <w:tcPr>
            <w:tcW w:w="8220" w:type="dxa"/>
            <w:tcBorders>
              <w:bottom w:val="nil"/>
            </w:tcBorders>
          </w:tcPr>
          <w:p w:rsidR="005F512D" w:rsidRPr="00036EE3" w:rsidRDefault="005F512D" w:rsidP="006C04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5F512D" w:rsidRPr="00ED2695" w:rsidTr="006C04A3">
        <w:tc>
          <w:tcPr>
            <w:tcW w:w="1140" w:type="dxa"/>
            <w:tcBorders>
              <w:top w:val="nil"/>
              <w:bottom w:val="nil"/>
            </w:tcBorders>
            <w:shd w:val="clear" w:color="auto" w:fill="F3F3F3"/>
          </w:tcPr>
          <w:p w:rsidR="005F512D" w:rsidRPr="000F6905" w:rsidRDefault="005F512D" w:rsidP="006C04A3">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5F512D" w:rsidRPr="000F6905" w:rsidRDefault="005F512D" w:rsidP="006C04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5F512D" w:rsidRPr="00036EE3" w:rsidTr="006C04A3">
        <w:tc>
          <w:tcPr>
            <w:tcW w:w="1140" w:type="dxa"/>
            <w:tcBorders>
              <w:top w:val="nil"/>
              <w:bottom w:val="nil"/>
            </w:tcBorders>
            <w:shd w:val="clear" w:color="auto" w:fill="auto"/>
          </w:tcPr>
          <w:p w:rsidR="005F512D" w:rsidRPr="00036EE3" w:rsidRDefault="005F512D" w:rsidP="006C04A3">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5F512D" w:rsidRPr="00036EE3" w:rsidRDefault="005F512D" w:rsidP="006C04A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5F512D" w:rsidRPr="005E02E1" w:rsidTr="006C04A3">
        <w:tc>
          <w:tcPr>
            <w:tcW w:w="1140" w:type="dxa"/>
            <w:tcBorders>
              <w:top w:val="nil"/>
              <w:bottom w:val="nil"/>
            </w:tcBorders>
            <w:shd w:val="clear" w:color="auto" w:fill="auto"/>
          </w:tcPr>
          <w:p w:rsidR="005F512D" w:rsidRPr="007D3B79" w:rsidRDefault="005F512D" w:rsidP="006C04A3">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5F512D" w:rsidRPr="00220899" w:rsidRDefault="005F512D" w:rsidP="006C04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5F512D" w:rsidRPr="00036EE3" w:rsidTr="006C04A3">
        <w:tc>
          <w:tcPr>
            <w:tcW w:w="1140" w:type="dxa"/>
            <w:tcBorders>
              <w:top w:val="nil"/>
            </w:tcBorders>
          </w:tcPr>
          <w:p w:rsidR="005F512D" w:rsidRPr="00036EE3" w:rsidRDefault="005F512D" w:rsidP="006C04A3">
            <w:pPr>
              <w:spacing w:before="30" w:after="30"/>
              <w:ind w:left="57"/>
              <w:jc w:val="left"/>
              <w:rPr>
                <w:b/>
                <w:bCs/>
                <w:sz w:val="20"/>
                <w:lang w:val="fr-CH"/>
              </w:rPr>
            </w:pPr>
            <w:r w:rsidRPr="00036EE3">
              <w:rPr>
                <w:b/>
                <w:bCs/>
                <w:sz w:val="20"/>
                <w:lang w:val="fr-CH"/>
              </w:rPr>
              <w:t>P</w:t>
            </w:r>
          </w:p>
        </w:tc>
        <w:tc>
          <w:tcPr>
            <w:tcW w:w="8220" w:type="dxa"/>
            <w:tcBorders>
              <w:top w:val="nil"/>
            </w:tcBorders>
          </w:tcPr>
          <w:p w:rsidR="005F512D" w:rsidRPr="00036EE3" w:rsidRDefault="005F512D" w:rsidP="006C04A3">
            <w:pPr>
              <w:spacing w:before="30" w:after="30"/>
              <w:jc w:val="left"/>
              <w:rPr>
                <w:sz w:val="20"/>
                <w:lang w:val="fr-CH"/>
              </w:rPr>
            </w:pPr>
            <w:r w:rsidRPr="00036EE3">
              <w:rPr>
                <w:sz w:val="20"/>
                <w:lang w:val="fr-CH"/>
              </w:rPr>
              <w:t>Radiowave propagation</w:t>
            </w:r>
          </w:p>
        </w:tc>
      </w:tr>
      <w:tr w:rsidR="005F512D" w:rsidRPr="00036EE3" w:rsidTr="006C04A3">
        <w:tc>
          <w:tcPr>
            <w:tcW w:w="1140" w:type="dxa"/>
          </w:tcPr>
          <w:p w:rsidR="005F512D" w:rsidRPr="00036EE3" w:rsidRDefault="005F512D" w:rsidP="006C04A3">
            <w:pPr>
              <w:spacing w:before="30" w:after="30"/>
              <w:ind w:left="57"/>
              <w:jc w:val="left"/>
              <w:rPr>
                <w:b/>
                <w:bCs/>
                <w:sz w:val="20"/>
                <w:lang w:val="en-US"/>
              </w:rPr>
            </w:pPr>
            <w:r w:rsidRPr="00036EE3">
              <w:rPr>
                <w:b/>
                <w:bCs/>
                <w:sz w:val="20"/>
                <w:lang w:val="en-US"/>
              </w:rPr>
              <w:t>RA</w:t>
            </w:r>
          </w:p>
        </w:tc>
        <w:tc>
          <w:tcPr>
            <w:tcW w:w="8220" w:type="dxa"/>
          </w:tcPr>
          <w:p w:rsidR="005F512D" w:rsidRPr="00036EE3" w:rsidRDefault="005F512D" w:rsidP="006C04A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5F512D" w:rsidRPr="00036EE3" w:rsidTr="006C04A3">
        <w:tc>
          <w:tcPr>
            <w:tcW w:w="1140" w:type="dxa"/>
          </w:tcPr>
          <w:p w:rsidR="005F512D" w:rsidRPr="00036EE3" w:rsidRDefault="005F512D" w:rsidP="006C04A3">
            <w:pPr>
              <w:spacing w:before="30" w:after="30"/>
              <w:ind w:left="57"/>
              <w:jc w:val="left"/>
              <w:rPr>
                <w:b/>
                <w:bCs/>
                <w:sz w:val="20"/>
                <w:lang w:val="en-US"/>
              </w:rPr>
            </w:pPr>
            <w:r w:rsidRPr="00036EE3">
              <w:rPr>
                <w:b/>
                <w:bCs/>
                <w:sz w:val="20"/>
                <w:lang w:val="en-US"/>
              </w:rPr>
              <w:t>RS</w:t>
            </w:r>
          </w:p>
        </w:tc>
        <w:tc>
          <w:tcPr>
            <w:tcW w:w="8220" w:type="dxa"/>
          </w:tcPr>
          <w:p w:rsidR="005F512D" w:rsidRPr="00036EE3" w:rsidRDefault="005F512D" w:rsidP="006C04A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5F512D" w:rsidRPr="00036EE3" w:rsidTr="006C04A3">
        <w:tc>
          <w:tcPr>
            <w:tcW w:w="1140" w:type="dxa"/>
          </w:tcPr>
          <w:p w:rsidR="005F512D" w:rsidRPr="00036EE3" w:rsidRDefault="005F512D" w:rsidP="006C04A3">
            <w:pPr>
              <w:spacing w:before="30" w:after="30"/>
              <w:ind w:left="57"/>
              <w:jc w:val="left"/>
              <w:rPr>
                <w:b/>
                <w:bCs/>
                <w:sz w:val="20"/>
                <w:lang w:val="en-US"/>
              </w:rPr>
            </w:pPr>
            <w:r w:rsidRPr="00036EE3">
              <w:rPr>
                <w:b/>
                <w:bCs/>
                <w:sz w:val="20"/>
                <w:lang w:val="en-US"/>
              </w:rPr>
              <w:t>S</w:t>
            </w:r>
          </w:p>
        </w:tc>
        <w:tc>
          <w:tcPr>
            <w:tcW w:w="8220" w:type="dxa"/>
          </w:tcPr>
          <w:p w:rsidR="005F512D" w:rsidRPr="00036EE3" w:rsidRDefault="005F512D" w:rsidP="006C04A3">
            <w:pPr>
              <w:spacing w:before="30" w:after="30"/>
              <w:jc w:val="left"/>
              <w:rPr>
                <w:sz w:val="20"/>
                <w:lang w:val="en-US"/>
              </w:rPr>
            </w:pPr>
            <w:r w:rsidRPr="00036EE3">
              <w:rPr>
                <w:sz w:val="20"/>
                <w:lang w:val="en-US"/>
              </w:rPr>
              <w:t>Fixed-satellite service</w:t>
            </w:r>
          </w:p>
        </w:tc>
      </w:tr>
      <w:tr w:rsidR="005F512D" w:rsidRPr="00036EE3" w:rsidTr="006C04A3">
        <w:tc>
          <w:tcPr>
            <w:tcW w:w="1140" w:type="dxa"/>
          </w:tcPr>
          <w:p w:rsidR="005F512D" w:rsidRPr="00036EE3" w:rsidRDefault="005F512D" w:rsidP="006C04A3">
            <w:pPr>
              <w:spacing w:before="30" w:after="30"/>
              <w:ind w:left="57"/>
              <w:jc w:val="left"/>
              <w:rPr>
                <w:b/>
                <w:bCs/>
                <w:sz w:val="20"/>
                <w:lang w:val="en-US"/>
              </w:rPr>
            </w:pPr>
            <w:r w:rsidRPr="00036EE3">
              <w:rPr>
                <w:b/>
                <w:bCs/>
                <w:sz w:val="20"/>
                <w:lang w:val="en-US"/>
              </w:rPr>
              <w:t>SA</w:t>
            </w:r>
          </w:p>
        </w:tc>
        <w:tc>
          <w:tcPr>
            <w:tcW w:w="8220" w:type="dxa"/>
          </w:tcPr>
          <w:p w:rsidR="005F512D" w:rsidRPr="00036EE3" w:rsidRDefault="005F512D" w:rsidP="006C04A3">
            <w:pPr>
              <w:spacing w:before="30" w:after="30"/>
              <w:jc w:val="left"/>
              <w:rPr>
                <w:sz w:val="20"/>
                <w:lang w:val="en-US"/>
              </w:rPr>
            </w:pPr>
            <w:r w:rsidRPr="00036EE3">
              <w:rPr>
                <w:sz w:val="20"/>
                <w:lang w:val="en-US"/>
              </w:rPr>
              <w:t>Space applications and meteorology</w:t>
            </w:r>
          </w:p>
        </w:tc>
      </w:tr>
      <w:tr w:rsidR="005F512D" w:rsidRPr="003707F1" w:rsidTr="006C04A3">
        <w:tc>
          <w:tcPr>
            <w:tcW w:w="1140" w:type="dxa"/>
          </w:tcPr>
          <w:p w:rsidR="005F512D" w:rsidRPr="00036EE3" w:rsidRDefault="005F512D" w:rsidP="006C04A3">
            <w:pPr>
              <w:spacing w:before="30" w:after="30"/>
              <w:ind w:left="57"/>
              <w:jc w:val="left"/>
              <w:rPr>
                <w:b/>
                <w:bCs/>
                <w:sz w:val="20"/>
                <w:lang w:val="en-US"/>
              </w:rPr>
            </w:pPr>
            <w:r w:rsidRPr="00036EE3">
              <w:rPr>
                <w:b/>
                <w:bCs/>
                <w:sz w:val="20"/>
                <w:lang w:val="en-US"/>
              </w:rPr>
              <w:t>SF</w:t>
            </w:r>
          </w:p>
        </w:tc>
        <w:tc>
          <w:tcPr>
            <w:tcW w:w="8220" w:type="dxa"/>
          </w:tcPr>
          <w:p w:rsidR="005F512D" w:rsidRPr="00036EE3" w:rsidRDefault="005F512D" w:rsidP="006C04A3">
            <w:pPr>
              <w:spacing w:before="30" w:after="30"/>
              <w:jc w:val="left"/>
              <w:rPr>
                <w:sz w:val="20"/>
                <w:lang w:val="en-US"/>
              </w:rPr>
            </w:pPr>
            <w:r w:rsidRPr="00036EE3">
              <w:rPr>
                <w:sz w:val="20"/>
                <w:lang w:val="en-US"/>
              </w:rPr>
              <w:t>Frequency sharing and coordination between fixed-satellite and fixed service systems</w:t>
            </w:r>
          </w:p>
        </w:tc>
      </w:tr>
      <w:tr w:rsidR="005F512D" w:rsidRPr="00036EE3" w:rsidTr="006C04A3">
        <w:tc>
          <w:tcPr>
            <w:tcW w:w="1140" w:type="dxa"/>
          </w:tcPr>
          <w:p w:rsidR="005F512D" w:rsidRPr="00036EE3" w:rsidRDefault="005F512D" w:rsidP="006C04A3">
            <w:pPr>
              <w:spacing w:before="30" w:after="30"/>
              <w:ind w:left="57"/>
              <w:jc w:val="left"/>
              <w:rPr>
                <w:b/>
                <w:bCs/>
                <w:sz w:val="20"/>
                <w:lang w:val="en-US"/>
              </w:rPr>
            </w:pPr>
            <w:r>
              <w:rPr>
                <w:b/>
                <w:bCs/>
                <w:sz w:val="20"/>
                <w:lang w:val="en-US"/>
              </w:rPr>
              <w:t>SM</w:t>
            </w:r>
          </w:p>
        </w:tc>
        <w:tc>
          <w:tcPr>
            <w:tcW w:w="8220" w:type="dxa"/>
          </w:tcPr>
          <w:p w:rsidR="005F512D" w:rsidRPr="00036EE3" w:rsidRDefault="005F512D" w:rsidP="006C04A3">
            <w:pPr>
              <w:spacing w:before="30" w:after="30"/>
              <w:jc w:val="left"/>
              <w:rPr>
                <w:sz w:val="20"/>
                <w:lang w:val="en-US"/>
              </w:rPr>
            </w:pPr>
            <w:r>
              <w:rPr>
                <w:sz w:val="20"/>
                <w:lang w:val="en-US"/>
              </w:rPr>
              <w:t>Spectrum management</w:t>
            </w:r>
          </w:p>
        </w:tc>
      </w:tr>
      <w:tr w:rsidR="005F512D" w:rsidRPr="00036EE3" w:rsidTr="006C04A3">
        <w:tc>
          <w:tcPr>
            <w:tcW w:w="1140" w:type="dxa"/>
          </w:tcPr>
          <w:p w:rsidR="005F512D" w:rsidRPr="00036EE3" w:rsidRDefault="005F512D" w:rsidP="006C04A3">
            <w:pPr>
              <w:spacing w:before="30" w:after="30"/>
              <w:ind w:left="57"/>
              <w:jc w:val="left"/>
              <w:rPr>
                <w:b/>
                <w:bCs/>
                <w:sz w:val="20"/>
                <w:lang w:val="en-US"/>
              </w:rPr>
            </w:pPr>
            <w:r w:rsidRPr="00036EE3">
              <w:rPr>
                <w:b/>
                <w:bCs/>
                <w:sz w:val="20"/>
                <w:lang w:val="en-US"/>
              </w:rPr>
              <w:t>SNG</w:t>
            </w:r>
          </w:p>
        </w:tc>
        <w:tc>
          <w:tcPr>
            <w:tcW w:w="8220" w:type="dxa"/>
          </w:tcPr>
          <w:p w:rsidR="005F512D" w:rsidRPr="00036EE3" w:rsidRDefault="005F512D" w:rsidP="006C04A3">
            <w:pPr>
              <w:spacing w:before="30" w:after="30"/>
              <w:jc w:val="left"/>
              <w:rPr>
                <w:sz w:val="20"/>
                <w:lang w:val="en-US"/>
              </w:rPr>
            </w:pPr>
            <w:r w:rsidRPr="00036EE3">
              <w:rPr>
                <w:sz w:val="20"/>
                <w:lang w:val="en-US"/>
              </w:rPr>
              <w:t>Satellite news gathering</w:t>
            </w:r>
          </w:p>
        </w:tc>
      </w:tr>
      <w:tr w:rsidR="005F512D" w:rsidRPr="003707F1" w:rsidTr="006C04A3">
        <w:tc>
          <w:tcPr>
            <w:tcW w:w="1140" w:type="dxa"/>
          </w:tcPr>
          <w:p w:rsidR="005F512D" w:rsidRPr="00036EE3" w:rsidRDefault="005F512D" w:rsidP="006C04A3">
            <w:pPr>
              <w:spacing w:before="30" w:after="30"/>
              <w:ind w:left="57"/>
              <w:jc w:val="left"/>
              <w:rPr>
                <w:b/>
                <w:bCs/>
                <w:sz w:val="20"/>
                <w:lang w:val="en-US"/>
              </w:rPr>
            </w:pPr>
            <w:r w:rsidRPr="00036EE3">
              <w:rPr>
                <w:b/>
                <w:bCs/>
                <w:sz w:val="20"/>
                <w:lang w:val="en-US"/>
              </w:rPr>
              <w:t>TF</w:t>
            </w:r>
          </w:p>
        </w:tc>
        <w:tc>
          <w:tcPr>
            <w:tcW w:w="8220" w:type="dxa"/>
          </w:tcPr>
          <w:p w:rsidR="005F512D" w:rsidRPr="00036EE3" w:rsidRDefault="005F512D" w:rsidP="006C04A3">
            <w:pPr>
              <w:spacing w:before="30" w:after="30"/>
              <w:jc w:val="left"/>
              <w:rPr>
                <w:sz w:val="20"/>
                <w:lang w:val="en-US"/>
              </w:rPr>
            </w:pPr>
            <w:r w:rsidRPr="00036EE3">
              <w:rPr>
                <w:sz w:val="20"/>
                <w:lang w:val="en-US"/>
              </w:rPr>
              <w:t>Time signals and frequency standards emissions</w:t>
            </w:r>
          </w:p>
        </w:tc>
      </w:tr>
      <w:tr w:rsidR="005F512D" w:rsidRPr="00036EE3" w:rsidTr="006C04A3">
        <w:tc>
          <w:tcPr>
            <w:tcW w:w="1140" w:type="dxa"/>
          </w:tcPr>
          <w:p w:rsidR="005F512D" w:rsidRPr="00036EE3" w:rsidRDefault="005F512D" w:rsidP="006C04A3">
            <w:pPr>
              <w:spacing w:before="30" w:after="30"/>
              <w:ind w:left="57"/>
              <w:jc w:val="left"/>
              <w:rPr>
                <w:b/>
                <w:bCs/>
                <w:sz w:val="20"/>
                <w:lang w:val="en-US"/>
              </w:rPr>
            </w:pPr>
            <w:r w:rsidRPr="00036EE3">
              <w:rPr>
                <w:b/>
                <w:bCs/>
                <w:sz w:val="20"/>
                <w:lang w:val="en-US"/>
              </w:rPr>
              <w:t>V</w:t>
            </w:r>
          </w:p>
        </w:tc>
        <w:tc>
          <w:tcPr>
            <w:tcW w:w="8220" w:type="dxa"/>
          </w:tcPr>
          <w:p w:rsidR="005F512D" w:rsidRPr="00036EE3" w:rsidRDefault="005F512D" w:rsidP="006C04A3">
            <w:pPr>
              <w:spacing w:before="30" w:after="180"/>
              <w:jc w:val="left"/>
              <w:rPr>
                <w:sz w:val="20"/>
                <w:lang w:val="en-US"/>
              </w:rPr>
            </w:pPr>
            <w:r w:rsidRPr="00036EE3">
              <w:rPr>
                <w:sz w:val="20"/>
                <w:lang w:val="en-US"/>
              </w:rPr>
              <w:t>Vocabulary and related subjects</w:t>
            </w:r>
          </w:p>
        </w:tc>
      </w:tr>
    </w:tbl>
    <w:p w:rsidR="005F512D" w:rsidRPr="00036EE3" w:rsidRDefault="005F512D" w:rsidP="005F512D">
      <w:pPr>
        <w:spacing w:before="30" w:after="30"/>
        <w:jc w:val="center"/>
        <w:rPr>
          <w:sz w:val="20"/>
          <w:lang w:val="en-US"/>
        </w:rPr>
      </w:pPr>
    </w:p>
    <w:p w:rsidR="005F512D" w:rsidRDefault="005F512D" w:rsidP="005F512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F512D" w:rsidRPr="003707F1" w:rsidTr="006C04A3">
        <w:tc>
          <w:tcPr>
            <w:tcW w:w="9360" w:type="dxa"/>
          </w:tcPr>
          <w:p w:rsidR="005F512D" w:rsidRPr="006B55A9" w:rsidRDefault="005F512D" w:rsidP="006C04A3">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5F512D" w:rsidRDefault="005F512D" w:rsidP="005F512D">
      <w:pPr>
        <w:spacing w:before="0"/>
        <w:jc w:val="center"/>
        <w:rPr>
          <w:sz w:val="22"/>
          <w:lang w:val="en-US"/>
        </w:rPr>
      </w:pPr>
    </w:p>
    <w:p w:rsidR="005F512D" w:rsidRDefault="005F512D" w:rsidP="005F512D">
      <w:pPr>
        <w:spacing w:before="0"/>
        <w:jc w:val="center"/>
        <w:rPr>
          <w:sz w:val="22"/>
          <w:lang w:val="en-US"/>
        </w:rPr>
      </w:pPr>
    </w:p>
    <w:p w:rsidR="005F512D" w:rsidRPr="002F5199" w:rsidRDefault="005F512D" w:rsidP="005F512D">
      <w:pPr>
        <w:spacing w:before="0"/>
        <w:jc w:val="right"/>
        <w:rPr>
          <w:i/>
          <w:iCs/>
          <w:sz w:val="20"/>
          <w:lang w:val="en-US"/>
        </w:rPr>
      </w:pPr>
      <w:r w:rsidRPr="002F5199">
        <w:rPr>
          <w:i/>
          <w:iCs/>
          <w:sz w:val="20"/>
          <w:lang w:val="en-US"/>
        </w:rPr>
        <w:t>Electronic Publication</w:t>
      </w:r>
    </w:p>
    <w:p w:rsidR="005F512D" w:rsidRPr="002F5199" w:rsidRDefault="005F512D" w:rsidP="005F512D">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15</w:t>
      </w:r>
    </w:p>
    <w:p w:rsidR="005F512D" w:rsidRDefault="005F512D" w:rsidP="005F512D">
      <w:pPr>
        <w:jc w:val="center"/>
        <w:rPr>
          <w:sz w:val="22"/>
          <w:lang w:val="en-US"/>
        </w:rPr>
      </w:pPr>
    </w:p>
    <w:p w:rsidR="005F512D" w:rsidRPr="00470E28" w:rsidRDefault="005F512D" w:rsidP="005F512D">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15</w:t>
      </w:r>
    </w:p>
    <w:p w:rsidR="005F512D" w:rsidRPr="00470E28" w:rsidRDefault="005F512D" w:rsidP="005F512D">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5F512D" w:rsidRDefault="005F512D" w:rsidP="005F512D">
      <w:pPr>
        <w:spacing w:before="160"/>
        <w:rPr>
          <w:i/>
          <w:sz w:val="20"/>
          <w:lang w:val="en-US"/>
        </w:rPr>
        <w:sectPr w:rsidR="005F512D"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5F512D" w:rsidRPr="00BF487A" w:rsidRDefault="005F512D" w:rsidP="000801F3">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sidR="000801F3">
        <w:rPr>
          <w:rStyle w:val="href"/>
          <w:lang w:val="en-US"/>
        </w:rPr>
        <w:t>1848-1</w:t>
      </w:r>
    </w:p>
    <w:p w:rsidR="005F512D" w:rsidRPr="00CB583A" w:rsidRDefault="005F512D" w:rsidP="005F512D">
      <w:pPr>
        <w:pStyle w:val="Rectitle"/>
        <w:rPr>
          <w:lang w:val="en-US"/>
        </w:rPr>
      </w:pPr>
      <w:r w:rsidRPr="00CB583A">
        <w:rPr>
          <w:lang w:val="en-US"/>
        </w:rPr>
        <w:t>Safe areas</w:t>
      </w:r>
      <w:r w:rsidRPr="00CB583A">
        <w:rPr>
          <w:rStyle w:val="FootnoteReference"/>
          <w:lang w:val="en-US"/>
        </w:rPr>
        <w:footnoteReference w:customMarkFollows="1" w:id="1"/>
        <w:t>*</w:t>
      </w:r>
      <w:r w:rsidRPr="00CB583A">
        <w:rPr>
          <w:lang w:val="en-US"/>
        </w:rPr>
        <w:t xml:space="preserve"> of wide-screen 16:9 aspect ratio digital productions</w:t>
      </w:r>
    </w:p>
    <w:p w:rsidR="005F512D" w:rsidRPr="00CB583A" w:rsidRDefault="005F512D" w:rsidP="005F512D">
      <w:pPr>
        <w:pStyle w:val="Recdate"/>
        <w:rPr>
          <w:lang w:val="en-US"/>
        </w:rPr>
      </w:pPr>
    </w:p>
    <w:p w:rsidR="005F512D" w:rsidRPr="00CB583A" w:rsidRDefault="005F512D" w:rsidP="005F512D">
      <w:pPr>
        <w:pStyle w:val="Recdate"/>
        <w:rPr>
          <w:lang w:val="en-US"/>
        </w:rPr>
      </w:pPr>
      <w:r w:rsidRPr="00CB583A">
        <w:rPr>
          <w:lang w:val="en-US"/>
        </w:rPr>
        <w:t>(2008</w:t>
      </w:r>
      <w:r w:rsidR="000801F3">
        <w:rPr>
          <w:lang w:val="en-US"/>
        </w:rPr>
        <w:t>-2015</w:t>
      </w:r>
      <w:r w:rsidRPr="00CB583A">
        <w:rPr>
          <w:lang w:val="en-US"/>
        </w:rPr>
        <w:t>)</w:t>
      </w:r>
    </w:p>
    <w:p w:rsidR="005F512D" w:rsidRPr="00CB583A" w:rsidRDefault="005F512D" w:rsidP="005F512D">
      <w:pPr>
        <w:pStyle w:val="HeadingSum"/>
        <w:rPr>
          <w:lang w:val="en-US"/>
        </w:rPr>
      </w:pPr>
      <w:r w:rsidRPr="00CB583A">
        <w:rPr>
          <w:lang w:val="en-US"/>
        </w:rPr>
        <w:t>Scope</w:t>
      </w:r>
    </w:p>
    <w:p w:rsidR="005F512D" w:rsidRPr="00CB583A" w:rsidRDefault="005F512D" w:rsidP="00992088">
      <w:pPr>
        <w:pStyle w:val="Summary"/>
        <w:jc w:val="left"/>
        <w:rPr>
          <w:lang w:val="en-US"/>
        </w:rPr>
      </w:pPr>
      <w:r w:rsidRPr="00CB583A">
        <w:rPr>
          <w:lang w:val="en-US"/>
        </w:rPr>
        <w:t>This Recommendation provides guidelines on safe areas of 625-line, 720-line, 1 080-line</w:t>
      </w:r>
      <w:r w:rsidR="00992088">
        <w:rPr>
          <w:lang w:val="en-US"/>
        </w:rPr>
        <w:t>, 2 </w:t>
      </w:r>
      <w:r w:rsidRPr="00CB583A">
        <w:rPr>
          <w:lang w:val="en-US"/>
        </w:rPr>
        <w:t>160-line and 4</w:t>
      </w:r>
      <w:r w:rsidR="00992088">
        <w:rPr>
          <w:lang w:val="en-US"/>
        </w:rPr>
        <w:t> </w:t>
      </w:r>
      <w:r w:rsidRPr="00CB583A">
        <w:rPr>
          <w:lang w:val="en-US"/>
        </w:rPr>
        <w:t>320-line formats of wide-screen 16:9 aspect ratio digital productions.</w:t>
      </w:r>
    </w:p>
    <w:p w:rsidR="005F512D" w:rsidRPr="00CB583A" w:rsidRDefault="005F512D" w:rsidP="005F512D">
      <w:pPr>
        <w:pStyle w:val="Normalaftertitle"/>
        <w:rPr>
          <w:lang w:val="en-US"/>
        </w:rPr>
      </w:pPr>
      <w:r w:rsidRPr="00CB583A">
        <w:rPr>
          <w:lang w:val="en-US"/>
        </w:rPr>
        <w:t>The ITU Radiocommunication Assembly,</w:t>
      </w:r>
    </w:p>
    <w:p w:rsidR="005F512D" w:rsidRPr="00CB583A" w:rsidRDefault="005F512D" w:rsidP="005F512D">
      <w:pPr>
        <w:pStyle w:val="Call"/>
        <w:rPr>
          <w:lang w:val="en-US"/>
        </w:rPr>
      </w:pPr>
      <w:r w:rsidRPr="00CB583A">
        <w:rPr>
          <w:lang w:val="en-US"/>
        </w:rPr>
        <w:t>considering</w:t>
      </w:r>
    </w:p>
    <w:p w:rsidR="005F512D" w:rsidRPr="00CB583A" w:rsidRDefault="005F512D" w:rsidP="005F512D">
      <w:pPr>
        <w:rPr>
          <w:lang w:val="en-US"/>
        </w:rPr>
      </w:pPr>
      <w:r w:rsidRPr="00CB583A">
        <w:rPr>
          <w:i/>
          <w:iCs/>
          <w:lang w:val="en-US"/>
        </w:rPr>
        <w:t>a)</w:t>
      </w:r>
      <w:r w:rsidRPr="00CB583A">
        <w:rPr>
          <w:lang w:val="en-US"/>
        </w:rPr>
        <w:tab/>
        <w:t>that Recommendation ITU-R BT.1379-2 – Safe areas of wide-screen 16:9 and standard 4:3 aspect ratio productions to achieve a common format during a transition period to wide</w:t>
      </w:r>
      <w:r w:rsidRPr="00CB583A">
        <w:rPr>
          <w:lang w:val="en-US"/>
        </w:rPr>
        <w:noBreakHyphen/>
        <w:t>screen 16:9 broadcasting, already exists;</w:t>
      </w:r>
    </w:p>
    <w:p w:rsidR="005F512D" w:rsidRPr="00CB583A" w:rsidRDefault="005F512D" w:rsidP="005F512D">
      <w:pPr>
        <w:rPr>
          <w:lang w:val="en-US"/>
        </w:rPr>
      </w:pPr>
      <w:r w:rsidRPr="00CB583A">
        <w:rPr>
          <w:i/>
          <w:iCs/>
          <w:lang w:val="en-US"/>
        </w:rPr>
        <w:t>b)</w:t>
      </w:r>
      <w:r w:rsidRPr="00CB583A">
        <w:rPr>
          <w:lang w:val="en-US"/>
        </w:rPr>
        <w:tab/>
        <w:t>that the use of a 16:9 chain for the transmission of a programme in 4:3 has encouraged the introduction of new 16:9 equipment;</w:t>
      </w:r>
    </w:p>
    <w:p w:rsidR="005F512D" w:rsidRPr="00CB583A" w:rsidRDefault="005F512D" w:rsidP="005F512D">
      <w:pPr>
        <w:rPr>
          <w:lang w:val="en-US"/>
        </w:rPr>
      </w:pPr>
      <w:r w:rsidRPr="00CB583A">
        <w:rPr>
          <w:i/>
          <w:iCs/>
          <w:lang w:val="en-US"/>
        </w:rPr>
        <w:t>c)</w:t>
      </w:r>
      <w:r w:rsidRPr="00CB583A">
        <w:rPr>
          <w:lang w:val="en-US"/>
        </w:rPr>
        <w:tab/>
        <w:t xml:space="preserve">that the ability to use a single master for simultaneous transmission of </w:t>
      </w:r>
      <w:r w:rsidR="00361769">
        <w:rPr>
          <w:lang w:val="en-US"/>
        </w:rPr>
        <w:t xml:space="preserve">both digital 16:9 and </w:t>
      </w:r>
      <w:r w:rsidRPr="00CB583A">
        <w:rPr>
          <w:lang w:val="en-US"/>
        </w:rPr>
        <w:t>4:3 aspect ratio content has encouraged the transition to 16:9 broadcasting;</w:t>
      </w:r>
    </w:p>
    <w:p w:rsidR="005F512D" w:rsidRPr="00CB583A" w:rsidRDefault="005F512D" w:rsidP="005F512D">
      <w:pPr>
        <w:rPr>
          <w:lang w:val="en-US"/>
        </w:rPr>
      </w:pPr>
      <w:r w:rsidRPr="00CB583A">
        <w:rPr>
          <w:i/>
          <w:iCs/>
          <w:lang w:val="en-US"/>
        </w:rPr>
        <w:t>d)</w:t>
      </w:r>
      <w:r w:rsidRPr="00CB583A">
        <w:rPr>
          <w:lang w:val="en-US"/>
        </w:rPr>
        <w:tab/>
        <w:t>that the use of component digital 16:9 video chains will provide viewers watching 16:9 services with the optimum picture quality;</w:t>
      </w:r>
    </w:p>
    <w:p w:rsidR="005F512D" w:rsidRPr="00CB583A" w:rsidRDefault="005F512D" w:rsidP="00361769">
      <w:pPr>
        <w:rPr>
          <w:lang w:val="en-US"/>
        </w:rPr>
      </w:pPr>
      <w:r w:rsidRPr="00CB583A">
        <w:rPr>
          <w:i/>
          <w:iCs/>
          <w:lang w:val="en-US"/>
        </w:rPr>
        <w:t>e)</w:t>
      </w:r>
      <w:r w:rsidRPr="00CB583A">
        <w:rPr>
          <w:lang w:val="en-US"/>
        </w:rPr>
        <w:tab/>
        <w:t>that the introduction of wide-screen formats have included 4 320-line, 2 160-line, 1</w:t>
      </w:r>
      <w:r>
        <w:rPr>
          <w:lang w:val="en-US"/>
        </w:rPr>
        <w:t> </w:t>
      </w:r>
      <w:r w:rsidRPr="00CB583A">
        <w:rPr>
          <w:lang w:val="en-US"/>
        </w:rPr>
        <w:t>080</w:t>
      </w:r>
      <w:r w:rsidR="00361769">
        <w:rPr>
          <w:lang w:val="en-US"/>
        </w:rPr>
        <w:noBreakHyphen/>
      </w:r>
      <w:r w:rsidRPr="00CB583A">
        <w:rPr>
          <w:lang w:val="en-US"/>
        </w:rPr>
        <w:t>line and 720-line as well as lower resolution;</w:t>
      </w:r>
    </w:p>
    <w:p w:rsidR="005F512D" w:rsidRPr="00CB583A" w:rsidRDefault="005F512D" w:rsidP="005F512D">
      <w:pPr>
        <w:rPr>
          <w:lang w:val="en-US"/>
        </w:rPr>
      </w:pPr>
      <w:r w:rsidRPr="00CB583A">
        <w:rPr>
          <w:i/>
          <w:iCs/>
          <w:lang w:val="en-US"/>
        </w:rPr>
        <w:t>f)</w:t>
      </w:r>
      <w:r w:rsidRPr="00CB583A">
        <w:rPr>
          <w:lang w:val="en-US"/>
        </w:rPr>
        <w:tab/>
        <w:t>that digital technology in cameras, distribution, and displays makes it possible to maintain the originally captured format throughout the broadcasting chain;</w:t>
      </w:r>
    </w:p>
    <w:p w:rsidR="005F512D" w:rsidRPr="00CB583A" w:rsidRDefault="005F512D" w:rsidP="005F512D">
      <w:pPr>
        <w:rPr>
          <w:szCs w:val="24"/>
          <w:lang w:val="en-US" w:eastAsia="ko-KR"/>
        </w:rPr>
      </w:pPr>
      <w:r w:rsidRPr="00CB583A">
        <w:rPr>
          <w:i/>
          <w:iCs/>
          <w:szCs w:val="24"/>
          <w:lang w:val="en-US" w:eastAsia="ko-KR"/>
        </w:rPr>
        <w:t>g)</w:t>
      </w:r>
      <w:r w:rsidRPr="00CB583A">
        <w:rPr>
          <w:szCs w:val="24"/>
          <w:lang w:val="en-US" w:eastAsia="ko-KR"/>
        </w:rPr>
        <w:tab/>
        <w:t>that display overscan is both unnecessary and undesirable for digital television;</w:t>
      </w:r>
    </w:p>
    <w:p w:rsidR="005F512D" w:rsidRPr="00CB583A" w:rsidRDefault="005F512D" w:rsidP="005F512D">
      <w:pPr>
        <w:rPr>
          <w:szCs w:val="24"/>
          <w:lang w:val="en-US" w:eastAsia="ko-KR"/>
        </w:rPr>
      </w:pPr>
      <w:r w:rsidRPr="00CB583A">
        <w:rPr>
          <w:i/>
          <w:iCs/>
          <w:szCs w:val="24"/>
          <w:lang w:val="en-US" w:eastAsia="ko-KR"/>
        </w:rPr>
        <w:t>h)</w:t>
      </w:r>
      <w:r w:rsidRPr="00CB583A">
        <w:rPr>
          <w:szCs w:val="24"/>
          <w:lang w:val="en-US" w:eastAsia="ko-KR"/>
        </w:rPr>
        <w:tab/>
        <w:t>that consumers now watch television programmes on many devices which typically use displays without overscan,</w:t>
      </w:r>
    </w:p>
    <w:p w:rsidR="005F512D" w:rsidRPr="00CB583A" w:rsidRDefault="005F512D" w:rsidP="005F512D">
      <w:pPr>
        <w:pStyle w:val="Call"/>
        <w:rPr>
          <w:lang w:val="en-US"/>
        </w:rPr>
      </w:pPr>
      <w:r w:rsidRPr="00CB583A">
        <w:rPr>
          <w:lang w:val="en-US"/>
        </w:rPr>
        <w:t>recommends</w:t>
      </w:r>
    </w:p>
    <w:p w:rsidR="005F512D" w:rsidRPr="00CB583A" w:rsidRDefault="005F512D" w:rsidP="005F512D">
      <w:pPr>
        <w:rPr>
          <w:lang w:val="en-US"/>
        </w:rPr>
      </w:pPr>
      <w:r w:rsidRPr="00361769">
        <w:rPr>
          <w:b/>
          <w:lang w:val="en-US"/>
        </w:rPr>
        <w:t>1</w:t>
      </w:r>
      <w:r w:rsidRPr="00CB583A">
        <w:rPr>
          <w:lang w:val="en-US"/>
        </w:rPr>
        <w:tab/>
        <w:t>that, in the case of programmes intended for 625-line transmission, account should be taken of the guidelines for safe areas described in Annex 1;</w:t>
      </w:r>
    </w:p>
    <w:p w:rsidR="005F512D" w:rsidRPr="00CB583A" w:rsidRDefault="005F512D" w:rsidP="005F512D">
      <w:pPr>
        <w:rPr>
          <w:lang w:val="en-US"/>
        </w:rPr>
      </w:pPr>
      <w:r w:rsidRPr="00361769">
        <w:rPr>
          <w:b/>
          <w:bCs/>
          <w:lang w:val="en-US"/>
        </w:rPr>
        <w:t>2</w:t>
      </w:r>
      <w:r w:rsidRPr="00CB583A">
        <w:rPr>
          <w:lang w:val="en-US"/>
        </w:rPr>
        <w:tab/>
        <w:t>that, in the case of programmes intended for 720-line transmission, account should be taken of the guidelines for safe areas described in Annex 2;</w:t>
      </w:r>
    </w:p>
    <w:p w:rsidR="005F512D" w:rsidRPr="00CB583A" w:rsidRDefault="005F512D" w:rsidP="005F512D">
      <w:pPr>
        <w:rPr>
          <w:lang w:val="en-US"/>
        </w:rPr>
      </w:pPr>
      <w:r w:rsidRPr="00361769">
        <w:rPr>
          <w:b/>
          <w:bCs/>
          <w:lang w:val="en-US"/>
        </w:rPr>
        <w:t>3</w:t>
      </w:r>
      <w:r w:rsidRPr="00CB583A">
        <w:rPr>
          <w:lang w:val="en-US"/>
        </w:rPr>
        <w:tab/>
        <w:t>that, in the case of programmes intended for 1 080-line transmission, account should be taken of the guidelines for safe areas described in Annex 3;</w:t>
      </w:r>
    </w:p>
    <w:p w:rsidR="005F512D" w:rsidRPr="00CB583A" w:rsidRDefault="005F512D" w:rsidP="00361769">
      <w:pPr>
        <w:rPr>
          <w:lang w:val="en-US"/>
        </w:rPr>
      </w:pPr>
      <w:r w:rsidRPr="00361769">
        <w:rPr>
          <w:b/>
          <w:bCs/>
          <w:lang w:val="en-US"/>
        </w:rPr>
        <w:lastRenderedPageBreak/>
        <w:t>4</w:t>
      </w:r>
      <w:r w:rsidRPr="00CB583A">
        <w:rPr>
          <w:lang w:val="en-US"/>
        </w:rPr>
        <w:tab/>
        <w:t>that, in the case of programmes intended for 2</w:t>
      </w:r>
      <w:r w:rsidR="00361769">
        <w:rPr>
          <w:lang w:val="en-US"/>
        </w:rPr>
        <w:t> </w:t>
      </w:r>
      <w:r w:rsidRPr="00CB583A">
        <w:rPr>
          <w:lang w:val="en-US"/>
        </w:rPr>
        <w:t>160-line transmission, account should be taken of the guidelines for safe areas described in Annex 4;</w:t>
      </w:r>
    </w:p>
    <w:p w:rsidR="005F512D" w:rsidRPr="00CB583A" w:rsidRDefault="005F512D" w:rsidP="00361769">
      <w:pPr>
        <w:rPr>
          <w:lang w:val="en-US"/>
        </w:rPr>
      </w:pPr>
      <w:r w:rsidRPr="00361769">
        <w:rPr>
          <w:b/>
          <w:bCs/>
          <w:lang w:val="en-US"/>
        </w:rPr>
        <w:t>5</w:t>
      </w:r>
      <w:r w:rsidRPr="00CB583A">
        <w:rPr>
          <w:lang w:val="en-US"/>
        </w:rPr>
        <w:tab/>
        <w:t>that, in the case of programmes intended for 4</w:t>
      </w:r>
      <w:r w:rsidR="00361769">
        <w:rPr>
          <w:lang w:val="en-US"/>
        </w:rPr>
        <w:t> </w:t>
      </w:r>
      <w:r w:rsidRPr="00CB583A">
        <w:rPr>
          <w:lang w:val="en-US"/>
        </w:rPr>
        <w:t>320-line transmission, account should be taken of the guidelines for safe areas described in Annex 5,</w:t>
      </w:r>
    </w:p>
    <w:p w:rsidR="005F512D" w:rsidRPr="00CB583A" w:rsidRDefault="005F512D" w:rsidP="005F512D">
      <w:pPr>
        <w:pStyle w:val="Call"/>
        <w:rPr>
          <w:lang w:val="en-US"/>
        </w:rPr>
      </w:pPr>
      <w:r w:rsidRPr="00CB583A">
        <w:rPr>
          <w:lang w:val="en-US"/>
        </w:rPr>
        <w:t>further recommends</w:t>
      </w:r>
    </w:p>
    <w:p w:rsidR="005F512D" w:rsidRPr="00CB583A" w:rsidRDefault="005F512D" w:rsidP="005F512D">
      <w:pPr>
        <w:rPr>
          <w:lang w:val="en-US"/>
        </w:rPr>
      </w:pPr>
      <w:r w:rsidRPr="00361769">
        <w:rPr>
          <w:b/>
          <w:lang w:val="en-US"/>
        </w:rPr>
        <w:t>1</w:t>
      </w:r>
      <w:r w:rsidRPr="00CB583A">
        <w:rPr>
          <w:lang w:val="en-US"/>
        </w:rPr>
        <w:tab/>
        <w:t>that manufacturers of consumer television displays should be strongly encouraged to produce displays without overscan in order for the full image as approved by the programme producer to be enjoyed by all consumers;</w:t>
      </w:r>
    </w:p>
    <w:p w:rsidR="005F512D" w:rsidRPr="00CB583A" w:rsidRDefault="005F512D" w:rsidP="005F512D">
      <w:pPr>
        <w:rPr>
          <w:lang w:val="en-US"/>
        </w:rPr>
      </w:pPr>
      <w:r w:rsidRPr="00361769">
        <w:rPr>
          <w:b/>
          <w:lang w:val="en-US"/>
        </w:rPr>
        <w:t>2</w:t>
      </w:r>
      <w:r w:rsidRPr="00CB583A">
        <w:rPr>
          <w:lang w:val="en-US"/>
        </w:rPr>
        <w:tab/>
        <w:t>that, where available, the use of a fully component electronic production chain in the 16:9 aspect ratio should be preferred.</w:t>
      </w:r>
    </w:p>
    <w:p w:rsidR="005F512D" w:rsidRDefault="005F512D" w:rsidP="005F512D">
      <w:pPr>
        <w:rPr>
          <w:lang w:val="en-US"/>
        </w:rPr>
      </w:pPr>
    </w:p>
    <w:p w:rsidR="005F512D" w:rsidRPr="00CB583A" w:rsidRDefault="005F512D" w:rsidP="005F512D">
      <w:pPr>
        <w:rPr>
          <w:lang w:val="en-US"/>
        </w:rPr>
      </w:pPr>
    </w:p>
    <w:p w:rsidR="005F512D" w:rsidRPr="00CB583A" w:rsidRDefault="005F512D" w:rsidP="005F512D">
      <w:pPr>
        <w:pStyle w:val="AnnexNoTitle"/>
        <w:spacing w:before="240" w:after="120"/>
        <w:rPr>
          <w:lang w:val="en-US"/>
        </w:rPr>
      </w:pPr>
      <w:r w:rsidRPr="00CB583A">
        <w:rPr>
          <w:lang w:val="en-US"/>
        </w:rPr>
        <w:t>Annex 1</w:t>
      </w:r>
      <w:r>
        <w:rPr>
          <w:lang w:val="en-US"/>
        </w:rPr>
        <w:br/>
      </w:r>
      <w:r w:rsidRPr="00CB583A">
        <w:rPr>
          <w:lang w:val="en-US"/>
        </w:rPr>
        <w:br/>
        <w:t>Safe areas for television programmes intended</w:t>
      </w:r>
      <w:r w:rsidRPr="00CB583A">
        <w:rPr>
          <w:lang w:val="en-US"/>
        </w:rPr>
        <w:br/>
        <w:t>for wide-screen 625-line transmission</w:t>
      </w:r>
    </w:p>
    <w:p w:rsidR="005F512D" w:rsidRPr="00CB583A" w:rsidRDefault="005F512D" w:rsidP="005F512D">
      <w:pPr>
        <w:pStyle w:val="Normalaftertitle"/>
        <w:rPr>
          <w:lang w:val="en-US"/>
        </w:rPr>
      </w:pPr>
      <w:r w:rsidRPr="00CB583A">
        <w:rPr>
          <w:lang w:val="en-US"/>
        </w:rPr>
        <w:t>These guidelines are aimed at those involved in any stage of the programme-making process and at manufacturers of production equipment for programmes intended to be broadcast using 625-line transmission systems.</w:t>
      </w:r>
    </w:p>
    <w:p w:rsidR="005F512D" w:rsidRDefault="005F512D" w:rsidP="005F512D">
      <w:pPr>
        <w:rPr>
          <w:lang w:val="en-US"/>
        </w:rPr>
      </w:pPr>
      <w:r w:rsidRPr="00CB583A">
        <w:rPr>
          <w:lang w:val="en-US"/>
        </w:rPr>
        <w:t xml:space="preserve">All the safe areas have been specified on the premise that the overscan on modern domestic television receiver displays will normally be in the range 7.0 </w:t>
      </w:r>
      <w:r w:rsidRPr="00CB583A">
        <w:rPr>
          <w:rFonts w:ascii="Symbol" w:hAnsi="Symbol"/>
          <w:lang w:val="en-US"/>
        </w:rPr>
        <w:t></w:t>
      </w:r>
      <w:r w:rsidRPr="00CB583A">
        <w:rPr>
          <w:lang w:val="en-US"/>
        </w:rPr>
        <w:t xml:space="preserve"> 1% of overall picture width or height. But for any one picture edge, the overscan should not exceed 4% of total picture width or height.</w:t>
      </w:r>
    </w:p>
    <w:p w:rsidR="005F512D" w:rsidRPr="00CB583A" w:rsidRDefault="005F512D" w:rsidP="005F512D">
      <w:pPr>
        <w:rPr>
          <w:lang w:val="en-US"/>
        </w:rPr>
      </w:pPr>
    </w:p>
    <w:p w:rsidR="005F512D" w:rsidRPr="00CB583A" w:rsidRDefault="005F512D" w:rsidP="005F512D">
      <w:pPr>
        <w:pStyle w:val="AppendixNoTitle"/>
        <w:spacing w:before="240" w:after="120"/>
        <w:rPr>
          <w:lang w:val="en-US"/>
        </w:rPr>
      </w:pPr>
      <w:r w:rsidRPr="00CB583A">
        <w:rPr>
          <w:lang w:val="en-US"/>
        </w:rPr>
        <w:t>Appendix 1</w:t>
      </w:r>
      <w:r w:rsidRPr="00CB583A">
        <w:rPr>
          <w:lang w:val="en-US"/>
        </w:rPr>
        <w:br/>
        <w:t>to Annex 1</w:t>
      </w:r>
      <w:r w:rsidRPr="00CB583A">
        <w:rPr>
          <w:lang w:val="en-US"/>
        </w:rPr>
        <w:br/>
      </w:r>
      <w:r w:rsidRPr="00CB583A">
        <w:rPr>
          <w:lang w:val="en-US"/>
        </w:rPr>
        <w:br/>
        <w:t xml:space="preserve">Safe areas for television programmes made in the 625-line interlaced scan </w:t>
      </w:r>
      <w:r w:rsidRPr="00CB583A">
        <w:rPr>
          <w:lang w:val="en-US"/>
        </w:rPr>
        <w:br/>
        <w:t>16:9 wide-screen format: Shoot-to-protect the 16:9 full image</w:t>
      </w:r>
    </w:p>
    <w:p w:rsidR="005F512D" w:rsidRPr="00CB583A" w:rsidRDefault="005F512D" w:rsidP="005F512D">
      <w:pPr>
        <w:pStyle w:val="Normalaftertitle"/>
        <w:keepNext/>
        <w:rPr>
          <w:lang w:val="en-US"/>
        </w:rPr>
      </w:pPr>
      <w:r w:rsidRPr="00CB583A">
        <w:rPr>
          <w:lang w:val="en-US"/>
        </w:rPr>
        <w:t>Table 1 shows how the action and graphics areas are defined to protect the full 16:9 wide</w:t>
      </w:r>
      <w:r w:rsidRPr="00CB583A">
        <w:rPr>
          <w:lang w:val="en-US"/>
        </w:rPr>
        <w:noBreakHyphen/>
        <w:t xml:space="preserve">screen image. </w:t>
      </w:r>
    </w:p>
    <w:p w:rsidR="005F512D" w:rsidRPr="00CB583A" w:rsidRDefault="005F512D" w:rsidP="005F512D">
      <w:pPr>
        <w:pStyle w:val="TableNo"/>
        <w:spacing w:before="120"/>
        <w:rPr>
          <w:lang w:val="en-US"/>
        </w:rPr>
      </w:pPr>
      <w:r w:rsidRPr="00CB583A">
        <w:rPr>
          <w:lang w:val="en-US"/>
        </w:rPr>
        <w:t>TABLE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62"/>
        <w:gridCol w:w="2160"/>
        <w:gridCol w:w="2160"/>
      </w:tblGrid>
      <w:tr w:rsidR="005F512D" w:rsidRPr="00CB583A" w:rsidTr="006C04A3">
        <w:trPr>
          <w:jc w:val="center"/>
        </w:trPr>
        <w:tc>
          <w:tcPr>
            <w:tcW w:w="3762" w:type="dxa"/>
            <w:tcBorders>
              <w:top w:val="nil"/>
              <w:left w:val="nil"/>
            </w:tcBorders>
          </w:tcPr>
          <w:p w:rsidR="005F512D" w:rsidRPr="00CB583A" w:rsidRDefault="005F512D" w:rsidP="006C04A3">
            <w:pPr>
              <w:pStyle w:val="Tablehead"/>
              <w:rPr>
                <w:lang w:val="en-US"/>
              </w:rPr>
            </w:pPr>
          </w:p>
        </w:tc>
        <w:tc>
          <w:tcPr>
            <w:tcW w:w="2160" w:type="dxa"/>
          </w:tcPr>
          <w:p w:rsidR="005F512D" w:rsidRPr="00CB583A" w:rsidRDefault="005F512D" w:rsidP="006C04A3">
            <w:pPr>
              <w:pStyle w:val="Tablehead"/>
              <w:rPr>
                <w:lang w:val="en-US"/>
              </w:rPr>
            </w:pPr>
            <w:r w:rsidRPr="00CB583A">
              <w:rPr>
                <w:lang w:val="en-US"/>
              </w:rPr>
              <w:t>Vertical</w:t>
            </w:r>
          </w:p>
        </w:tc>
        <w:tc>
          <w:tcPr>
            <w:tcW w:w="2160" w:type="dxa"/>
          </w:tcPr>
          <w:p w:rsidR="005F512D" w:rsidRPr="00CB583A" w:rsidRDefault="005F512D" w:rsidP="006C04A3">
            <w:pPr>
              <w:pStyle w:val="Tablehead"/>
              <w:rPr>
                <w:lang w:val="en-US"/>
              </w:rPr>
            </w:pPr>
            <w:r w:rsidRPr="00CB583A">
              <w:rPr>
                <w:lang w:val="en-US"/>
              </w:rPr>
              <w:t>Horizontal</w:t>
            </w:r>
          </w:p>
        </w:tc>
      </w:tr>
      <w:tr w:rsidR="005F512D" w:rsidRPr="00CB583A" w:rsidTr="006C04A3">
        <w:trPr>
          <w:jc w:val="center"/>
        </w:trPr>
        <w:tc>
          <w:tcPr>
            <w:tcW w:w="3762" w:type="dxa"/>
          </w:tcPr>
          <w:p w:rsidR="005F512D" w:rsidRPr="00CB583A" w:rsidRDefault="005F512D" w:rsidP="006C04A3">
            <w:pPr>
              <w:pStyle w:val="Tabletext"/>
              <w:rPr>
                <w:lang w:val="en-US"/>
              </w:rPr>
            </w:pPr>
            <w:r w:rsidRPr="00CB583A">
              <w:rPr>
                <w:lang w:val="en-US"/>
              </w:rPr>
              <w:t>Action safe margin (%)</w:t>
            </w:r>
            <w:r w:rsidRPr="00CB583A">
              <w:rPr>
                <w:vertAlign w:val="superscript"/>
                <w:lang w:val="en-US"/>
              </w:rPr>
              <w:t>(1), (2)</w:t>
            </w:r>
          </w:p>
        </w:tc>
        <w:tc>
          <w:tcPr>
            <w:tcW w:w="2160" w:type="dxa"/>
          </w:tcPr>
          <w:p w:rsidR="005F512D" w:rsidRPr="00CB583A" w:rsidRDefault="005F512D" w:rsidP="006C04A3">
            <w:pPr>
              <w:pStyle w:val="Tabletext"/>
              <w:jc w:val="center"/>
              <w:rPr>
                <w:lang w:val="en-US"/>
              </w:rPr>
            </w:pPr>
            <w:r w:rsidRPr="00CB583A">
              <w:rPr>
                <w:lang w:val="en-US"/>
              </w:rPr>
              <w:t>3.5</w:t>
            </w:r>
          </w:p>
        </w:tc>
        <w:tc>
          <w:tcPr>
            <w:tcW w:w="2160" w:type="dxa"/>
          </w:tcPr>
          <w:p w:rsidR="005F512D" w:rsidRPr="00CB583A" w:rsidRDefault="005F512D" w:rsidP="006C04A3">
            <w:pPr>
              <w:pStyle w:val="Tabletext"/>
              <w:jc w:val="center"/>
              <w:rPr>
                <w:lang w:val="en-US"/>
              </w:rPr>
            </w:pPr>
            <w:r w:rsidRPr="00CB583A">
              <w:rPr>
                <w:lang w:val="en-US"/>
              </w:rPr>
              <w:t>3.5</w:t>
            </w:r>
          </w:p>
        </w:tc>
      </w:tr>
      <w:tr w:rsidR="005F512D" w:rsidRPr="00CB583A" w:rsidTr="006C04A3">
        <w:trPr>
          <w:jc w:val="center"/>
        </w:trPr>
        <w:tc>
          <w:tcPr>
            <w:tcW w:w="3762" w:type="dxa"/>
            <w:tcBorders>
              <w:bottom w:val="single" w:sz="4" w:space="0" w:color="auto"/>
            </w:tcBorders>
          </w:tcPr>
          <w:p w:rsidR="005F512D" w:rsidRPr="00CB583A" w:rsidRDefault="005F512D" w:rsidP="006C04A3">
            <w:pPr>
              <w:pStyle w:val="Tabletext"/>
              <w:rPr>
                <w:lang w:val="en-US"/>
              </w:rPr>
            </w:pPr>
            <w:r w:rsidRPr="00CB583A">
              <w:rPr>
                <w:lang w:val="en-US"/>
              </w:rPr>
              <w:t>Graphics safe margin (%)</w:t>
            </w:r>
            <w:r w:rsidRPr="00CB583A">
              <w:rPr>
                <w:vertAlign w:val="superscript"/>
                <w:lang w:val="en-US"/>
              </w:rPr>
              <w:t>(1), (3)</w:t>
            </w:r>
          </w:p>
        </w:tc>
        <w:tc>
          <w:tcPr>
            <w:tcW w:w="2160" w:type="dxa"/>
            <w:tcBorders>
              <w:bottom w:val="single" w:sz="4" w:space="0" w:color="auto"/>
            </w:tcBorders>
          </w:tcPr>
          <w:p w:rsidR="005F512D" w:rsidRPr="00CB583A" w:rsidRDefault="005F512D" w:rsidP="006C04A3">
            <w:pPr>
              <w:pStyle w:val="Tabletext"/>
              <w:jc w:val="center"/>
              <w:rPr>
                <w:lang w:val="en-US"/>
              </w:rPr>
            </w:pPr>
            <w:r w:rsidRPr="00CB583A">
              <w:rPr>
                <w:lang w:val="en-US"/>
              </w:rPr>
              <w:t>5</w:t>
            </w:r>
          </w:p>
        </w:tc>
        <w:tc>
          <w:tcPr>
            <w:tcW w:w="2160" w:type="dxa"/>
            <w:tcBorders>
              <w:bottom w:val="single" w:sz="4" w:space="0" w:color="auto"/>
            </w:tcBorders>
          </w:tcPr>
          <w:p w:rsidR="005F512D" w:rsidRPr="00CB583A" w:rsidRDefault="005F512D" w:rsidP="006C04A3">
            <w:pPr>
              <w:pStyle w:val="Tabletext"/>
              <w:jc w:val="center"/>
              <w:rPr>
                <w:lang w:val="en-US"/>
              </w:rPr>
            </w:pPr>
            <w:r w:rsidRPr="00CB583A">
              <w:rPr>
                <w:lang w:val="en-US"/>
              </w:rPr>
              <w:t>5</w:t>
            </w:r>
          </w:p>
        </w:tc>
      </w:tr>
      <w:tr w:rsidR="005F512D" w:rsidRPr="003707F1" w:rsidTr="006C04A3">
        <w:trPr>
          <w:trHeight w:val="780"/>
          <w:jc w:val="center"/>
        </w:trPr>
        <w:tc>
          <w:tcPr>
            <w:tcW w:w="8082" w:type="dxa"/>
            <w:gridSpan w:val="3"/>
            <w:tcBorders>
              <w:left w:val="nil"/>
              <w:bottom w:val="nil"/>
              <w:right w:val="nil"/>
            </w:tcBorders>
          </w:tcPr>
          <w:p w:rsidR="005F512D" w:rsidRPr="00CB583A" w:rsidRDefault="005F512D" w:rsidP="00361769">
            <w:pPr>
              <w:pStyle w:val="Tabletext"/>
              <w:ind w:left="284" w:hanging="284"/>
              <w:rPr>
                <w:lang w:val="en-US"/>
              </w:rPr>
            </w:pPr>
            <w:r w:rsidRPr="00CB583A">
              <w:rPr>
                <w:vertAlign w:val="superscript"/>
                <w:lang w:val="en-US"/>
              </w:rPr>
              <w:t xml:space="preserve">(1) </w:t>
            </w:r>
            <w:r w:rsidRPr="00CB583A">
              <w:rPr>
                <w:lang w:val="en-US"/>
              </w:rPr>
              <w:t>Defined in Recommendation ITU-R BT.1379-2.</w:t>
            </w:r>
          </w:p>
          <w:p w:rsidR="005F512D" w:rsidRPr="00CB583A" w:rsidRDefault="005F512D" w:rsidP="00361769">
            <w:pPr>
              <w:pStyle w:val="Tabletext"/>
              <w:ind w:left="284" w:hanging="284"/>
              <w:rPr>
                <w:lang w:val="en-US"/>
              </w:rPr>
            </w:pPr>
            <w:r w:rsidRPr="00CB583A">
              <w:rPr>
                <w:vertAlign w:val="superscript"/>
                <w:lang w:val="en-US"/>
              </w:rPr>
              <w:t xml:space="preserve">(2) </w:t>
            </w:r>
            <w:r w:rsidRPr="00CB583A">
              <w:rPr>
                <w:lang w:val="en-US"/>
              </w:rPr>
              <w:t>The action safe margin is 3.5% at the top, bottom and lateral parts of the original image.</w:t>
            </w:r>
          </w:p>
          <w:p w:rsidR="005F512D" w:rsidRPr="00CB583A" w:rsidRDefault="005F512D" w:rsidP="00361769">
            <w:pPr>
              <w:pStyle w:val="Tabletext"/>
              <w:ind w:left="284" w:hanging="284"/>
              <w:rPr>
                <w:lang w:val="en-US"/>
              </w:rPr>
            </w:pPr>
            <w:r w:rsidRPr="00CB583A">
              <w:rPr>
                <w:vertAlign w:val="superscript"/>
                <w:lang w:val="en-US"/>
              </w:rPr>
              <w:t xml:space="preserve">(3) </w:t>
            </w:r>
            <w:r w:rsidRPr="00CB583A">
              <w:rPr>
                <w:lang w:val="en-US"/>
              </w:rPr>
              <w:t>The graphics safe margin is 5% at the top, bottom and lateral parts of the original image.</w:t>
            </w:r>
          </w:p>
        </w:tc>
      </w:tr>
    </w:tbl>
    <w:p w:rsidR="005F512D" w:rsidRPr="00CB583A" w:rsidRDefault="005F512D" w:rsidP="005F512D">
      <w:pPr>
        <w:rPr>
          <w:lang w:val="en-US"/>
        </w:rPr>
      </w:pPr>
      <w:r w:rsidRPr="00CB583A">
        <w:rPr>
          <w:lang w:val="en-US"/>
        </w:rPr>
        <w:lastRenderedPageBreak/>
        <w:t>Figure 1 shows these areas in more detail.</w:t>
      </w:r>
    </w:p>
    <w:p w:rsidR="005F512D" w:rsidRPr="00CB583A" w:rsidRDefault="005F512D" w:rsidP="005F512D">
      <w:pPr>
        <w:pStyle w:val="FigureNo"/>
        <w:spacing w:before="240"/>
        <w:rPr>
          <w:lang w:val="en-US"/>
        </w:rPr>
      </w:pPr>
      <w:r w:rsidRPr="00CB583A">
        <w:rPr>
          <w:lang w:val="en-US"/>
        </w:rPr>
        <w:t>Figure 1</w:t>
      </w:r>
    </w:p>
    <w:p w:rsidR="005F512D" w:rsidRPr="00CB583A" w:rsidRDefault="005F512D" w:rsidP="005F512D">
      <w:pPr>
        <w:pStyle w:val="Figuretitle"/>
        <w:rPr>
          <w:lang w:val="en-US"/>
        </w:rPr>
      </w:pPr>
      <w:r w:rsidRPr="00CB583A">
        <w:rPr>
          <w:lang w:val="en-US"/>
        </w:rPr>
        <w:t>16:9 shoot-to-protect the 16:9 full image, 625-line interlace scan</w:t>
      </w:r>
    </w:p>
    <w:p w:rsidR="005F512D" w:rsidRPr="00CB583A" w:rsidRDefault="00757B8B" w:rsidP="005F512D">
      <w:pPr>
        <w:pStyle w:val="Figure"/>
        <w:rPr>
          <w:lang w:val="en-US"/>
        </w:rPr>
      </w:pPr>
      <w:r>
        <w:object w:dxaOrig="6929" w:dyaOrig="4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25pt;height:204.75pt" o:ole="">
            <v:imagedata r:id="rId12" o:title=""/>
          </v:shape>
          <o:OLEObject Type="Embed" ProgID="CorelDraw.Graphic.16" ShapeID="_x0000_i1025" DrawAspect="Content" ObjectID="_1508329781" r:id="rId13"/>
        </w:object>
      </w:r>
    </w:p>
    <w:p w:rsidR="005F512D" w:rsidRPr="00CB583A" w:rsidRDefault="005F512D" w:rsidP="005F512D">
      <w:pPr>
        <w:rPr>
          <w:lang w:val="en-US"/>
        </w:rPr>
      </w:pPr>
      <w:r w:rsidRPr="00CB583A">
        <w:rPr>
          <w:lang w:val="en-US"/>
        </w:rPr>
        <w:t>The definitions of the safe areas are given in numbers of lines and pixels, which are more definitive than the percentages used previously. However, percentages are also included because they are the basis on which comparisons are made. The line numbering has been calculated on the basis that field 1 is paired with the field 2 line below it, and the line from field 1</w:t>
      </w:r>
      <w:r w:rsidR="00AA3371">
        <w:rPr>
          <w:lang w:val="en-US"/>
        </w:rPr>
        <w:t>,</w:t>
      </w:r>
      <w:r w:rsidRPr="00CB583A">
        <w:rPr>
          <w:lang w:val="en-US"/>
        </w:rPr>
        <w:t xml:space="preserve"> which is just inside the percentage box</w:t>
      </w:r>
      <w:r w:rsidR="00AA3371">
        <w:rPr>
          <w:lang w:val="en-US"/>
        </w:rPr>
        <w:t>,</w:t>
      </w:r>
      <w:r w:rsidRPr="00CB583A">
        <w:rPr>
          <w:lang w:val="en-US"/>
        </w:rPr>
        <w:t xml:space="preserve"> is defined as the edge of active picture.</w:t>
      </w:r>
    </w:p>
    <w:p w:rsidR="005F512D" w:rsidRDefault="005F512D" w:rsidP="005F512D">
      <w:pPr>
        <w:rPr>
          <w:lang w:val="en-US"/>
        </w:rPr>
      </w:pPr>
      <w:r w:rsidRPr="00CB583A">
        <w:rPr>
          <w:lang w:val="en-US"/>
        </w:rPr>
        <w:t>Thus</w:t>
      </w:r>
      <w:r w:rsidR="00AA3371">
        <w:rPr>
          <w:lang w:val="en-US"/>
        </w:rPr>
        <w:t>,</w:t>
      </w:r>
      <w:r w:rsidRPr="00CB583A">
        <w:rPr>
          <w:lang w:val="en-US"/>
        </w:rPr>
        <w:t xml:space="preserve"> the drawings give the first and last lines and the first and last pixels which are inside the safe areas.</w:t>
      </w:r>
    </w:p>
    <w:p w:rsidR="005F512D" w:rsidRDefault="005F512D" w:rsidP="005F512D">
      <w:pPr>
        <w:rPr>
          <w:lang w:val="en-US"/>
        </w:rPr>
      </w:pPr>
    </w:p>
    <w:p w:rsidR="005F512D" w:rsidRDefault="005F512D" w:rsidP="005F512D">
      <w:pPr>
        <w:rPr>
          <w:lang w:val="en-US"/>
        </w:rPr>
      </w:pPr>
    </w:p>
    <w:p w:rsidR="005F512D" w:rsidRPr="00CB583A" w:rsidRDefault="005F512D" w:rsidP="005F512D">
      <w:pPr>
        <w:pStyle w:val="AnnexNoTitle"/>
        <w:spacing w:before="240" w:after="120"/>
        <w:rPr>
          <w:lang w:val="en-US"/>
        </w:rPr>
      </w:pPr>
      <w:r w:rsidRPr="00CB583A">
        <w:rPr>
          <w:lang w:val="en-US"/>
        </w:rPr>
        <w:t>Annex 2</w:t>
      </w:r>
      <w:r>
        <w:rPr>
          <w:lang w:val="en-US"/>
        </w:rPr>
        <w:br/>
      </w:r>
      <w:r w:rsidRPr="00CB583A">
        <w:rPr>
          <w:lang w:val="en-US"/>
        </w:rPr>
        <w:br/>
        <w:t>Safe areas for television programmes intended</w:t>
      </w:r>
      <w:r w:rsidRPr="00CB583A">
        <w:rPr>
          <w:lang w:val="en-US"/>
        </w:rPr>
        <w:br/>
        <w:t>for wide-screen 720-line transmission</w:t>
      </w:r>
    </w:p>
    <w:p w:rsidR="005F512D" w:rsidRPr="00CB583A" w:rsidRDefault="005F512D" w:rsidP="005F512D">
      <w:pPr>
        <w:pStyle w:val="Normalaftertitle"/>
        <w:spacing w:before="240"/>
        <w:rPr>
          <w:lang w:val="en-US"/>
        </w:rPr>
      </w:pPr>
      <w:r w:rsidRPr="00CB583A">
        <w:rPr>
          <w:lang w:val="en-US"/>
        </w:rPr>
        <w:t>This guideline is aimed at those involved in any stage of the programme-making process and at manufacturers of production equipment for programmes intended to be broadcast using 720-line transmission systems.</w:t>
      </w:r>
    </w:p>
    <w:p w:rsidR="005F512D" w:rsidRDefault="005F512D" w:rsidP="005F512D">
      <w:pPr>
        <w:rPr>
          <w:lang w:val="en-US"/>
        </w:rPr>
      </w:pPr>
      <w:r w:rsidRPr="00CB583A">
        <w:rPr>
          <w:lang w:val="en-US"/>
        </w:rPr>
        <w:t xml:space="preserve">The safe areas have been specified on the premise that the overscan on modern domestic television receiver displays will normally be in the range 7.0 </w:t>
      </w:r>
      <w:r w:rsidRPr="00CB583A">
        <w:rPr>
          <w:rFonts w:ascii="Symbol" w:hAnsi="Symbol"/>
          <w:lang w:val="en-US"/>
        </w:rPr>
        <w:t></w:t>
      </w:r>
      <w:r w:rsidRPr="00CB583A">
        <w:rPr>
          <w:lang w:val="en-US"/>
        </w:rPr>
        <w:t xml:space="preserve"> 1% of overall picture width or height. But for any one picture edge, the overscan should not exceed 4% of total picture width or height.</w:t>
      </w:r>
    </w:p>
    <w:p w:rsidR="005F512D" w:rsidRDefault="005F512D" w:rsidP="005F512D">
      <w:pPr>
        <w:rPr>
          <w:lang w:val="en-US"/>
        </w:rPr>
      </w:pPr>
    </w:p>
    <w:p w:rsidR="005F512D" w:rsidRPr="00CB583A" w:rsidRDefault="005F512D" w:rsidP="005F512D">
      <w:pPr>
        <w:rPr>
          <w:lang w:val="en-US"/>
        </w:rPr>
      </w:pPr>
    </w:p>
    <w:p w:rsidR="005F512D" w:rsidRPr="00CB583A" w:rsidRDefault="005F512D" w:rsidP="005F512D">
      <w:pPr>
        <w:pStyle w:val="AppendixNoTitle"/>
        <w:spacing w:before="240" w:after="120"/>
        <w:rPr>
          <w:lang w:val="en-US"/>
        </w:rPr>
      </w:pPr>
      <w:r w:rsidRPr="00CB583A">
        <w:rPr>
          <w:lang w:val="en-US"/>
        </w:rPr>
        <w:lastRenderedPageBreak/>
        <w:t>Appendix 1</w:t>
      </w:r>
      <w:r w:rsidRPr="00CB583A">
        <w:rPr>
          <w:lang w:val="en-US"/>
        </w:rPr>
        <w:br/>
        <w:t>to Annex 2</w:t>
      </w:r>
      <w:r w:rsidRPr="00CB583A">
        <w:rPr>
          <w:lang w:val="en-US"/>
        </w:rPr>
        <w:br/>
      </w:r>
      <w:r w:rsidRPr="00CB583A">
        <w:rPr>
          <w:lang w:val="en-US"/>
        </w:rPr>
        <w:br/>
        <w:t xml:space="preserve">Safe areas for television programmes made in the 720-line progressive scan </w:t>
      </w:r>
      <w:r w:rsidRPr="00CB583A">
        <w:rPr>
          <w:lang w:val="en-US"/>
        </w:rPr>
        <w:br/>
        <w:t>16:9 wide-screen format: Shoot-to-protect the 16:9 full image</w:t>
      </w:r>
    </w:p>
    <w:p w:rsidR="005F512D" w:rsidRPr="00CB583A" w:rsidRDefault="005F512D" w:rsidP="00AA3371">
      <w:pPr>
        <w:pStyle w:val="Normalaftertitle"/>
        <w:spacing w:before="240"/>
        <w:rPr>
          <w:lang w:val="en-US"/>
        </w:rPr>
      </w:pPr>
      <w:r w:rsidRPr="00CB583A">
        <w:rPr>
          <w:lang w:val="en-US"/>
        </w:rPr>
        <w:t xml:space="preserve">Table </w:t>
      </w:r>
      <w:r w:rsidR="00AA3371">
        <w:rPr>
          <w:lang w:val="en-US"/>
        </w:rPr>
        <w:t>2</w:t>
      </w:r>
      <w:r w:rsidRPr="00CB583A">
        <w:rPr>
          <w:lang w:val="en-US"/>
        </w:rPr>
        <w:t xml:space="preserve"> shows how the action and graphics areas are defined to protect the full 16:9 wide</w:t>
      </w:r>
      <w:r w:rsidRPr="00CB583A">
        <w:rPr>
          <w:lang w:val="en-US"/>
        </w:rPr>
        <w:noBreakHyphen/>
        <w:t xml:space="preserve">screen image. </w:t>
      </w:r>
    </w:p>
    <w:p w:rsidR="005F512D" w:rsidRPr="00CB583A" w:rsidRDefault="00AA3371" w:rsidP="005F512D">
      <w:pPr>
        <w:pStyle w:val="TableNo"/>
        <w:spacing w:before="240"/>
        <w:rPr>
          <w:lang w:val="en-US"/>
        </w:rPr>
      </w:pPr>
      <w:r>
        <w:rPr>
          <w:lang w:val="en-US"/>
        </w:rPr>
        <w:t>TABLE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268"/>
        <w:gridCol w:w="2268"/>
      </w:tblGrid>
      <w:tr w:rsidR="005F512D" w:rsidRPr="00CB583A" w:rsidTr="006C04A3">
        <w:trPr>
          <w:jc w:val="center"/>
        </w:trPr>
        <w:tc>
          <w:tcPr>
            <w:tcW w:w="3969" w:type="dxa"/>
            <w:tcBorders>
              <w:top w:val="nil"/>
              <w:left w:val="nil"/>
            </w:tcBorders>
          </w:tcPr>
          <w:p w:rsidR="005F512D" w:rsidRPr="00CB583A" w:rsidRDefault="005F512D" w:rsidP="006C04A3">
            <w:pPr>
              <w:rPr>
                <w:lang w:val="en-US"/>
              </w:rPr>
            </w:pPr>
          </w:p>
        </w:tc>
        <w:tc>
          <w:tcPr>
            <w:tcW w:w="2268" w:type="dxa"/>
          </w:tcPr>
          <w:p w:rsidR="005F512D" w:rsidRPr="00CB583A" w:rsidRDefault="005F512D" w:rsidP="006C04A3">
            <w:pPr>
              <w:pStyle w:val="Tablehead"/>
              <w:rPr>
                <w:lang w:val="en-US"/>
              </w:rPr>
            </w:pPr>
            <w:r w:rsidRPr="00CB583A">
              <w:rPr>
                <w:lang w:val="en-US"/>
              </w:rPr>
              <w:t>Vertical</w:t>
            </w:r>
          </w:p>
        </w:tc>
        <w:tc>
          <w:tcPr>
            <w:tcW w:w="2268" w:type="dxa"/>
          </w:tcPr>
          <w:p w:rsidR="005F512D" w:rsidRPr="00CB583A" w:rsidRDefault="005F512D" w:rsidP="006C04A3">
            <w:pPr>
              <w:pStyle w:val="Tablehead"/>
              <w:rPr>
                <w:lang w:val="en-US"/>
              </w:rPr>
            </w:pPr>
            <w:r w:rsidRPr="00CB583A">
              <w:rPr>
                <w:lang w:val="en-US"/>
              </w:rPr>
              <w:t>Horizontal</w:t>
            </w:r>
          </w:p>
        </w:tc>
      </w:tr>
      <w:tr w:rsidR="005F512D" w:rsidRPr="00CB583A" w:rsidTr="006C04A3">
        <w:trPr>
          <w:jc w:val="center"/>
        </w:trPr>
        <w:tc>
          <w:tcPr>
            <w:tcW w:w="3969" w:type="dxa"/>
          </w:tcPr>
          <w:p w:rsidR="005F512D" w:rsidRPr="00CB583A" w:rsidRDefault="005F512D" w:rsidP="006C04A3">
            <w:pPr>
              <w:pStyle w:val="Tabletext"/>
              <w:rPr>
                <w:lang w:val="en-US"/>
              </w:rPr>
            </w:pPr>
            <w:r w:rsidRPr="00CB583A">
              <w:rPr>
                <w:lang w:val="en-US"/>
              </w:rPr>
              <w:t>Action safe margin (%)</w:t>
            </w:r>
          </w:p>
        </w:tc>
        <w:tc>
          <w:tcPr>
            <w:tcW w:w="2268" w:type="dxa"/>
          </w:tcPr>
          <w:p w:rsidR="005F512D" w:rsidRPr="00CB583A" w:rsidRDefault="005F512D" w:rsidP="006C04A3">
            <w:pPr>
              <w:pStyle w:val="Tabletext"/>
              <w:jc w:val="center"/>
              <w:rPr>
                <w:lang w:val="en-US"/>
              </w:rPr>
            </w:pPr>
            <w:r w:rsidRPr="00CB583A">
              <w:rPr>
                <w:lang w:val="en-US"/>
              </w:rPr>
              <w:t>3.5</w:t>
            </w:r>
          </w:p>
        </w:tc>
        <w:tc>
          <w:tcPr>
            <w:tcW w:w="2268" w:type="dxa"/>
          </w:tcPr>
          <w:p w:rsidR="005F512D" w:rsidRPr="00CB583A" w:rsidRDefault="005F512D" w:rsidP="006C04A3">
            <w:pPr>
              <w:pStyle w:val="Tabletext"/>
              <w:jc w:val="center"/>
              <w:rPr>
                <w:lang w:val="en-US"/>
              </w:rPr>
            </w:pPr>
            <w:r w:rsidRPr="00CB583A">
              <w:rPr>
                <w:lang w:val="en-US"/>
              </w:rPr>
              <w:t>3.5</w:t>
            </w:r>
          </w:p>
        </w:tc>
      </w:tr>
      <w:tr w:rsidR="005F512D" w:rsidRPr="00CB583A" w:rsidTr="006C04A3">
        <w:trPr>
          <w:jc w:val="center"/>
        </w:trPr>
        <w:tc>
          <w:tcPr>
            <w:tcW w:w="3969" w:type="dxa"/>
          </w:tcPr>
          <w:p w:rsidR="005F512D" w:rsidRPr="00CB583A" w:rsidRDefault="005F512D" w:rsidP="006C04A3">
            <w:pPr>
              <w:pStyle w:val="Tabletext"/>
              <w:rPr>
                <w:lang w:val="en-US"/>
              </w:rPr>
            </w:pPr>
            <w:r w:rsidRPr="00CB583A">
              <w:rPr>
                <w:lang w:val="en-US"/>
              </w:rPr>
              <w:t>Graphics safe margin (%)</w:t>
            </w:r>
          </w:p>
        </w:tc>
        <w:tc>
          <w:tcPr>
            <w:tcW w:w="2268" w:type="dxa"/>
          </w:tcPr>
          <w:p w:rsidR="005F512D" w:rsidRPr="00CB583A" w:rsidRDefault="005F512D" w:rsidP="006C04A3">
            <w:pPr>
              <w:pStyle w:val="Tabletext"/>
              <w:jc w:val="center"/>
              <w:rPr>
                <w:lang w:val="en-US"/>
              </w:rPr>
            </w:pPr>
            <w:r w:rsidRPr="00CB583A">
              <w:rPr>
                <w:lang w:val="en-US"/>
              </w:rPr>
              <w:t>5</w:t>
            </w:r>
          </w:p>
        </w:tc>
        <w:tc>
          <w:tcPr>
            <w:tcW w:w="2268" w:type="dxa"/>
          </w:tcPr>
          <w:p w:rsidR="005F512D" w:rsidRPr="00CB583A" w:rsidRDefault="005F512D" w:rsidP="006C04A3">
            <w:pPr>
              <w:pStyle w:val="Tabletext"/>
              <w:jc w:val="center"/>
              <w:rPr>
                <w:lang w:val="en-US"/>
              </w:rPr>
            </w:pPr>
            <w:r w:rsidRPr="00CB583A">
              <w:rPr>
                <w:lang w:val="en-US"/>
              </w:rPr>
              <w:t>5</w:t>
            </w:r>
          </w:p>
        </w:tc>
      </w:tr>
    </w:tbl>
    <w:p w:rsidR="005F512D" w:rsidRPr="00CB583A" w:rsidRDefault="005F512D" w:rsidP="005F512D">
      <w:pPr>
        <w:pStyle w:val="Tablefin"/>
        <w:rPr>
          <w:lang w:val="en-US"/>
        </w:rPr>
      </w:pPr>
    </w:p>
    <w:p w:rsidR="005F512D" w:rsidRPr="00CB583A" w:rsidRDefault="005F512D" w:rsidP="00AA3371">
      <w:pPr>
        <w:rPr>
          <w:lang w:val="en-US"/>
        </w:rPr>
      </w:pPr>
      <w:r w:rsidRPr="00CB583A">
        <w:rPr>
          <w:lang w:val="en-US"/>
        </w:rPr>
        <w:t xml:space="preserve">Figure </w:t>
      </w:r>
      <w:r w:rsidR="00AA3371">
        <w:rPr>
          <w:lang w:val="en-US"/>
        </w:rPr>
        <w:t>2</w:t>
      </w:r>
      <w:r w:rsidRPr="00CB583A">
        <w:rPr>
          <w:lang w:val="en-US"/>
        </w:rPr>
        <w:t xml:space="preserve"> shows these areas in more detail.</w:t>
      </w:r>
    </w:p>
    <w:p w:rsidR="005F512D" w:rsidRPr="00CB583A" w:rsidRDefault="00AA3371" w:rsidP="005F512D">
      <w:pPr>
        <w:pStyle w:val="FigureNo"/>
        <w:rPr>
          <w:lang w:val="en-US"/>
        </w:rPr>
      </w:pPr>
      <w:r>
        <w:rPr>
          <w:lang w:val="en-US"/>
        </w:rPr>
        <w:t>Figure 2</w:t>
      </w:r>
    </w:p>
    <w:p w:rsidR="005F512D" w:rsidRPr="00CB583A" w:rsidRDefault="005F512D" w:rsidP="005F512D">
      <w:pPr>
        <w:pStyle w:val="Figuretitle"/>
        <w:rPr>
          <w:lang w:val="en-US"/>
        </w:rPr>
      </w:pPr>
      <w:r w:rsidRPr="00CB583A">
        <w:rPr>
          <w:lang w:val="en-US"/>
        </w:rPr>
        <w:t>16:9 shoot-to-protect the 16:9 full image, 720-line progressive scan</w:t>
      </w:r>
    </w:p>
    <w:p w:rsidR="005F512D" w:rsidRPr="00733BFB" w:rsidRDefault="00733BFB" w:rsidP="00733BFB">
      <w:pPr>
        <w:pStyle w:val="Figure"/>
      </w:pPr>
      <w:r>
        <w:object w:dxaOrig="6937" w:dyaOrig="4095">
          <v:shape id="_x0000_i1032" type="#_x0000_t75" style="width:346.85pt;height:204.75pt" o:ole="">
            <v:imagedata r:id="rId14" o:title=""/>
          </v:shape>
          <o:OLEObject Type="Embed" ProgID="CorelDraw.Graphic.16" ShapeID="_x0000_i1032" DrawAspect="Content" ObjectID="_1508329782" r:id="rId15"/>
        </w:object>
      </w:r>
    </w:p>
    <w:p w:rsidR="005F512D" w:rsidRPr="00CB583A" w:rsidRDefault="005F512D" w:rsidP="005F512D">
      <w:pPr>
        <w:rPr>
          <w:lang w:val="en-US"/>
        </w:rPr>
      </w:pPr>
      <w:r w:rsidRPr="00CB583A">
        <w:rPr>
          <w:lang w:val="en-US"/>
        </w:rPr>
        <w:t>The definitions of the safe areas are given in numbers of lines and pixels, which are more definitive than the percentages used previously. However, percentages are also included because they are the basis on which comparisons are made.</w:t>
      </w:r>
    </w:p>
    <w:p w:rsidR="005F512D" w:rsidRPr="00CB583A" w:rsidRDefault="005F512D" w:rsidP="00992088">
      <w:pPr>
        <w:rPr>
          <w:lang w:val="en-US"/>
        </w:rPr>
      </w:pPr>
      <w:r w:rsidRPr="00CB583A">
        <w:rPr>
          <w:lang w:val="en-US"/>
        </w:rPr>
        <w:t>Thus</w:t>
      </w:r>
      <w:r w:rsidR="00AA3371">
        <w:rPr>
          <w:lang w:val="en-US"/>
        </w:rPr>
        <w:t>,</w:t>
      </w:r>
      <w:r w:rsidRPr="00CB583A">
        <w:rPr>
          <w:lang w:val="en-US"/>
        </w:rPr>
        <w:t xml:space="preserve"> the drawings give the first and last lines and the first and last pixels w</w:t>
      </w:r>
      <w:bookmarkStart w:id="3" w:name="_GoBack"/>
      <w:bookmarkEnd w:id="3"/>
      <w:r w:rsidRPr="00CB583A">
        <w:rPr>
          <w:lang w:val="en-US"/>
        </w:rPr>
        <w:t>hich are inside the safe areas.</w:t>
      </w:r>
    </w:p>
    <w:p w:rsidR="005F512D" w:rsidRDefault="005F512D" w:rsidP="005F512D">
      <w:pPr>
        <w:rPr>
          <w:lang w:val="en-US"/>
        </w:rPr>
      </w:pPr>
    </w:p>
    <w:p w:rsidR="005F512D" w:rsidRDefault="005F512D" w:rsidP="005F512D">
      <w:pPr>
        <w:rPr>
          <w:lang w:val="en-US"/>
        </w:rPr>
      </w:pPr>
    </w:p>
    <w:p w:rsidR="005F512D" w:rsidRPr="00CB583A" w:rsidRDefault="005F512D" w:rsidP="005F512D">
      <w:pPr>
        <w:rPr>
          <w:lang w:val="en-US"/>
        </w:rPr>
      </w:pPr>
    </w:p>
    <w:p w:rsidR="005F512D" w:rsidRPr="00CB583A" w:rsidRDefault="005F512D" w:rsidP="005F512D">
      <w:pPr>
        <w:pStyle w:val="AnnexNoTitle"/>
        <w:spacing w:before="240" w:after="120"/>
        <w:rPr>
          <w:lang w:val="en-US"/>
        </w:rPr>
      </w:pPr>
      <w:r w:rsidRPr="00CB583A">
        <w:rPr>
          <w:lang w:val="en-US"/>
        </w:rPr>
        <w:lastRenderedPageBreak/>
        <w:t>Annex 3</w:t>
      </w:r>
      <w:r>
        <w:rPr>
          <w:lang w:val="en-US"/>
        </w:rPr>
        <w:br/>
      </w:r>
      <w:r w:rsidRPr="00CB583A">
        <w:rPr>
          <w:lang w:val="en-US"/>
        </w:rPr>
        <w:br/>
        <w:t>Safe areas for television programmes intended</w:t>
      </w:r>
      <w:r w:rsidRPr="00CB583A">
        <w:rPr>
          <w:lang w:val="en-US"/>
        </w:rPr>
        <w:br/>
        <w:t>for wide-screen 1 080-line transmission</w:t>
      </w:r>
    </w:p>
    <w:p w:rsidR="005F512D" w:rsidRPr="00CB583A" w:rsidRDefault="005F512D" w:rsidP="005F512D">
      <w:pPr>
        <w:pStyle w:val="Normalaftertitle"/>
        <w:spacing w:before="240"/>
        <w:rPr>
          <w:lang w:val="en-US"/>
        </w:rPr>
      </w:pPr>
      <w:r w:rsidRPr="00CB583A">
        <w:rPr>
          <w:lang w:val="en-US"/>
        </w:rPr>
        <w:t>These guidelines are aimed at those involved in any stage of the programme-making process and at manufacturers of production equipment for programmes intended to be broadcast using 1 080-line transmission systems.</w:t>
      </w:r>
    </w:p>
    <w:p w:rsidR="005F512D" w:rsidRDefault="005F512D" w:rsidP="005F512D">
      <w:pPr>
        <w:rPr>
          <w:lang w:val="en-US"/>
        </w:rPr>
      </w:pPr>
      <w:r w:rsidRPr="00CB583A">
        <w:rPr>
          <w:lang w:val="en-US"/>
        </w:rPr>
        <w:t xml:space="preserve">All the safe areas have been specified on the premise that the overscan on modern domestic television receiver displays will normally be in the range 7.0 </w:t>
      </w:r>
      <w:r w:rsidRPr="00CB583A">
        <w:rPr>
          <w:rFonts w:ascii="Symbol" w:hAnsi="Symbol"/>
          <w:lang w:val="en-US"/>
        </w:rPr>
        <w:t></w:t>
      </w:r>
      <w:r w:rsidRPr="00CB583A">
        <w:rPr>
          <w:lang w:val="en-US"/>
        </w:rPr>
        <w:t xml:space="preserve"> 1% of overall picture width or height. But for any one picture edge, the overscan should not exceed 4% of total picture width or height.</w:t>
      </w:r>
    </w:p>
    <w:p w:rsidR="005F512D" w:rsidRDefault="005F512D" w:rsidP="005F512D">
      <w:pPr>
        <w:rPr>
          <w:lang w:val="en-US"/>
        </w:rPr>
      </w:pPr>
    </w:p>
    <w:p w:rsidR="005F512D" w:rsidRPr="00CB583A" w:rsidRDefault="005F512D" w:rsidP="005F512D">
      <w:pPr>
        <w:rPr>
          <w:lang w:val="en-US"/>
        </w:rPr>
      </w:pPr>
    </w:p>
    <w:p w:rsidR="005F512D" w:rsidRPr="00CB583A" w:rsidRDefault="005F512D" w:rsidP="005F512D">
      <w:pPr>
        <w:pStyle w:val="AppendixNoTitle"/>
        <w:spacing w:before="240" w:after="120"/>
        <w:rPr>
          <w:lang w:val="en-US"/>
        </w:rPr>
      </w:pPr>
      <w:r w:rsidRPr="00CB583A">
        <w:rPr>
          <w:lang w:val="en-US"/>
        </w:rPr>
        <w:t>Appendix 1</w:t>
      </w:r>
      <w:r w:rsidRPr="00CB583A">
        <w:rPr>
          <w:lang w:val="en-US"/>
        </w:rPr>
        <w:br/>
        <w:t>to Annex 3</w:t>
      </w:r>
      <w:r w:rsidRPr="00CB583A">
        <w:rPr>
          <w:lang w:val="en-US"/>
        </w:rPr>
        <w:br/>
      </w:r>
      <w:r w:rsidRPr="00CB583A">
        <w:rPr>
          <w:lang w:val="en-US"/>
        </w:rPr>
        <w:br/>
        <w:t xml:space="preserve">Safe areas for television programmes made in the 1 080-line interlaced scan </w:t>
      </w:r>
      <w:r w:rsidRPr="00CB583A">
        <w:rPr>
          <w:lang w:val="en-US"/>
        </w:rPr>
        <w:br/>
        <w:t>16:9 wide-screen format: Shoot-to-protect the 16:9 full image</w:t>
      </w:r>
    </w:p>
    <w:p w:rsidR="005F512D" w:rsidRPr="00CB583A" w:rsidRDefault="005F512D" w:rsidP="00AA3371">
      <w:pPr>
        <w:pStyle w:val="Normalaftertitle"/>
        <w:rPr>
          <w:lang w:val="en-US"/>
        </w:rPr>
      </w:pPr>
      <w:r w:rsidRPr="00CB583A">
        <w:rPr>
          <w:lang w:val="en-US"/>
        </w:rPr>
        <w:t xml:space="preserve">Table </w:t>
      </w:r>
      <w:r w:rsidR="00AA3371">
        <w:rPr>
          <w:lang w:val="en-US"/>
        </w:rPr>
        <w:t>3</w:t>
      </w:r>
      <w:r w:rsidRPr="00CB583A">
        <w:rPr>
          <w:lang w:val="en-US"/>
        </w:rPr>
        <w:t xml:space="preserve"> shows how the action </w:t>
      </w:r>
      <w:r w:rsidRPr="005F512D">
        <w:rPr>
          <w:lang w:val="en-US"/>
        </w:rPr>
        <w:t>and</w:t>
      </w:r>
      <w:r w:rsidRPr="00CB583A">
        <w:rPr>
          <w:lang w:val="en-US"/>
        </w:rPr>
        <w:t xml:space="preserve"> graphics areas are defined to protect the full 16:9 wide</w:t>
      </w:r>
      <w:r w:rsidRPr="00CB583A">
        <w:rPr>
          <w:lang w:val="en-US"/>
        </w:rPr>
        <w:noBreakHyphen/>
        <w:t xml:space="preserve">screen image. </w:t>
      </w:r>
    </w:p>
    <w:p w:rsidR="005F512D" w:rsidRPr="00CB583A" w:rsidRDefault="005F512D" w:rsidP="00AA3371">
      <w:pPr>
        <w:pStyle w:val="TableNo"/>
        <w:spacing w:before="240"/>
        <w:rPr>
          <w:lang w:val="en-US"/>
        </w:rPr>
      </w:pPr>
      <w:r w:rsidRPr="00CB583A">
        <w:rPr>
          <w:lang w:val="en-US"/>
        </w:rPr>
        <w:t xml:space="preserve">TABLE </w:t>
      </w:r>
      <w:r w:rsidR="00AA3371">
        <w:rPr>
          <w:lang w:val="en-US"/>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268"/>
        <w:gridCol w:w="2268"/>
      </w:tblGrid>
      <w:tr w:rsidR="005F512D" w:rsidRPr="00CB583A" w:rsidTr="006C04A3">
        <w:trPr>
          <w:jc w:val="center"/>
        </w:trPr>
        <w:tc>
          <w:tcPr>
            <w:tcW w:w="3969" w:type="dxa"/>
            <w:tcBorders>
              <w:top w:val="nil"/>
              <w:left w:val="nil"/>
            </w:tcBorders>
          </w:tcPr>
          <w:p w:rsidR="005F512D" w:rsidRPr="00CB583A" w:rsidRDefault="005F512D" w:rsidP="006C04A3">
            <w:pPr>
              <w:pStyle w:val="Tabletext"/>
              <w:rPr>
                <w:lang w:val="en-US"/>
              </w:rPr>
            </w:pPr>
          </w:p>
        </w:tc>
        <w:tc>
          <w:tcPr>
            <w:tcW w:w="2268" w:type="dxa"/>
          </w:tcPr>
          <w:p w:rsidR="005F512D" w:rsidRPr="00CB583A" w:rsidRDefault="005F512D" w:rsidP="006C04A3">
            <w:pPr>
              <w:pStyle w:val="Tablehead"/>
              <w:rPr>
                <w:lang w:val="en-US"/>
              </w:rPr>
            </w:pPr>
            <w:r w:rsidRPr="00CB583A">
              <w:rPr>
                <w:lang w:val="en-US"/>
              </w:rPr>
              <w:t>Vertical</w:t>
            </w:r>
          </w:p>
        </w:tc>
        <w:tc>
          <w:tcPr>
            <w:tcW w:w="2268" w:type="dxa"/>
          </w:tcPr>
          <w:p w:rsidR="005F512D" w:rsidRPr="00CB583A" w:rsidRDefault="005F512D" w:rsidP="006C04A3">
            <w:pPr>
              <w:pStyle w:val="Tablehead"/>
              <w:rPr>
                <w:lang w:val="en-US"/>
              </w:rPr>
            </w:pPr>
            <w:r w:rsidRPr="00CB583A">
              <w:rPr>
                <w:lang w:val="en-US"/>
              </w:rPr>
              <w:t>Horizontal</w:t>
            </w:r>
          </w:p>
        </w:tc>
      </w:tr>
      <w:tr w:rsidR="005F512D" w:rsidRPr="00CB583A" w:rsidTr="006C04A3">
        <w:trPr>
          <w:jc w:val="center"/>
        </w:trPr>
        <w:tc>
          <w:tcPr>
            <w:tcW w:w="3969" w:type="dxa"/>
          </w:tcPr>
          <w:p w:rsidR="005F512D" w:rsidRPr="00CB583A" w:rsidRDefault="005F512D" w:rsidP="006C04A3">
            <w:pPr>
              <w:pStyle w:val="Tabletext"/>
              <w:rPr>
                <w:lang w:val="en-US"/>
              </w:rPr>
            </w:pPr>
            <w:r w:rsidRPr="00CB583A">
              <w:rPr>
                <w:lang w:val="en-US"/>
              </w:rPr>
              <w:t>Action safe margin (%</w:t>
            </w:r>
            <w:r w:rsidRPr="00CB583A">
              <w:rPr>
                <w:rFonts w:ascii="Symbol" w:hAnsi="Symbol"/>
                <w:lang w:val="en-US"/>
              </w:rPr>
              <w:t></w:t>
            </w:r>
          </w:p>
        </w:tc>
        <w:tc>
          <w:tcPr>
            <w:tcW w:w="2268" w:type="dxa"/>
          </w:tcPr>
          <w:p w:rsidR="005F512D" w:rsidRPr="00CB583A" w:rsidRDefault="005F512D" w:rsidP="006C04A3">
            <w:pPr>
              <w:pStyle w:val="Tabletext"/>
              <w:jc w:val="center"/>
              <w:rPr>
                <w:lang w:val="en-US"/>
              </w:rPr>
            </w:pPr>
            <w:r w:rsidRPr="00CB583A">
              <w:rPr>
                <w:lang w:val="en-US"/>
              </w:rPr>
              <w:t>3.5</w:t>
            </w:r>
          </w:p>
        </w:tc>
        <w:tc>
          <w:tcPr>
            <w:tcW w:w="2268" w:type="dxa"/>
          </w:tcPr>
          <w:p w:rsidR="005F512D" w:rsidRPr="00CB583A" w:rsidRDefault="005F512D" w:rsidP="006C04A3">
            <w:pPr>
              <w:pStyle w:val="Tabletext"/>
              <w:jc w:val="center"/>
              <w:rPr>
                <w:lang w:val="en-US"/>
              </w:rPr>
            </w:pPr>
            <w:r w:rsidRPr="00CB583A">
              <w:rPr>
                <w:lang w:val="en-US"/>
              </w:rPr>
              <w:t>3.5</w:t>
            </w:r>
          </w:p>
        </w:tc>
      </w:tr>
      <w:tr w:rsidR="005F512D" w:rsidRPr="00CB583A" w:rsidTr="006C04A3">
        <w:trPr>
          <w:jc w:val="center"/>
        </w:trPr>
        <w:tc>
          <w:tcPr>
            <w:tcW w:w="3969" w:type="dxa"/>
          </w:tcPr>
          <w:p w:rsidR="005F512D" w:rsidRPr="00CB583A" w:rsidRDefault="005F512D" w:rsidP="006C04A3">
            <w:pPr>
              <w:pStyle w:val="Tabletext"/>
              <w:rPr>
                <w:lang w:val="en-US"/>
              </w:rPr>
            </w:pPr>
            <w:r w:rsidRPr="00CB583A">
              <w:rPr>
                <w:lang w:val="en-US"/>
              </w:rPr>
              <w:t>Graphics safe margin (%</w:t>
            </w:r>
            <w:r w:rsidRPr="00CB583A">
              <w:rPr>
                <w:rFonts w:ascii="Symbol" w:hAnsi="Symbol"/>
                <w:lang w:val="en-US"/>
              </w:rPr>
              <w:t></w:t>
            </w:r>
          </w:p>
        </w:tc>
        <w:tc>
          <w:tcPr>
            <w:tcW w:w="2268" w:type="dxa"/>
          </w:tcPr>
          <w:p w:rsidR="005F512D" w:rsidRPr="00CB583A" w:rsidRDefault="005F512D" w:rsidP="006C04A3">
            <w:pPr>
              <w:pStyle w:val="Tabletext"/>
              <w:jc w:val="center"/>
              <w:rPr>
                <w:lang w:val="en-US"/>
              </w:rPr>
            </w:pPr>
            <w:r w:rsidRPr="00CB583A">
              <w:rPr>
                <w:lang w:val="en-US"/>
              </w:rPr>
              <w:t>5</w:t>
            </w:r>
          </w:p>
        </w:tc>
        <w:tc>
          <w:tcPr>
            <w:tcW w:w="2268" w:type="dxa"/>
          </w:tcPr>
          <w:p w:rsidR="005F512D" w:rsidRPr="00CB583A" w:rsidRDefault="005F512D" w:rsidP="006C04A3">
            <w:pPr>
              <w:pStyle w:val="Tabletext"/>
              <w:jc w:val="center"/>
              <w:rPr>
                <w:lang w:val="en-US"/>
              </w:rPr>
            </w:pPr>
            <w:r w:rsidRPr="00CB583A">
              <w:rPr>
                <w:lang w:val="en-US"/>
              </w:rPr>
              <w:t>5</w:t>
            </w:r>
          </w:p>
        </w:tc>
      </w:tr>
    </w:tbl>
    <w:p w:rsidR="005F512D" w:rsidRPr="00CB583A" w:rsidRDefault="005F512D" w:rsidP="005F512D">
      <w:pPr>
        <w:pStyle w:val="Tablefin"/>
        <w:rPr>
          <w:lang w:val="en-US"/>
        </w:rPr>
      </w:pPr>
    </w:p>
    <w:p w:rsidR="005F512D" w:rsidRPr="00CB583A" w:rsidRDefault="005F512D" w:rsidP="00AA3371">
      <w:pPr>
        <w:rPr>
          <w:lang w:val="en-US"/>
        </w:rPr>
      </w:pPr>
      <w:r w:rsidRPr="00CB583A">
        <w:rPr>
          <w:lang w:val="en-US"/>
        </w:rPr>
        <w:t xml:space="preserve">Figure </w:t>
      </w:r>
      <w:r w:rsidR="00AA3371">
        <w:rPr>
          <w:lang w:val="en-US"/>
        </w:rPr>
        <w:t>3</w:t>
      </w:r>
      <w:r w:rsidRPr="00CB583A">
        <w:rPr>
          <w:lang w:val="en-US"/>
        </w:rPr>
        <w:t xml:space="preserve"> shows these areas in more detail.</w:t>
      </w:r>
    </w:p>
    <w:p w:rsidR="005F512D" w:rsidRPr="00CB583A" w:rsidRDefault="00AA3371" w:rsidP="005F512D">
      <w:pPr>
        <w:pStyle w:val="FigureNo"/>
        <w:spacing w:before="240"/>
        <w:rPr>
          <w:lang w:val="en-US"/>
        </w:rPr>
      </w:pPr>
      <w:r>
        <w:rPr>
          <w:lang w:val="en-US"/>
        </w:rPr>
        <w:lastRenderedPageBreak/>
        <w:t>FIGURE 3</w:t>
      </w:r>
    </w:p>
    <w:p w:rsidR="005F512D" w:rsidRPr="00CB583A" w:rsidRDefault="005F512D" w:rsidP="005F512D">
      <w:pPr>
        <w:pStyle w:val="Figuretitle"/>
        <w:rPr>
          <w:lang w:val="en-US"/>
        </w:rPr>
      </w:pPr>
      <w:r w:rsidRPr="00CB583A">
        <w:rPr>
          <w:lang w:val="en-US"/>
        </w:rPr>
        <w:t>16:9 shoot-to-protect the 16:9 full image, 1 080-line interlaced scan</w:t>
      </w:r>
    </w:p>
    <w:p w:rsidR="005F512D" w:rsidRPr="00CB583A" w:rsidRDefault="006A6CFF" w:rsidP="005F512D">
      <w:pPr>
        <w:pStyle w:val="Figure"/>
        <w:rPr>
          <w:lang w:val="en-US"/>
        </w:rPr>
      </w:pPr>
      <w:r>
        <w:object w:dxaOrig="6938" w:dyaOrig="4095">
          <v:shape id="_x0000_i1027" type="#_x0000_t75" style="width:346.85pt;height:204.75pt" o:ole="">
            <v:imagedata r:id="rId16" o:title=""/>
          </v:shape>
          <o:OLEObject Type="Embed" ProgID="CorelDraw.Graphic.16" ShapeID="_x0000_i1027" DrawAspect="Content" ObjectID="_1508329783" r:id="rId17"/>
        </w:object>
      </w:r>
    </w:p>
    <w:p w:rsidR="005F512D" w:rsidRPr="00CB583A" w:rsidRDefault="005F512D" w:rsidP="005F512D">
      <w:pPr>
        <w:rPr>
          <w:lang w:val="en-US"/>
        </w:rPr>
      </w:pPr>
      <w:r w:rsidRPr="00CB583A">
        <w:rPr>
          <w:lang w:val="en-US"/>
        </w:rPr>
        <w:t>The definitions of the safe areas are given in numbers of lines and pixels, which are more definitive than the percentages used previously. However, percentages are also included because they are the basis on which comparisons are made. The line numbering has been calculated on the basis that field 1 is paired with the field 2 line below it, and the line from field 1</w:t>
      </w:r>
      <w:r w:rsidR="00AA3371">
        <w:rPr>
          <w:lang w:val="en-US"/>
        </w:rPr>
        <w:t>,</w:t>
      </w:r>
      <w:r w:rsidRPr="00CB583A">
        <w:rPr>
          <w:lang w:val="en-US"/>
        </w:rPr>
        <w:t xml:space="preserve"> which is just inside the percentage box</w:t>
      </w:r>
      <w:r w:rsidR="00AA3371">
        <w:rPr>
          <w:lang w:val="en-US"/>
        </w:rPr>
        <w:t>,</w:t>
      </w:r>
      <w:r w:rsidRPr="00CB583A">
        <w:rPr>
          <w:lang w:val="en-US"/>
        </w:rPr>
        <w:t xml:space="preserve"> is defined as the edge of active picture.</w:t>
      </w:r>
    </w:p>
    <w:p w:rsidR="005F512D" w:rsidRDefault="005F512D" w:rsidP="005F512D">
      <w:pPr>
        <w:rPr>
          <w:lang w:val="en-US"/>
        </w:rPr>
      </w:pPr>
      <w:r w:rsidRPr="00CB583A">
        <w:rPr>
          <w:lang w:val="en-US"/>
        </w:rPr>
        <w:t>Thus</w:t>
      </w:r>
      <w:r w:rsidR="00AA3371">
        <w:rPr>
          <w:lang w:val="en-US"/>
        </w:rPr>
        <w:t>,</w:t>
      </w:r>
      <w:r w:rsidRPr="00CB583A">
        <w:rPr>
          <w:lang w:val="en-US"/>
        </w:rPr>
        <w:t xml:space="preserve"> the drawings give the first and last lines and the first and last pixels which are inside the safe areas.</w:t>
      </w:r>
    </w:p>
    <w:p w:rsidR="005F512D" w:rsidRDefault="005F512D" w:rsidP="005F512D">
      <w:pPr>
        <w:rPr>
          <w:lang w:val="en-US"/>
        </w:rPr>
      </w:pPr>
    </w:p>
    <w:p w:rsidR="005F512D" w:rsidRPr="00CB583A" w:rsidRDefault="005F512D" w:rsidP="005F512D">
      <w:pPr>
        <w:rPr>
          <w:lang w:val="en-US"/>
        </w:rPr>
      </w:pPr>
    </w:p>
    <w:p w:rsidR="005F512D" w:rsidRPr="00CB583A" w:rsidRDefault="005F512D" w:rsidP="005F512D">
      <w:pPr>
        <w:pStyle w:val="AppendixNoTitle"/>
        <w:spacing w:before="240" w:after="120"/>
        <w:rPr>
          <w:lang w:val="en-US"/>
        </w:rPr>
      </w:pPr>
      <w:r w:rsidRPr="00CB583A">
        <w:rPr>
          <w:lang w:val="en-US"/>
        </w:rPr>
        <w:t>Appendix 2</w:t>
      </w:r>
      <w:r w:rsidRPr="00CB583A">
        <w:rPr>
          <w:lang w:val="en-US"/>
        </w:rPr>
        <w:br/>
        <w:t>to Annex 3</w:t>
      </w:r>
      <w:r w:rsidRPr="00CB583A">
        <w:rPr>
          <w:lang w:val="en-US"/>
        </w:rPr>
        <w:br/>
      </w:r>
      <w:r w:rsidRPr="00CB583A">
        <w:rPr>
          <w:lang w:val="en-US"/>
        </w:rPr>
        <w:br/>
        <w:t>Safe areas for television programmes made in the 1 080-line progressive scan</w:t>
      </w:r>
      <w:r w:rsidRPr="00CB583A">
        <w:rPr>
          <w:lang w:val="en-US"/>
        </w:rPr>
        <w:br/>
        <w:t>16:9 wide-screen format: Shoot-to-protect the 16:9 full image</w:t>
      </w:r>
    </w:p>
    <w:p w:rsidR="005F512D" w:rsidRPr="00CB583A" w:rsidRDefault="005F512D" w:rsidP="00AA3371">
      <w:pPr>
        <w:pStyle w:val="Normalaftertitle"/>
        <w:rPr>
          <w:lang w:val="en-US"/>
        </w:rPr>
      </w:pPr>
      <w:r w:rsidRPr="00CB583A">
        <w:rPr>
          <w:lang w:val="en-US"/>
        </w:rPr>
        <w:t xml:space="preserve">Table </w:t>
      </w:r>
      <w:r w:rsidR="00AA3371">
        <w:rPr>
          <w:lang w:val="en-US"/>
        </w:rPr>
        <w:t>4</w:t>
      </w:r>
      <w:r w:rsidRPr="00CB583A">
        <w:rPr>
          <w:lang w:val="en-US"/>
        </w:rPr>
        <w:t xml:space="preserve"> shows how the action and graphics areas are </w:t>
      </w:r>
      <w:r w:rsidRPr="005F512D">
        <w:rPr>
          <w:lang w:val="en-US"/>
        </w:rPr>
        <w:t>defined</w:t>
      </w:r>
      <w:r w:rsidRPr="00CB583A">
        <w:rPr>
          <w:lang w:val="en-US"/>
        </w:rPr>
        <w:t xml:space="preserve"> to protect the full 16:9 wide</w:t>
      </w:r>
      <w:r w:rsidRPr="00CB583A">
        <w:rPr>
          <w:lang w:val="en-US"/>
        </w:rPr>
        <w:noBreakHyphen/>
        <w:t xml:space="preserve">screen image. </w:t>
      </w:r>
    </w:p>
    <w:p w:rsidR="005F512D" w:rsidRPr="00CB583A" w:rsidRDefault="00AA3371" w:rsidP="005F512D">
      <w:pPr>
        <w:pStyle w:val="TableNo"/>
        <w:spacing w:before="240"/>
        <w:rPr>
          <w:lang w:val="en-US"/>
        </w:rPr>
      </w:pPr>
      <w:r>
        <w:rPr>
          <w:lang w:val="en-US"/>
        </w:rPr>
        <w:t>TABLE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268"/>
        <w:gridCol w:w="2268"/>
      </w:tblGrid>
      <w:tr w:rsidR="005F512D" w:rsidRPr="00CB583A" w:rsidTr="006C04A3">
        <w:trPr>
          <w:jc w:val="center"/>
        </w:trPr>
        <w:tc>
          <w:tcPr>
            <w:tcW w:w="3969" w:type="dxa"/>
            <w:tcBorders>
              <w:top w:val="nil"/>
              <w:left w:val="nil"/>
            </w:tcBorders>
          </w:tcPr>
          <w:p w:rsidR="005F512D" w:rsidRPr="00CB583A" w:rsidRDefault="005F512D" w:rsidP="006C04A3">
            <w:pPr>
              <w:pStyle w:val="Tablehead"/>
              <w:rPr>
                <w:lang w:val="en-US"/>
              </w:rPr>
            </w:pPr>
          </w:p>
        </w:tc>
        <w:tc>
          <w:tcPr>
            <w:tcW w:w="2268" w:type="dxa"/>
          </w:tcPr>
          <w:p w:rsidR="005F512D" w:rsidRPr="00CB583A" w:rsidRDefault="005F512D" w:rsidP="006C04A3">
            <w:pPr>
              <w:pStyle w:val="Tablehead"/>
              <w:rPr>
                <w:lang w:val="en-US"/>
              </w:rPr>
            </w:pPr>
            <w:r w:rsidRPr="00CB583A">
              <w:rPr>
                <w:lang w:val="en-US"/>
              </w:rPr>
              <w:t>Vertical</w:t>
            </w:r>
          </w:p>
        </w:tc>
        <w:tc>
          <w:tcPr>
            <w:tcW w:w="2268" w:type="dxa"/>
          </w:tcPr>
          <w:p w:rsidR="005F512D" w:rsidRPr="00CB583A" w:rsidRDefault="005F512D" w:rsidP="006C04A3">
            <w:pPr>
              <w:pStyle w:val="Tablehead"/>
              <w:rPr>
                <w:lang w:val="en-US"/>
              </w:rPr>
            </w:pPr>
            <w:r w:rsidRPr="00CB583A">
              <w:rPr>
                <w:lang w:val="en-US"/>
              </w:rPr>
              <w:t>Horizontal</w:t>
            </w:r>
          </w:p>
        </w:tc>
      </w:tr>
      <w:tr w:rsidR="005F512D" w:rsidRPr="00CB583A" w:rsidTr="006C04A3">
        <w:trPr>
          <w:jc w:val="center"/>
        </w:trPr>
        <w:tc>
          <w:tcPr>
            <w:tcW w:w="3969" w:type="dxa"/>
          </w:tcPr>
          <w:p w:rsidR="005F512D" w:rsidRPr="00CB583A" w:rsidRDefault="005F512D" w:rsidP="006C04A3">
            <w:pPr>
              <w:pStyle w:val="Tabletext"/>
              <w:keepNext/>
              <w:rPr>
                <w:lang w:val="en-US"/>
              </w:rPr>
            </w:pPr>
            <w:r w:rsidRPr="00CB583A">
              <w:rPr>
                <w:lang w:val="en-US"/>
              </w:rPr>
              <w:t>Action safe margin (%</w:t>
            </w:r>
            <w:r w:rsidRPr="00CB583A">
              <w:rPr>
                <w:rFonts w:ascii="Symbol" w:hAnsi="Symbol"/>
                <w:lang w:val="en-US"/>
              </w:rPr>
              <w:t></w:t>
            </w:r>
          </w:p>
        </w:tc>
        <w:tc>
          <w:tcPr>
            <w:tcW w:w="2268" w:type="dxa"/>
          </w:tcPr>
          <w:p w:rsidR="005F512D" w:rsidRPr="00CB583A" w:rsidRDefault="005F512D" w:rsidP="006C04A3">
            <w:pPr>
              <w:pStyle w:val="Tabletext"/>
              <w:keepNext/>
              <w:jc w:val="center"/>
              <w:rPr>
                <w:lang w:val="en-US"/>
              </w:rPr>
            </w:pPr>
            <w:r w:rsidRPr="00CB583A">
              <w:rPr>
                <w:lang w:val="en-US"/>
              </w:rPr>
              <w:t>3.5</w:t>
            </w:r>
          </w:p>
        </w:tc>
        <w:tc>
          <w:tcPr>
            <w:tcW w:w="2268" w:type="dxa"/>
          </w:tcPr>
          <w:p w:rsidR="005F512D" w:rsidRPr="00CB583A" w:rsidRDefault="005F512D" w:rsidP="006C04A3">
            <w:pPr>
              <w:pStyle w:val="Tabletext"/>
              <w:keepNext/>
              <w:jc w:val="center"/>
              <w:rPr>
                <w:lang w:val="en-US"/>
              </w:rPr>
            </w:pPr>
            <w:r w:rsidRPr="00CB583A">
              <w:rPr>
                <w:lang w:val="en-US"/>
              </w:rPr>
              <w:t>3.5</w:t>
            </w:r>
          </w:p>
        </w:tc>
      </w:tr>
      <w:tr w:rsidR="005F512D" w:rsidRPr="00CB583A" w:rsidTr="006C04A3">
        <w:trPr>
          <w:jc w:val="center"/>
        </w:trPr>
        <w:tc>
          <w:tcPr>
            <w:tcW w:w="3969" w:type="dxa"/>
          </w:tcPr>
          <w:p w:rsidR="005F512D" w:rsidRPr="00CB583A" w:rsidRDefault="005F512D" w:rsidP="006C04A3">
            <w:pPr>
              <w:pStyle w:val="Tabletext"/>
              <w:rPr>
                <w:lang w:val="en-US"/>
              </w:rPr>
            </w:pPr>
            <w:r w:rsidRPr="00CB583A">
              <w:rPr>
                <w:lang w:val="en-US"/>
              </w:rPr>
              <w:t>Graphics safe margin (%</w:t>
            </w:r>
            <w:r w:rsidRPr="00CB583A">
              <w:rPr>
                <w:rFonts w:ascii="Symbol" w:hAnsi="Symbol"/>
                <w:lang w:val="en-US"/>
              </w:rPr>
              <w:t></w:t>
            </w:r>
          </w:p>
        </w:tc>
        <w:tc>
          <w:tcPr>
            <w:tcW w:w="2268" w:type="dxa"/>
          </w:tcPr>
          <w:p w:rsidR="005F512D" w:rsidRPr="00CB583A" w:rsidRDefault="005F512D" w:rsidP="006C04A3">
            <w:pPr>
              <w:pStyle w:val="Tabletext"/>
              <w:jc w:val="center"/>
              <w:rPr>
                <w:lang w:val="en-US"/>
              </w:rPr>
            </w:pPr>
            <w:r w:rsidRPr="00CB583A">
              <w:rPr>
                <w:lang w:val="en-US"/>
              </w:rPr>
              <w:t>5</w:t>
            </w:r>
          </w:p>
        </w:tc>
        <w:tc>
          <w:tcPr>
            <w:tcW w:w="2268" w:type="dxa"/>
          </w:tcPr>
          <w:p w:rsidR="005F512D" w:rsidRPr="00CB583A" w:rsidRDefault="005F512D" w:rsidP="006C04A3">
            <w:pPr>
              <w:pStyle w:val="Tabletext"/>
              <w:jc w:val="center"/>
              <w:rPr>
                <w:lang w:val="en-US"/>
              </w:rPr>
            </w:pPr>
            <w:r w:rsidRPr="00CB583A">
              <w:rPr>
                <w:lang w:val="en-US"/>
              </w:rPr>
              <w:t>5</w:t>
            </w:r>
          </w:p>
        </w:tc>
      </w:tr>
    </w:tbl>
    <w:p w:rsidR="005F512D" w:rsidRPr="00CB583A" w:rsidRDefault="005F512D" w:rsidP="005F512D">
      <w:pPr>
        <w:pStyle w:val="Tablefin"/>
        <w:rPr>
          <w:lang w:val="en-US"/>
        </w:rPr>
      </w:pPr>
    </w:p>
    <w:p w:rsidR="005F512D" w:rsidRPr="00CB583A" w:rsidRDefault="005F512D" w:rsidP="00AA3371">
      <w:pPr>
        <w:rPr>
          <w:lang w:val="en-US"/>
        </w:rPr>
      </w:pPr>
      <w:r w:rsidRPr="00CB583A">
        <w:rPr>
          <w:lang w:val="en-US"/>
        </w:rPr>
        <w:t xml:space="preserve">Figure </w:t>
      </w:r>
      <w:r w:rsidR="00AA3371">
        <w:rPr>
          <w:lang w:val="en-US"/>
        </w:rPr>
        <w:t>4</w:t>
      </w:r>
      <w:r w:rsidRPr="00CB583A">
        <w:rPr>
          <w:lang w:val="en-US"/>
        </w:rPr>
        <w:t xml:space="preserve"> shows these areas in more detail.</w:t>
      </w:r>
    </w:p>
    <w:p w:rsidR="005F512D" w:rsidRPr="00CB583A" w:rsidRDefault="00AA3371" w:rsidP="005F512D">
      <w:pPr>
        <w:pStyle w:val="FigureNo"/>
        <w:spacing w:before="240"/>
        <w:rPr>
          <w:lang w:val="en-US"/>
        </w:rPr>
      </w:pPr>
      <w:r>
        <w:rPr>
          <w:lang w:val="en-US"/>
        </w:rPr>
        <w:lastRenderedPageBreak/>
        <w:t>FIGURE 4</w:t>
      </w:r>
    </w:p>
    <w:p w:rsidR="005F512D" w:rsidRPr="00CB583A" w:rsidRDefault="005F512D" w:rsidP="005F512D">
      <w:pPr>
        <w:pStyle w:val="Figuretitle"/>
        <w:rPr>
          <w:lang w:val="en-US"/>
        </w:rPr>
      </w:pPr>
      <w:r w:rsidRPr="00CB583A">
        <w:rPr>
          <w:lang w:val="en-US"/>
        </w:rPr>
        <w:t>16:9 shoot-to-</w:t>
      </w:r>
      <w:r w:rsidRPr="005F512D">
        <w:rPr>
          <w:lang w:val="en-US"/>
        </w:rPr>
        <w:t>protect</w:t>
      </w:r>
      <w:r w:rsidRPr="00CB583A">
        <w:rPr>
          <w:lang w:val="en-US"/>
        </w:rPr>
        <w:t xml:space="preserve"> the 16:9 full image, 1 080-line progressive scan</w:t>
      </w:r>
    </w:p>
    <w:p w:rsidR="005F512D" w:rsidRPr="00A445CB" w:rsidRDefault="006A6CFF" w:rsidP="005F512D">
      <w:pPr>
        <w:pStyle w:val="Figure"/>
      </w:pPr>
      <w:r>
        <w:object w:dxaOrig="6938" w:dyaOrig="4095">
          <v:shape id="_x0000_i1028" type="#_x0000_t75" style="width:346.85pt;height:204.75pt" o:ole="">
            <v:imagedata r:id="rId18" o:title=""/>
          </v:shape>
          <o:OLEObject Type="Embed" ProgID="CorelDraw.Graphic.16" ShapeID="_x0000_i1028" DrawAspect="Content" ObjectID="_1508329784" r:id="rId19"/>
        </w:object>
      </w:r>
    </w:p>
    <w:p w:rsidR="005F512D" w:rsidRPr="00CB583A" w:rsidRDefault="005F512D" w:rsidP="005F512D">
      <w:pPr>
        <w:rPr>
          <w:lang w:val="en-US"/>
        </w:rPr>
      </w:pPr>
      <w:r w:rsidRPr="00CB583A">
        <w:rPr>
          <w:lang w:val="en-US"/>
        </w:rPr>
        <w:t xml:space="preserve">The definitions of the safe areas are given in numbers of lines and pixels, which are more definitive than the percentages used previously. However, percentages are also included because they are the basis on which comparisons are made. </w:t>
      </w:r>
    </w:p>
    <w:p w:rsidR="005F512D" w:rsidRDefault="005F512D" w:rsidP="005F512D">
      <w:pPr>
        <w:rPr>
          <w:lang w:val="en-US"/>
        </w:rPr>
      </w:pPr>
      <w:r w:rsidRPr="00CB583A">
        <w:rPr>
          <w:lang w:val="en-US"/>
        </w:rPr>
        <w:t>Thus</w:t>
      </w:r>
      <w:r w:rsidR="00AA3371">
        <w:rPr>
          <w:lang w:val="en-US"/>
        </w:rPr>
        <w:t>,</w:t>
      </w:r>
      <w:r w:rsidRPr="00CB583A">
        <w:rPr>
          <w:lang w:val="en-US"/>
        </w:rPr>
        <w:t xml:space="preserve"> the drawings give the first and last lines and the first and last pixels which are inside the safe areas.</w:t>
      </w:r>
    </w:p>
    <w:p w:rsidR="005F512D" w:rsidRDefault="005F512D" w:rsidP="005F512D">
      <w:pPr>
        <w:rPr>
          <w:lang w:val="en-US"/>
        </w:rPr>
      </w:pPr>
    </w:p>
    <w:p w:rsidR="005F512D" w:rsidRPr="00CB583A" w:rsidRDefault="005F512D" w:rsidP="005F512D">
      <w:pPr>
        <w:rPr>
          <w:lang w:val="en-US"/>
        </w:rPr>
      </w:pPr>
    </w:p>
    <w:p w:rsidR="005F512D" w:rsidRPr="00CB583A" w:rsidRDefault="005F512D" w:rsidP="00861339">
      <w:pPr>
        <w:pStyle w:val="AnnexNoTitle"/>
        <w:spacing w:before="240" w:after="120"/>
        <w:rPr>
          <w:lang w:val="en-US"/>
        </w:rPr>
      </w:pPr>
      <w:r w:rsidRPr="00CB583A">
        <w:rPr>
          <w:lang w:val="en-US"/>
        </w:rPr>
        <w:t>Annex 4</w:t>
      </w:r>
      <w:r>
        <w:rPr>
          <w:lang w:val="en-US"/>
        </w:rPr>
        <w:br/>
      </w:r>
      <w:r w:rsidRPr="00CB583A">
        <w:rPr>
          <w:lang w:val="en-US"/>
        </w:rPr>
        <w:br/>
        <w:t>Safe areas for television programmes intended</w:t>
      </w:r>
      <w:r w:rsidRPr="00CB583A">
        <w:rPr>
          <w:lang w:val="en-US"/>
        </w:rPr>
        <w:br/>
        <w:t>for wide-screen 2</w:t>
      </w:r>
      <w:r w:rsidR="00861339">
        <w:rPr>
          <w:lang w:val="en-US"/>
        </w:rPr>
        <w:t> </w:t>
      </w:r>
      <w:r w:rsidRPr="00CB583A">
        <w:rPr>
          <w:lang w:val="en-US"/>
        </w:rPr>
        <w:t>160-line transmission</w:t>
      </w:r>
    </w:p>
    <w:p w:rsidR="005F512D" w:rsidRPr="00CB583A" w:rsidRDefault="005F512D" w:rsidP="00861339">
      <w:pPr>
        <w:pStyle w:val="Normalaftertitle"/>
        <w:rPr>
          <w:lang w:val="en-US"/>
        </w:rPr>
      </w:pPr>
      <w:r w:rsidRPr="00CB583A">
        <w:rPr>
          <w:lang w:val="en-US"/>
        </w:rPr>
        <w:t>These guidelines are aimed at those involved in any stage of the programme-making process and at manufacturers of production equipment for programmes intended to be broadcast using 2</w:t>
      </w:r>
      <w:r w:rsidR="00861339">
        <w:rPr>
          <w:lang w:val="en-US"/>
        </w:rPr>
        <w:t> </w:t>
      </w:r>
      <w:r w:rsidRPr="00CB583A">
        <w:rPr>
          <w:lang w:val="en-US"/>
        </w:rPr>
        <w:t>160-line transmission systems.</w:t>
      </w:r>
    </w:p>
    <w:p w:rsidR="005F512D" w:rsidRPr="00CB583A" w:rsidRDefault="00861339" w:rsidP="00F86365">
      <w:pPr>
        <w:pStyle w:val="Note"/>
        <w:rPr>
          <w:lang w:val="en-US"/>
        </w:rPr>
      </w:pPr>
      <w:r w:rsidRPr="00CB583A">
        <w:rPr>
          <w:lang w:val="en-US"/>
        </w:rPr>
        <w:t>NOTE</w:t>
      </w:r>
      <w:r>
        <w:rPr>
          <w:lang w:val="en-US"/>
        </w:rPr>
        <w:t xml:space="preserve"> –</w:t>
      </w:r>
      <w:r w:rsidR="005F512D" w:rsidRPr="00CB583A">
        <w:rPr>
          <w:lang w:val="en-US"/>
        </w:rPr>
        <w:t xml:space="preserve"> Within this Annex</w:t>
      </w:r>
      <w:r>
        <w:rPr>
          <w:lang w:val="en-US"/>
        </w:rPr>
        <w:t>,</w:t>
      </w:r>
      <w:r w:rsidR="005F512D" w:rsidRPr="00CB583A">
        <w:rPr>
          <w:lang w:val="en-US"/>
        </w:rPr>
        <w:t xml:space="preserve"> it is recognized that the nomenclature involved some interchangeability between the terms lines and pixels. In </w:t>
      </w:r>
      <w:r>
        <w:rPr>
          <w:lang w:val="en-US"/>
        </w:rPr>
        <w:t xml:space="preserve">Fig. 5 </w:t>
      </w:r>
      <w:r w:rsidR="005F512D" w:rsidRPr="00CB583A">
        <w:rPr>
          <w:lang w:val="en-US"/>
        </w:rPr>
        <w:t>below, pixel counts were applied for both horizontal and vertical dimensions.</w:t>
      </w:r>
    </w:p>
    <w:p w:rsidR="005F512D" w:rsidRDefault="005F512D" w:rsidP="005F512D">
      <w:pPr>
        <w:rPr>
          <w:lang w:val="en-US"/>
        </w:rPr>
      </w:pPr>
    </w:p>
    <w:p w:rsidR="005F512D" w:rsidRPr="00CB583A" w:rsidRDefault="005F512D" w:rsidP="005F512D">
      <w:pPr>
        <w:rPr>
          <w:lang w:val="en-US"/>
        </w:rPr>
      </w:pPr>
    </w:p>
    <w:p w:rsidR="005F512D" w:rsidRPr="00CB583A" w:rsidRDefault="005F512D" w:rsidP="005F512D">
      <w:pPr>
        <w:pStyle w:val="AppendixNoTitle"/>
        <w:spacing w:before="240" w:after="120"/>
        <w:rPr>
          <w:lang w:val="en-US"/>
        </w:rPr>
      </w:pPr>
      <w:r w:rsidRPr="00CB583A">
        <w:rPr>
          <w:lang w:val="en-US"/>
        </w:rPr>
        <w:t>Appendix 1</w:t>
      </w:r>
      <w:r w:rsidRPr="00CB583A">
        <w:rPr>
          <w:lang w:val="en-US"/>
        </w:rPr>
        <w:br/>
        <w:t>to Annex 4</w:t>
      </w:r>
      <w:r w:rsidRPr="00CB583A">
        <w:rPr>
          <w:lang w:val="en-US"/>
        </w:rPr>
        <w:br/>
      </w:r>
      <w:r w:rsidRPr="00CB583A">
        <w:rPr>
          <w:lang w:val="en-US"/>
        </w:rPr>
        <w:br/>
        <w:t>Safe areas for tele</w:t>
      </w:r>
      <w:r w:rsidR="00861339">
        <w:rPr>
          <w:lang w:val="en-US"/>
        </w:rPr>
        <w:t>vision programmes made in the 2 </w:t>
      </w:r>
      <w:r w:rsidRPr="00CB583A">
        <w:rPr>
          <w:lang w:val="en-US"/>
        </w:rPr>
        <w:t>160-line progressive scan</w:t>
      </w:r>
      <w:r w:rsidRPr="00CB583A">
        <w:rPr>
          <w:lang w:val="en-US"/>
        </w:rPr>
        <w:br/>
        <w:t>16:9 wide-screen format: Shoot-to-protect the 16:9 full image</w:t>
      </w:r>
    </w:p>
    <w:p w:rsidR="005F512D" w:rsidRPr="00CB583A" w:rsidRDefault="005F512D" w:rsidP="00861339">
      <w:pPr>
        <w:pStyle w:val="Normalaftertitle"/>
        <w:rPr>
          <w:lang w:val="en-US"/>
        </w:rPr>
      </w:pPr>
      <w:r w:rsidRPr="00CB583A">
        <w:rPr>
          <w:lang w:val="en-US"/>
        </w:rPr>
        <w:t xml:space="preserve">Table </w:t>
      </w:r>
      <w:r w:rsidR="00861339">
        <w:rPr>
          <w:lang w:val="en-US"/>
        </w:rPr>
        <w:t>5</w:t>
      </w:r>
      <w:r w:rsidRPr="00CB583A">
        <w:rPr>
          <w:lang w:val="en-US"/>
        </w:rPr>
        <w:t xml:space="preserve"> shows how the action and </w:t>
      </w:r>
      <w:r w:rsidRPr="005F512D">
        <w:rPr>
          <w:lang w:val="en-US"/>
        </w:rPr>
        <w:t>graphics</w:t>
      </w:r>
      <w:r w:rsidRPr="00CB583A">
        <w:rPr>
          <w:lang w:val="en-US"/>
        </w:rPr>
        <w:t xml:space="preserve"> areas are defined to protect the full 16:9 wide</w:t>
      </w:r>
      <w:r w:rsidRPr="00CB583A">
        <w:rPr>
          <w:lang w:val="en-US"/>
        </w:rPr>
        <w:noBreakHyphen/>
        <w:t xml:space="preserve">screen image. </w:t>
      </w:r>
    </w:p>
    <w:p w:rsidR="005F512D" w:rsidRPr="00CB583A" w:rsidRDefault="005F512D" w:rsidP="00861339">
      <w:pPr>
        <w:pStyle w:val="TableNo"/>
        <w:rPr>
          <w:lang w:val="en-US"/>
        </w:rPr>
      </w:pPr>
      <w:r w:rsidRPr="00CB583A">
        <w:rPr>
          <w:lang w:val="en-US"/>
        </w:rPr>
        <w:lastRenderedPageBreak/>
        <w:t xml:space="preserve">TABLE </w:t>
      </w:r>
      <w:r w:rsidR="00861339">
        <w:rPr>
          <w:lang w:val="en-US"/>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268"/>
        <w:gridCol w:w="2268"/>
      </w:tblGrid>
      <w:tr w:rsidR="005F512D" w:rsidRPr="00CB583A" w:rsidTr="006C04A3">
        <w:trPr>
          <w:jc w:val="center"/>
        </w:trPr>
        <w:tc>
          <w:tcPr>
            <w:tcW w:w="3969" w:type="dxa"/>
            <w:tcBorders>
              <w:top w:val="nil"/>
              <w:left w:val="nil"/>
            </w:tcBorders>
          </w:tcPr>
          <w:p w:rsidR="005F512D" w:rsidRPr="00CB583A" w:rsidRDefault="005F512D" w:rsidP="006C04A3">
            <w:pPr>
              <w:pStyle w:val="Tablehead"/>
              <w:rPr>
                <w:lang w:val="en-US"/>
              </w:rPr>
            </w:pPr>
          </w:p>
        </w:tc>
        <w:tc>
          <w:tcPr>
            <w:tcW w:w="2268" w:type="dxa"/>
          </w:tcPr>
          <w:p w:rsidR="005F512D" w:rsidRPr="00CB583A" w:rsidRDefault="005F512D" w:rsidP="006C04A3">
            <w:pPr>
              <w:pStyle w:val="Tablehead"/>
              <w:rPr>
                <w:lang w:val="en-US"/>
              </w:rPr>
            </w:pPr>
            <w:r w:rsidRPr="00CB583A">
              <w:rPr>
                <w:lang w:val="en-US"/>
              </w:rPr>
              <w:t>Vertical</w:t>
            </w:r>
          </w:p>
        </w:tc>
        <w:tc>
          <w:tcPr>
            <w:tcW w:w="2268" w:type="dxa"/>
          </w:tcPr>
          <w:p w:rsidR="005F512D" w:rsidRPr="00CB583A" w:rsidRDefault="005F512D" w:rsidP="006C04A3">
            <w:pPr>
              <w:pStyle w:val="Tablehead"/>
              <w:rPr>
                <w:lang w:val="en-US"/>
              </w:rPr>
            </w:pPr>
            <w:r w:rsidRPr="00CB583A">
              <w:rPr>
                <w:lang w:val="en-US"/>
              </w:rPr>
              <w:t>Horizontal</w:t>
            </w:r>
          </w:p>
        </w:tc>
      </w:tr>
      <w:tr w:rsidR="005F512D" w:rsidRPr="00CB583A" w:rsidTr="006C04A3">
        <w:trPr>
          <w:jc w:val="center"/>
        </w:trPr>
        <w:tc>
          <w:tcPr>
            <w:tcW w:w="3969" w:type="dxa"/>
          </w:tcPr>
          <w:p w:rsidR="005F512D" w:rsidRPr="00CB583A" w:rsidRDefault="005F512D" w:rsidP="006C04A3">
            <w:pPr>
              <w:pStyle w:val="Tabletext"/>
              <w:keepNext/>
              <w:rPr>
                <w:lang w:val="en-US"/>
              </w:rPr>
            </w:pPr>
            <w:r w:rsidRPr="00CB583A">
              <w:rPr>
                <w:lang w:val="en-US"/>
              </w:rPr>
              <w:t>Action safe margin (%</w:t>
            </w:r>
            <w:r w:rsidRPr="00CB583A">
              <w:rPr>
                <w:rFonts w:ascii="Symbol" w:hAnsi="Symbol"/>
                <w:lang w:val="en-US"/>
              </w:rPr>
              <w:t></w:t>
            </w:r>
          </w:p>
        </w:tc>
        <w:tc>
          <w:tcPr>
            <w:tcW w:w="2268" w:type="dxa"/>
          </w:tcPr>
          <w:p w:rsidR="005F512D" w:rsidRPr="00CB583A" w:rsidRDefault="005F512D" w:rsidP="006C04A3">
            <w:pPr>
              <w:pStyle w:val="Tabletext"/>
              <w:keepNext/>
              <w:jc w:val="center"/>
              <w:rPr>
                <w:lang w:val="en-US"/>
              </w:rPr>
            </w:pPr>
            <w:r w:rsidRPr="00CB583A">
              <w:rPr>
                <w:lang w:val="en-US"/>
              </w:rPr>
              <w:t>3.5</w:t>
            </w:r>
          </w:p>
        </w:tc>
        <w:tc>
          <w:tcPr>
            <w:tcW w:w="2268" w:type="dxa"/>
          </w:tcPr>
          <w:p w:rsidR="005F512D" w:rsidRPr="00CB583A" w:rsidRDefault="005F512D" w:rsidP="006C04A3">
            <w:pPr>
              <w:pStyle w:val="Tabletext"/>
              <w:keepNext/>
              <w:jc w:val="center"/>
              <w:rPr>
                <w:lang w:val="en-US"/>
              </w:rPr>
            </w:pPr>
            <w:r w:rsidRPr="00CB583A">
              <w:rPr>
                <w:lang w:val="en-US"/>
              </w:rPr>
              <w:t>3.5</w:t>
            </w:r>
          </w:p>
        </w:tc>
      </w:tr>
      <w:tr w:rsidR="005F512D" w:rsidRPr="00CB583A" w:rsidTr="006C04A3">
        <w:trPr>
          <w:jc w:val="center"/>
        </w:trPr>
        <w:tc>
          <w:tcPr>
            <w:tcW w:w="3969" w:type="dxa"/>
          </w:tcPr>
          <w:p w:rsidR="005F512D" w:rsidRPr="00CB583A" w:rsidRDefault="005F512D" w:rsidP="006C04A3">
            <w:pPr>
              <w:pStyle w:val="Tabletext"/>
              <w:rPr>
                <w:lang w:val="en-US"/>
              </w:rPr>
            </w:pPr>
            <w:r w:rsidRPr="00CB583A">
              <w:rPr>
                <w:lang w:val="en-US"/>
              </w:rPr>
              <w:t>Graphics safe margin (%</w:t>
            </w:r>
            <w:r w:rsidRPr="00CB583A">
              <w:rPr>
                <w:rFonts w:ascii="Symbol" w:hAnsi="Symbol"/>
                <w:lang w:val="en-US"/>
              </w:rPr>
              <w:t></w:t>
            </w:r>
          </w:p>
        </w:tc>
        <w:tc>
          <w:tcPr>
            <w:tcW w:w="2268" w:type="dxa"/>
          </w:tcPr>
          <w:p w:rsidR="005F512D" w:rsidRPr="00CB583A" w:rsidRDefault="005F512D" w:rsidP="006C04A3">
            <w:pPr>
              <w:pStyle w:val="Tabletext"/>
              <w:jc w:val="center"/>
              <w:rPr>
                <w:lang w:val="en-US"/>
              </w:rPr>
            </w:pPr>
            <w:r w:rsidRPr="00CB583A">
              <w:rPr>
                <w:lang w:val="en-US"/>
              </w:rPr>
              <w:t>5</w:t>
            </w:r>
          </w:p>
        </w:tc>
        <w:tc>
          <w:tcPr>
            <w:tcW w:w="2268" w:type="dxa"/>
          </w:tcPr>
          <w:p w:rsidR="005F512D" w:rsidRPr="00CB583A" w:rsidRDefault="005F512D" w:rsidP="006C04A3">
            <w:pPr>
              <w:pStyle w:val="Tabletext"/>
              <w:jc w:val="center"/>
              <w:rPr>
                <w:lang w:val="en-US"/>
              </w:rPr>
            </w:pPr>
            <w:r w:rsidRPr="00CB583A">
              <w:rPr>
                <w:lang w:val="en-US"/>
              </w:rPr>
              <w:t>5</w:t>
            </w:r>
          </w:p>
        </w:tc>
      </w:tr>
    </w:tbl>
    <w:p w:rsidR="005F512D" w:rsidRPr="00CB583A" w:rsidRDefault="005F512D" w:rsidP="005F512D">
      <w:pPr>
        <w:pStyle w:val="Tablefin"/>
        <w:rPr>
          <w:lang w:val="en-US"/>
        </w:rPr>
      </w:pPr>
    </w:p>
    <w:p w:rsidR="005F512D" w:rsidRPr="00CB583A" w:rsidRDefault="005F512D" w:rsidP="005F512D">
      <w:pPr>
        <w:rPr>
          <w:lang w:val="en-US"/>
        </w:rPr>
      </w:pPr>
      <w:r w:rsidRPr="00CB583A">
        <w:rPr>
          <w:lang w:val="en-US"/>
        </w:rPr>
        <w:t xml:space="preserve">Figure </w:t>
      </w:r>
      <w:r w:rsidR="00861339">
        <w:rPr>
          <w:lang w:val="en-US"/>
        </w:rPr>
        <w:t>5</w:t>
      </w:r>
      <w:r w:rsidRPr="00CB583A">
        <w:rPr>
          <w:lang w:val="en-US"/>
        </w:rPr>
        <w:t xml:space="preserve"> shows these areas in more detail.</w:t>
      </w:r>
    </w:p>
    <w:p w:rsidR="005F512D" w:rsidRPr="00CB583A" w:rsidRDefault="005F512D" w:rsidP="005F512D">
      <w:pPr>
        <w:pStyle w:val="FigureNo"/>
        <w:spacing w:before="360"/>
        <w:rPr>
          <w:lang w:val="en-US"/>
        </w:rPr>
      </w:pPr>
      <w:r w:rsidRPr="00CB583A">
        <w:rPr>
          <w:lang w:val="en-US"/>
        </w:rPr>
        <w:t xml:space="preserve">FIGURE </w:t>
      </w:r>
      <w:r w:rsidR="00861339">
        <w:rPr>
          <w:lang w:val="en-US"/>
        </w:rPr>
        <w:t>5</w:t>
      </w:r>
    </w:p>
    <w:p w:rsidR="005F512D" w:rsidRPr="005F512D" w:rsidRDefault="005F512D" w:rsidP="00861339">
      <w:pPr>
        <w:pStyle w:val="Figuretitle"/>
        <w:rPr>
          <w:lang w:val="en-US"/>
        </w:rPr>
      </w:pPr>
      <w:r w:rsidRPr="005F512D">
        <w:rPr>
          <w:lang w:val="en-US"/>
        </w:rPr>
        <w:t>16:9 shoot-to-protect the 16:9 full image, 2</w:t>
      </w:r>
      <w:r w:rsidR="00861339">
        <w:rPr>
          <w:rFonts w:hint="eastAsia"/>
          <w:lang w:val="en-US"/>
        </w:rPr>
        <w:t> </w:t>
      </w:r>
      <w:r w:rsidRPr="005F512D">
        <w:rPr>
          <w:lang w:val="en-US"/>
        </w:rPr>
        <w:t>160-line progressive scan</w:t>
      </w:r>
    </w:p>
    <w:p w:rsidR="005F512D" w:rsidRPr="00CB583A" w:rsidRDefault="006A6CFF" w:rsidP="005F512D">
      <w:pPr>
        <w:pStyle w:val="Figure"/>
        <w:rPr>
          <w:lang w:val="en-US"/>
        </w:rPr>
      </w:pPr>
      <w:r>
        <w:object w:dxaOrig="6936" w:dyaOrig="4095">
          <v:shape id="_x0000_i1029" type="#_x0000_t75" style="width:346.85pt;height:204.75pt" o:ole="">
            <v:imagedata r:id="rId20" o:title=""/>
          </v:shape>
          <o:OLEObject Type="Embed" ProgID="CorelDraw.Graphic.16" ShapeID="_x0000_i1029" DrawAspect="Content" ObjectID="_1508329785" r:id="rId21"/>
        </w:object>
      </w:r>
    </w:p>
    <w:p w:rsidR="005F512D" w:rsidRPr="00CB583A" w:rsidRDefault="005F512D" w:rsidP="005F512D">
      <w:pPr>
        <w:rPr>
          <w:lang w:val="en-US"/>
        </w:rPr>
      </w:pPr>
      <w:r w:rsidRPr="00CB583A">
        <w:rPr>
          <w:lang w:val="en-US"/>
        </w:rPr>
        <w:t xml:space="preserve">The definitions of the safe areas are given in numbers of lines and pixels, which are more definitive than the percentages used previously. However, percentages are also included because they are the basis on which comparisons are made. </w:t>
      </w:r>
    </w:p>
    <w:p w:rsidR="005F512D" w:rsidRDefault="005F512D" w:rsidP="005F512D">
      <w:pPr>
        <w:rPr>
          <w:lang w:val="en-US"/>
        </w:rPr>
      </w:pPr>
      <w:r w:rsidRPr="00CB583A">
        <w:rPr>
          <w:lang w:val="en-US"/>
        </w:rPr>
        <w:t>Thus</w:t>
      </w:r>
      <w:r w:rsidR="00861339">
        <w:rPr>
          <w:lang w:val="en-US"/>
        </w:rPr>
        <w:t>,</w:t>
      </w:r>
      <w:r w:rsidRPr="00CB583A">
        <w:rPr>
          <w:lang w:val="en-US"/>
        </w:rPr>
        <w:t xml:space="preserve"> the drawings give the first and last lines and the first and last pixels which are inside the safe areas.</w:t>
      </w:r>
    </w:p>
    <w:p w:rsidR="005F512D" w:rsidRDefault="005F512D" w:rsidP="005F512D">
      <w:pPr>
        <w:rPr>
          <w:lang w:val="en-US"/>
        </w:rPr>
      </w:pPr>
    </w:p>
    <w:p w:rsidR="005F512D" w:rsidRDefault="005F512D" w:rsidP="005F512D">
      <w:pPr>
        <w:rPr>
          <w:lang w:val="en-US"/>
        </w:rPr>
      </w:pPr>
    </w:p>
    <w:p w:rsidR="005F512D" w:rsidRPr="00CB583A" w:rsidRDefault="005F512D" w:rsidP="005F512D">
      <w:pPr>
        <w:pStyle w:val="AnnexNoTitle"/>
        <w:spacing w:before="240" w:after="120"/>
        <w:rPr>
          <w:lang w:val="en-US"/>
        </w:rPr>
      </w:pPr>
      <w:r w:rsidRPr="00CB583A">
        <w:rPr>
          <w:lang w:val="en-US"/>
        </w:rPr>
        <w:t>Annex 5</w:t>
      </w:r>
      <w:r>
        <w:rPr>
          <w:lang w:val="en-US"/>
        </w:rPr>
        <w:br/>
      </w:r>
      <w:r w:rsidRPr="00CB583A">
        <w:rPr>
          <w:lang w:val="en-US"/>
        </w:rPr>
        <w:br/>
        <w:t>Safe areas for television progra</w:t>
      </w:r>
      <w:r w:rsidR="00F86365">
        <w:rPr>
          <w:lang w:val="en-US"/>
        </w:rPr>
        <w:t>mmes intended</w:t>
      </w:r>
      <w:r w:rsidR="00F86365">
        <w:rPr>
          <w:lang w:val="en-US"/>
        </w:rPr>
        <w:br/>
        <w:t>for wide-screen 4 </w:t>
      </w:r>
      <w:r w:rsidRPr="00CB583A">
        <w:rPr>
          <w:lang w:val="en-US"/>
        </w:rPr>
        <w:t>320-line transmission</w:t>
      </w:r>
    </w:p>
    <w:p w:rsidR="005F512D" w:rsidRPr="00CB583A" w:rsidRDefault="005F512D" w:rsidP="005F512D">
      <w:pPr>
        <w:pStyle w:val="Normalaftertitle"/>
        <w:rPr>
          <w:lang w:val="en-US"/>
        </w:rPr>
      </w:pPr>
      <w:r w:rsidRPr="00CB583A">
        <w:rPr>
          <w:lang w:val="en-US"/>
        </w:rPr>
        <w:t xml:space="preserve">These guidelines are aimed at those involved in any stage of the programme-making process and at manufacturers of </w:t>
      </w:r>
      <w:r w:rsidRPr="005F512D">
        <w:rPr>
          <w:lang w:val="en-US"/>
        </w:rPr>
        <w:t>production</w:t>
      </w:r>
      <w:r w:rsidRPr="00CB583A">
        <w:rPr>
          <w:lang w:val="en-US"/>
        </w:rPr>
        <w:t xml:space="preserve"> equipment for programmes intended to be broadcast using </w:t>
      </w:r>
      <w:r w:rsidR="00F86365">
        <w:rPr>
          <w:lang w:val="en-US"/>
        </w:rPr>
        <w:t>4 </w:t>
      </w:r>
      <w:r w:rsidRPr="00CB583A">
        <w:rPr>
          <w:lang w:val="en-US"/>
        </w:rPr>
        <w:t>320-line transmission systems.</w:t>
      </w:r>
    </w:p>
    <w:p w:rsidR="005F512D" w:rsidRDefault="00F86365" w:rsidP="00F86365">
      <w:pPr>
        <w:pStyle w:val="Note"/>
        <w:rPr>
          <w:lang w:val="en-US"/>
        </w:rPr>
      </w:pPr>
      <w:r w:rsidRPr="00CB583A">
        <w:rPr>
          <w:lang w:val="en-US"/>
        </w:rPr>
        <w:t>NOTE</w:t>
      </w:r>
      <w:r>
        <w:rPr>
          <w:lang w:val="en-US"/>
        </w:rPr>
        <w:t xml:space="preserve"> –</w:t>
      </w:r>
      <w:r w:rsidR="005F512D" w:rsidRPr="00CB583A">
        <w:rPr>
          <w:lang w:val="en-US"/>
        </w:rPr>
        <w:t xml:space="preserve"> Within this </w:t>
      </w:r>
      <w:r>
        <w:rPr>
          <w:lang w:val="en-US"/>
        </w:rPr>
        <w:t>A</w:t>
      </w:r>
      <w:r w:rsidR="005F512D" w:rsidRPr="00CB583A">
        <w:rPr>
          <w:lang w:val="en-US"/>
        </w:rPr>
        <w:t>nnex</w:t>
      </w:r>
      <w:r>
        <w:rPr>
          <w:lang w:val="en-US"/>
        </w:rPr>
        <w:t>,</w:t>
      </w:r>
      <w:r w:rsidR="005F512D" w:rsidRPr="00CB583A">
        <w:rPr>
          <w:lang w:val="en-US"/>
        </w:rPr>
        <w:t xml:space="preserve"> it is recognized that the nomenclature involved some interchangeability between the terms lines and pixels. In </w:t>
      </w:r>
      <w:r>
        <w:rPr>
          <w:lang w:val="en-US"/>
        </w:rPr>
        <w:t xml:space="preserve">Fig. 6 </w:t>
      </w:r>
      <w:r w:rsidR="005F512D" w:rsidRPr="00CB583A">
        <w:rPr>
          <w:lang w:val="en-US"/>
        </w:rPr>
        <w:t>below, pixel counts were applied for both horizontal and vertical dimensions.</w:t>
      </w:r>
    </w:p>
    <w:p w:rsidR="005F512D" w:rsidRDefault="005F512D" w:rsidP="005F512D">
      <w:pPr>
        <w:rPr>
          <w:lang w:val="en-US"/>
        </w:rPr>
      </w:pPr>
    </w:p>
    <w:p w:rsidR="005F512D" w:rsidRPr="00CB583A" w:rsidRDefault="005F512D" w:rsidP="005F512D">
      <w:pPr>
        <w:rPr>
          <w:lang w:val="en-US"/>
        </w:rPr>
      </w:pPr>
    </w:p>
    <w:p w:rsidR="005F512D" w:rsidRPr="00CB583A" w:rsidRDefault="005F512D" w:rsidP="005F512D">
      <w:pPr>
        <w:pStyle w:val="AppendixNoTitle"/>
        <w:spacing w:before="240" w:after="120"/>
        <w:rPr>
          <w:lang w:val="en-US"/>
        </w:rPr>
      </w:pPr>
      <w:r w:rsidRPr="00CB583A">
        <w:rPr>
          <w:lang w:val="en-US"/>
        </w:rPr>
        <w:lastRenderedPageBreak/>
        <w:t>Appendix 1</w:t>
      </w:r>
      <w:r w:rsidRPr="00CB583A">
        <w:rPr>
          <w:lang w:val="en-US"/>
        </w:rPr>
        <w:br/>
        <w:t>to Annex 5</w:t>
      </w:r>
      <w:r w:rsidRPr="00CB583A">
        <w:rPr>
          <w:lang w:val="en-US"/>
        </w:rPr>
        <w:br/>
      </w:r>
      <w:r w:rsidRPr="00CB583A">
        <w:rPr>
          <w:lang w:val="en-US"/>
        </w:rPr>
        <w:br/>
        <w:t>Safe areas for television programmes made in the</w:t>
      </w:r>
      <w:r w:rsidR="00F86365">
        <w:rPr>
          <w:lang w:val="en-US"/>
        </w:rPr>
        <w:t xml:space="preserve"> 4 </w:t>
      </w:r>
      <w:r w:rsidRPr="00CB583A">
        <w:rPr>
          <w:lang w:val="en-US"/>
        </w:rPr>
        <w:t>320-line progressive scan</w:t>
      </w:r>
      <w:r w:rsidRPr="00CB583A">
        <w:rPr>
          <w:lang w:val="en-US"/>
        </w:rPr>
        <w:br/>
        <w:t>16:9 wide-screen format: Shoot-to-protect the 16:9 full image</w:t>
      </w:r>
    </w:p>
    <w:p w:rsidR="005F512D" w:rsidRPr="00CB583A" w:rsidRDefault="005F512D" w:rsidP="00F86365">
      <w:pPr>
        <w:pStyle w:val="Normalaftertitle"/>
        <w:rPr>
          <w:lang w:val="en-US"/>
        </w:rPr>
      </w:pPr>
      <w:r w:rsidRPr="00CB583A">
        <w:rPr>
          <w:lang w:val="en-US"/>
        </w:rPr>
        <w:t xml:space="preserve">Table </w:t>
      </w:r>
      <w:r w:rsidR="00F86365">
        <w:rPr>
          <w:lang w:val="en-US"/>
        </w:rPr>
        <w:t>6</w:t>
      </w:r>
      <w:r w:rsidRPr="00CB583A">
        <w:rPr>
          <w:lang w:val="en-US"/>
        </w:rPr>
        <w:t xml:space="preserve"> shows how the </w:t>
      </w:r>
      <w:r w:rsidRPr="005F512D">
        <w:rPr>
          <w:lang w:val="en-US"/>
        </w:rPr>
        <w:t>action</w:t>
      </w:r>
      <w:r w:rsidRPr="00CB583A">
        <w:rPr>
          <w:lang w:val="en-US"/>
        </w:rPr>
        <w:t xml:space="preserve"> and graphics areas are defined to protect the full 16:9 wide</w:t>
      </w:r>
      <w:r w:rsidRPr="00CB583A">
        <w:rPr>
          <w:lang w:val="en-US"/>
        </w:rPr>
        <w:noBreakHyphen/>
        <w:t xml:space="preserve">screen image. </w:t>
      </w:r>
    </w:p>
    <w:p w:rsidR="005F512D" w:rsidRPr="00CB583A" w:rsidRDefault="005F512D" w:rsidP="005F512D">
      <w:pPr>
        <w:pStyle w:val="TableNo"/>
        <w:spacing w:before="240"/>
        <w:rPr>
          <w:lang w:val="en-US"/>
        </w:rPr>
      </w:pPr>
      <w:r w:rsidRPr="00CB583A">
        <w:rPr>
          <w:lang w:val="en-US"/>
        </w:rPr>
        <w:t xml:space="preserve">TABLE </w:t>
      </w:r>
      <w:r w:rsidR="00F86365">
        <w:rPr>
          <w:lang w:val="en-US"/>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268"/>
        <w:gridCol w:w="2268"/>
      </w:tblGrid>
      <w:tr w:rsidR="005F512D" w:rsidRPr="00CB583A" w:rsidTr="006C04A3">
        <w:trPr>
          <w:jc w:val="center"/>
        </w:trPr>
        <w:tc>
          <w:tcPr>
            <w:tcW w:w="3969" w:type="dxa"/>
            <w:tcBorders>
              <w:top w:val="nil"/>
              <w:left w:val="nil"/>
            </w:tcBorders>
          </w:tcPr>
          <w:p w:rsidR="005F512D" w:rsidRPr="00CB583A" w:rsidRDefault="005F512D" w:rsidP="006C04A3">
            <w:pPr>
              <w:pStyle w:val="Tablehead"/>
              <w:rPr>
                <w:lang w:val="en-US"/>
              </w:rPr>
            </w:pPr>
          </w:p>
        </w:tc>
        <w:tc>
          <w:tcPr>
            <w:tcW w:w="2268" w:type="dxa"/>
          </w:tcPr>
          <w:p w:rsidR="005F512D" w:rsidRPr="00CB583A" w:rsidRDefault="005F512D" w:rsidP="006C04A3">
            <w:pPr>
              <w:pStyle w:val="Tablehead"/>
              <w:rPr>
                <w:lang w:val="en-US"/>
              </w:rPr>
            </w:pPr>
            <w:r w:rsidRPr="00CB583A">
              <w:rPr>
                <w:lang w:val="en-US"/>
              </w:rPr>
              <w:t>Vertical</w:t>
            </w:r>
          </w:p>
        </w:tc>
        <w:tc>
          <w:tcPr>
            <w:tcW w:w="2268" w:type="dxa"/>
          </w:tcPr>
          <w:p w:rsidR="005F512D" w:rsidRPr="00CB583A" w:rsidRDefault="005F512D" w:rsidP="006C04A3">
            <w:pPr>
              <w:pStyle w:val="Tablehead"/>
              <w:rPr>
                <w:lang w:val="en-US"/>
              </w:rPr>
            </w:pPr>
            <w:r w:rsidRPr="00CB583A">
              <w:rPr>
                <w:lang w:val="en-US"/>
              </w:rPr>
              <w:t>Horizontal</w:t>
            </w:r>
          </w:p>
        </w:tc>
      </w:tr>
      <w:tr w:rsidR="005F512D" w:rsidRPr="00CB583A" w:rsidTr="006C04A3">
        <w:trPr>
          <w:jc w:val="center"/>
        </w:trPr>
        <w:tc>
          <w:tcPr>
            <w:tcW w:w="3969" w:type="dxa"/>
          </w:tcPr>
          <w:p w:rsidR="005F512D" w:rsidRPr="00CB583A" w:rsidRDefault="005F512D" w:rsidP="006C04A3">
            <w:pPr>
              <w:pStyle w:val="Tabletext"/>
              <w:keepNext/>
              <w:rPr>
                <w:lang w:val="en-US"/>
              </w:rPr>
            </w:pPr>
            <w:r w:rsidRPr="00CB583A">
              <w:rPr>
                <w:lang w:val="en-US"/>
              </w:rPr>
              <w:t>Action safe margin (%</w:t>
            </w:r>
            <w:r w:rsidRPr="00CB583A">
              <w:rPr>
                <w:rFonts w:ascii="Symbol" w:hAnsi="Symbol"/>
                <w:lang w:val="en-US"/>
              </w:rPr>
              <w:t></w:t>
            </w:r>
          </w:p>
        </w:tc>
        <w:tc>
          <w:tcPr>
            <w:tcW w:w="2268" w:type="dxa"/>
          </w:tcPr>
          <w:p w:rsidR="005F512D" w:rsidRPr="00CB583A" w:rsidRDefault="005F512D" w:rsidP="006C04A3">
            <w:pPr>
              <w:pStyle w:val="Tabletext"/>
              <w:keepNext/>
              <w:jc w:val="center"/>
              <w:rPr>
                <w:lang w:val="en-US"/>
              </w:rPr>
            </w:pPr>
            <w:r w:rsidRPr="00CB583A">
              <w:rPr>
                <w:lang w:val="en-US"/>
              </w:rPr>
              <w:t>3.5</w:t>
            </w:r>
          </w:p>
        </w:tc>
        <w:tc>
          <w:tcPr>
            <w:tcW w:w="2268" w:type="dxa"/>
          </w:tcPr>
          <w:p w:rsidR="005F512D" w:rsidRPr="00CB583A" w:rsidRDefault="005F512D" w:rsidP="006C04A3">
            <w:pPr>
              <w:pStyle w:val="Tabletext"/>
              <w:keepNext/>
              <w:jc w:val="center"/>
              <w:rPr>
                <w:lang w:val="en-US"/>
              </w:rPr>
            </w:pPr>
            <w:r w:rsidRPr="00CB583A">
              <w:rPr>
                <w:lang w:val="en-US"/>
              </w:rPr>
              <w:t>3.5</w:t>
            </w:r>
          </w:p>
        </w:tc>
      </w:tr>
      <w:tr w:rsidR="005F512D" w:rsidRPr="00CB583A" w:rsidTr="006C04A3">
        <w:trPr>
          <w:jc w:val="center"/>
        </w:trPr>
        <w:tc>
          <w:tcPr>
            <w:tcW w:w="3969" w:type="dxa"/>
          </w:tcPr>
          <w:p w:rsidR="005F512D" w:rsidRPr="00CB583A" w:rsidRDefault="005F512D" w:rsidP="006C04A3">
            <w:pPr>
              <w:pStyle w:val="Tabletext"/>
              <w:rPr>
                <w:lang w:val="en-US"/>
              </w:rPr>
            </w:pPr>
            <w:r w:rsidRPr="00CB583A">
              <w:rPr>
                <w:lang w:val="en-US"/>
              </w:rPr>
              <w:t>Graphics safe margin (%</w:t>
            </w:r>
            <w:r w:rsidRPr="00CB583A">
              <w:rPr>
                <w:rFonts w:ascii="Symbol" w:hAnsi="Symbol"/>
                <w:lang w:val="en-US"/>
              </w:rPr>
              <w:t></w:t>
            </w:r>
          </w:p>
        </w:tc>
        <w:tc>
          <w:tcPr>
            <w:tcW w:w="2268" w:type="dxa"/>
          </w:tcPr>
          <w:p w:rsidR="005F512D" w:rsidRPr="00CB583A" w:rsidRDefault="005F512D" w:rsidP="006C04A3">
            <w:pPr>
              <w:pStyle w:val="Tabletext"/>
              <w:jc w:val="center"/>
              <w:rPr>
                <w:lang w:val="en-US"/>
              </w:rPr>
            </w:pPr>
            <w:r w:rsidRPr="00CB583A">
              <w:rPr>
                <w:lang w:val="en-US"/>
              </w:rPr>
              <w:t>5</w:t>
            </w:r>
          </w:p>
        </w:tc>
        <w:tc>
          <w:tcPr>
            <w:tcW w:w="2268" w:type="dxa"/>
          </w:tcPr>
          <w:p w:rsidR="005F512D" w:rsidRPr="00CB583A" w:rsidRDefault="005F512D" w:rsidP="006C04A3">
            <w:pPr>
              <w:pStyle w:val="Tabletext"/>
              <w:jc w:val="center"/>
              <w:rPr>
                <w:lang w:val="en-US"/>
              </w:rPr>
            </w:pPr>
            <w:r w:rsidRPr="00CB583A">
              <w:rPr>
                <w:lang w:val="en-US"/>
              </w:rPr>
              <w:t>5</w:t>
            </w:r>
          </w:p>
        </w:tc>
      </w:tr>
    </w:tbl>
    <w:p w:rsidR="005F512D" w:rsidRPr="00CB583A" w:rsidRDefault="005F512D" w:rsidP="005F512D">
      <w:pPr>
        <w:pStyle w:val="Tablefin"/>
        <w:rPr>
          <w:lang w:val="en-US"/>
        </w:rPr>
      </w:pPr>
    </w:p>
    <w:p w:rsidR="005F512D" w:rsidRPr="00CB583A" w:rsidRDefault="005F512D" w:rsidP="00F86365">
      <w:pPr>
        <w:rPr>
          <w:lang w:val="en-US"/>
        </w:rPr>
      </w:pPr>
      <w:r w:rsidRPr="00CB583A">
        <w:rPr>
          <w:lang w:val="en-US"/>
        </w:rPr>
        <w:t xml:space="preserve">Figure </w:t>
      </w:r>
      <w:r w:rsidR="00F86365">
        <w:rPr>
          <w:lang w:val="en-US"/>
        </w:rPr>
        <w:t>6</w:t>
      </w:r>
      <w:r w:rsidRPr="00CB583A">
        <w:rPr>
          <w:lang w:val="en-US"/>
        </w:rPr>
        <w:t xml:space="preserve"> shows these areas in more detail.</w:t>
      </w:r>
    </w:p>
    <w:p w:rsidR="005F512D" w:rsidRPr="00CB583A" w:rsidRDefault="005F512D" w:rsidP="005F512D">
      <w:pPr>
        <w:pStyle w:val="FigureNo"/>
        <w:spacing w:before="240"/>
        <w:rPr>
          <w:lang w:val="en-US"/>
        </w:rPr>
      </w:pPr>
      <w:r w:rsidRPr="00CB583A">
        <w:rPr>
          <w:lang w:val="en-US"/>
        </w:rPr>
        <w:t xml:space="preserve">FIGURE </w:t>
      </w:r>
      <w:r w:rsidR="00F86365">
        <w:rPr>
          <w:lang w:val="en-US"/>
        </w:rPr>
        <w:t>6</w:t>
      </w:r>
    </w:p>
    <w:p w:rsidR="005F512D" w:rsidRPr="005F512D" w:rsidRDefault="005F512D" w:rsidP="005F512D">
      <w:pPr>
        <w:pStyle w:val="Figuretitle"/>
        <w:rPr>
          <w:lang w:val="en-US"/>
        </w:rPr>
      </w:pPr>
      <w:r w:rsidRPr="005F512D">
        <w:rPr>
          <w:lang w:val="en-US"/>
        </w:rPr>
        <w:t xml:space="preserve">16:9 shoot-to-protect the 16:9 full image, </w:t>
      </w:r>
      <w:r w:rsidR="00F86365">
        <w:rPr>
          <w:lang w:val="en-US"/>
        </w:rPr>
        <w:t>4</w:t>
      </w:r>
      <w:r w:rsidR="00F86365">
        <w:rPr>
          <w:rFonts w:hint="eastAsia"/>
          <w:lang w:val="en-US"/>
        </w:rPr>
        <w:t> </w:t>
      </w:r>
      <w:r w:rsidRPr="005F512D">
        <w:rPr>
          <w:lang w:val="en-US"/>
        </w:rPr>
        <w:t>320-line progressive scan</w:t>
      </w:r>
    </w:p>
    <w:p w:rsidR="005F512D" w:rsidRPr="00CB583A" w:rsidRDefault="006A6CFF" w:rsidP="005F512D">
      <w:pPr>
        <w:pStyle w:val="Figure"/>
        <w:rPr>
          <w:lang w:val="en-US"/>
        </w:rPr>
      </w:pPr>
      <w:r>
        <w:object w:dxaOrig="6939" w:dyaOrig="4095">
          <v:shape id="_x0000_i1030" type="#_x0000_t75" style="width:346.85pt;height:204.75pt" o:ole="">
            <v:imagedata r:id="rId22" o:title=""/>
          </v:shape>
          <o:OLEObject Type="Embed" ProgID="CorelDraw.Graphic.16" ShapeID="_x0000_i1030" DrawAspect="Content" ObjectID="_1508329786" r:id="rId23"/>
        </w:object>
      </w:r>
    </w:p>
    <w:p w:rsidR="005F512D" w:rsidRPr="00CB583A" w:rsidRDefault="005F512D" w:rsidP="005F512D">
      <w:pPr>
        <w:rPr>
          <w:lang w:val="en-US"/>
        </w:rPr>
      </w:pPr>
      <w:r w:rsidRPr="00CB583A">
        <w:rPr>
          <w:lang w:val="en-US"/>
        </w:rPr>
        <w:t xml:space="preserve">The definitions of the safe areas are given in numbers of lines and pixels, which are more definitive than the percentages used previously. However, percentages are also included because they are the basis on which comparisons are made. </w:t>
      </w:r>
    </w:p>
    <w:p w:rsidR="005F512D" w:rsidRPr="00CB583A" w:rsidRDefault="005F512D" w:rsidP="005F512D">
      <w:pPr>
        <w:spacing w:before="60"/>
        <w:rPr>
          <w:lang w:val="en-US"/>
        </w:rPr>
      </w:pPr>
      <w:r w:rsidRPr="00CB583A">
        <w:rPr>
          <w:lang w:val="en-US"/>
        </w:rPr>
        <w:t>Thus</w:t>
      </w:r>
      <w:r w:rsidR="00F86365">
        <w:rPr>
          <w:lang w:val="en-US"/>
        </w:rPr>
        <w:t>,</w:t>
      </w:r>
      <w:r w:rsidRPr="00CB583A">
        <w:rPr>
          <w:lang w:val="en-US"/>
        </w:rPr>
        <w:t xml:space="preserve"> the drawings give the first and last lines and the first and last pixels which are inside the safe areas.</w:t>
      </w:r>
    </w:p>
    <w:p w:rsidR="00A6617B" w:rsidRDefault="00A6617B" w:rsidP="00F86365">
      <w:pPr>
        <w:rPr>
          <w:lang w:val="en-US"/>
        </w:rPr>
      </w:pPr>
    </w:p>
    <w:p w:rsidR="003707F1" w:rsidRDefault="003707F1" w:rsidP="00F86365">
      <w:pPr>
        <w:rPr>
          <w:lang w:val="en-US"/>
        </w:rPr>
      </w:pPr>
    </w:p>
    <w:p w:rsidR="00F86365" w:rsidRPr="005F512D" w:rsidRDefault="00F86365" w:rsidP="00F86365">
      <w:pPr>
        <w:pStyle w:val="Line"/>
      </w:pPr>
    </w:p>
    <w:sectPr w:rsidR="00F86365" w:rsidRPr="005F512D" w:rsidSect="000801F3">
      <w:headerReference w:type="even" r:id="rId24"/>
      <w:headerReference w:type="default" r:id="rId2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12D" w:rsidRDefault="005F512D">
      <w:r>
        <w:separator/>
      </w:r>
    </w:p>
  </w:endnote>
  <w:endnote w:type="continuationSeparator" w:id="0">
    <w:p w:rsidR="005F512D" w:rsidRDefault="005F5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12D" w:rsidRDefault="005F512D">
      <w:r>
        <w:separator/>
      </w:r>
    </w:p>
  </w:footnote>
  <w:footnote w:type="continuationSeparator" w:id="0">
    <w:p w:rsidR="005F512D" w:rsidRDefault="005F512D">
      <w:r>
        <w:continuationSeparator/>
      </w:r>
    </w:p>
  </w:footnote>
  <w:footnote w:id="1">
    <w:p w:rsidR="005F512D" w:rsidRPr="00840919" w:rsidRDefault="005F512D" w:rsidP="005F512D">
      <w:pPr>
        <w:pStyle w:val="FootnoteText"/>
        <w:rPr>
          <w:lang w:val="en-US"/>
        </w:rPr>
      </w:pPr>
      <w:r w:rsidRPr="00840919">
        <w:rPr>
          <w:rStyle w:val="FootnoteReference"/>
          <w:lang w:val="en-US"/>
        </w:rPr>
        <w:t>*</w:t>
      </w:r>
      <w:r w:rsidRPr="00840919">
        <w:rPr>
          <w:lang w:val="en-US"/>
        </w:rPr>
        <w:tab/>
      </w:r>
      <w:r>
        <w:rPr>
          <w:rFonts w:eastAsia="SimSun"/>
          <w:lang w:val="en-US" w:eastAsia="zh-CN"/>
        </w:rPr>
        <w:t>Safe areas are located within the active image area of television production systems and ensure visibility of critical picture elements of television programmes on the majority of home television receivers. Safe areas are generally defined by safe action area and safe graphics area; safe action area is the maximum image area within which all significant action should be contained, and safe graphics area is the maximum image area within which all significant graphics should be contained.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12D" w:rsidRDefault="005F512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12D" w:rsidRDefault="005F512D" w:rsidP="00B033C8">
    <w:pPr>
      <w:pStyle w:val="Header"/>
      <w:ind w:right="360" w:firstLine="360"/>
    </w:pPr>
    <w:r>
      <w:rPr>
        <w:noProof/>
        <w:lang w:val="en-GB" w:eastAsia="zh-CN"/>
      </w:rPr>
      <w:drawing>
        <wp:anchor distT="0" distB="0" distL="114300" distR="114300" simplePos="0" relativeHeight="251658240" behindDoc="0" locked="0" layoutInCell="1" allowOverlap="1" wp14:anchorId="7CD56E76" wp14:editId="22FB9F9A">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GB" w:eastAsia="zh-CN"/>
      </w:rPr>
      <w:drawing>
        <wp:anchor distT="0" distB="0" distL="114300" distR="114300" simplePos="0" relativeHeight="251656192" behindDoc="1" locked="0" layoutInCell="1" allowOverlap="1" wp14:anchorId="2A269ECE" wp14:editId="26A6FFBB">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12D" w:rsidRPr="000F6905" w:rsidRDefault="005F512D">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25606E">
      <w:rPr>
        <w:rStyle w:val="PageNumber"/>
        <w:b/>
        <w:bCs/>
        <w:noProof/>
      </w:rPr>
      <w:t>ii</w:t>
    </w:r>
    <w:r>
      <w:rPr>
        <w:rStyle w:val="PageNumber"/>
        <w:b/>
        <w:bCs/>
      </w:rPr>
      <w:fldChar w:fldCharType="end"/>
    </w:r>
    <w:r w:rsidRPr="000F6905">
      <w:tab/>
    </w:r>
    <w:fldSimple w:instr=" DOCPROPERTY &quot;Header&quot; \* MERGEFORMAT ">
      <w:r w:rsidR="0025606E" w:rsidRPr="0025606E">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25606E">
      <w:rPr>
        <w:b/>
        <w:bCs/>
        <w:noProof/>
      </w:rPr>
      <w:t>ITU-R  BT.1848-1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12D" w:rsidRDefault="005F512D">
    <w:pPr>
      <w:pStyle w:val="Header"/>
    </w:pPr>
    <w:r>
      <w:tab/>
    </w:r>
    <w:fldSimple w:instr=" DOCPROPERTY &quot;Header&quot; \* MERGEFORMAT ">
      <w:r w:rsidR="0025606E" w:rsidRPr="0025606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5606E">
      <w:rPr>
        <w:b/>
        <w:bCs/>
        <w:noProof/>
      </w:rPr>
      <w:t>ITU-R  BT.1848-1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5606E">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25606E" w:rsidRPr="0025606E">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5606E">
      <w:rPr>
        <w:b/>
        <w:bCs/>
        <w:noProof/>
      </w:rPr>
      <w:t>ITU-R  BT.1848-1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25606E" w:rsidRPr="0025606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5606E">
      <w:rPr>
        <w:b/>
        <w:bCs/>
        <w:noProof/>
      </w:rPr>
      <w:t>ITU-R  BT.1848-1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5606E">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12D"/>
    <w:rsid w:val="000801F3"/>
    <w:rsid w:val="000E584D"/>
    <w:rsid w:val="00107454"/>
    <w:rsid w:val="001371F9"/>
    <w:rsid w:val="001A4787"/>
    <w:rsid w:val="00217EBF"/>
    <w:rsid w:val="00242AEE"/>
    <w:rsid w:val="0025606E"/>
    <w:rsid w:val="002D76C4"/>
    <w:rsid w:val="00351201"/>
    <w:rsid w:val="00361769"/>
    <w:rsid w:val="003707F1"/>
    <w:rsid w:val="0052529D"/>
    <w:rsid w:val="005F512D"/>
    <w:rsid w:val="00607D68"/>
    <w:rsid w:val="006A6CFF"/>
    <w:rsid w:val="00733BFB"/>
    <w:rsid w:val="007468DA"/>
    <w:rsid w:val="00757B8B"/>
    <w:rsid w:val="008015BD"/>
    <w:rsid w:val="00861339"/>
    <w:rsid w:val="00945592"/>
    <w:rsid w:val="00992088"/>
    <w:rsid w:val="009B051D"/>
    <w:rsid w:val="009E00A8"/>
    <w:rsid w:val="009E3634"/>
    <w:rsid w:val="00A6617B"/>
    <w:rsid w:val="00AA3371"/>
    <w:rsid w:val="00AB0DC8"/>
    <w:rsid w:val="00B44E24"/>
    <w:rsid w:val="00B85053"/>
    <w:rsid w:val="00BD436E"/>
    <w:rsid w:val="00D4048C"/>
    <w:rsid w:val="00DF4176"/>
    <w:rsid w:val="00E2031A"/>
    <w:rsid w:val="00E649DF"/>
    <w:rsid w:val="00EF172F"/>
    <w:rsid w:val="00F8636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32"/>
    <o:shapelayout v:ext="edit">
      <o:idmap v:ext="edit" data="1"/>
    </o:shapelayout>
  </w:shapeDefaults>
  <w:decimalSymbol w:val="."/>
  <w:listSeparator w:val=";"/>
  <w15:docId w15:val="{49BB4A04-360E-4362-8822-98215013B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12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5F512D"/>
    <w:rPr>
      <w:b/>
      <w:sz w:val="24"/>
      <w:lang w:val="fr-FR" w:eastAsia="en-US"/>
    </w:rPr>
  </w:style>
  <w:style w:type="character" w:customStyle="1" w:styleId="HeaderChar">
    <w:name w:val="Header Char"/>
    <w:basedOn w:val="DefaultParagraphFont"/>
    <w:link w:val="Header"/>
    <w:rsid w:val="005F512D"/>
    <w:rPr>
      <w:sz w:val="24"/>
      <w:lang w:val="fr-FR" w:eastAsia="en-US"/>
    </w:rPr>
  </w:style>
  <w:style w:type="character" w:customStyle="1" w:styleId="FooterChar">
    <w:name w:val="Footer Char"/>
    <w:basedOn w:val="DefaultParagraphFont"/>
    <w:link w:val="Footer"/>
    <w:rsid w:val="005F512D"/>
    <w:rPr>
      <w:noProof/>
      <w:sz w:val="18"/>
      <w:lang w:val="fr-FR" w:eastAsia="en-US"/>
    </w:rPr>
  </w:style>
  <w:style w:type="character" w:styleId="Hyperlink">
    <w:name w:val="Hyperlink"/>
    <w:basedOn w:val="DefaultParagraphFont"/>
    <w:rsid w:val="005F512D"/>
    <w:rPr>
      <w:color w:val="0000FF"/>
      <w:u w:val="single"/>
    </w:rPr>
  </w:style>
  <w:style w:type="character" w:customStyle="1" w:styleId="FootnoteTextChar">
    <w:name w:val="Footnote Text Char"/>
    <w:basedOn w:val="DefaultParagraphFont"/>
    <w:link w:val="FootnoteText"/>
    <w:rsid w:val="005F512D"/>
    <w:rPr>
      <w:sz w:val="22"/>
      <w:lang w:val="fr-FR" w:eastAsia="en-US"/>
    </w:rPr>
  </w:style>
  <w:style w:type="character" w:customStyle="1" w:styleId="TabletextChar">
    <w:name w:val="Table_text Char"/>
    <w:basedOn w:val="DefaultParagraphFont"/>
    <w:link w:val="Tabletext"/>
    <w:locked/>
    <w:rsid w:val="005F512D"/>
    <w:rPr>
      <w:sz w:val="22"/>
      <w:lang w:val="fr-FR" w:eastAsia="en-US"/>
    </w:rPr>
  </w:style>
  <w:style w:type="character" w:customStyle="1" w:styleId="RectitleChar">
    <w:name w:val="Rec_title Char"/>
    <w:link w:val="Rectitle"/>
    <w:locked/>
    <w:rsid w:val="005F512D"/>
    <w:rPr>
      <w:b/>
      <w:sz w:val="28"/>
      <w:lang w:val="fr-FR" w:eastAsia="en-US"/>
    </w:rPr>
  </w:style>
  <w:style w:type="character" w:customStyle="1" w:styleId="CallChar">
    <w:name w:val="Call Char"/>
    <w:basedOn w:val="DefaultParagraphFont"/>
    <w:link w:val="Call"/>
    <w:locked/>
    <w:rsid w:val="005F512D"/>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oleObject" Target="embeddings/oleObject5.bin"/><Relationship Id="rId7" Type="http://schemas.openxmlformats.org/officeDocument/2006/relationships/header" Target="header2.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10" Type="http://schemas.openxmlformats.org/officeDocument/2006/relationships/header" Target="header3.xml"/><Relationship Id="rId19" Type="http://schemas.openxmlformats.org/officeDocument/2006/relationships/oleObject" Target="embeddings/oleObject4.bin"/><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61</TotalTime>
  <Pages>11</Pages>
  <Words>2042</Words>
  <Characters>11646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Yonga Omondi, Rose</cp:lastModifiedBy>
  <cp:revision>26</cp:revision>
  <cp:lastPrinted>2015-11-06T14:39:00Z</cp:lastPrinted>
  <dcterms:created xsi:type="dcterms:W3CDTF">2015-10-16T14:18:00Z</dcterms:created>
  <dcterms:modified xsi:type="dcterms:W3CDTF">2015-11-06T14:39:00Z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