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099" w:rsidRPr="001F6099" w:rsidRDefault="001F6099" w:rsidP="00B76D48">
      <w:pPr>
        <w:pStyle w:val="RecNo"/>
        <w:spacing w:before="0"/>
        <w:rPr>
          <w:lang w:val="en-US"/>
        </w:rPr>
      </w:pPr>
      <w:bookmarkStart w:id="0" w:name="_GoBack"/>
      <w:bookmarkEnd w:id="0"/>
      <w:r w:rsidRPr="001F6099">
        <w:rPr>
          <w:lang w:val="en-US"/>
        </w:rPr>
        <w:t xml:space="preserve">RECOMMENDATION </w:t>
      </w:r>
      <w:r w:rsidR="00B62FA8">
        <w:rPr>
          <w:lang w:val="en-US"/>
        </w:rPr>
        <w:t xml:space="preserve"> </w:t>
      </w:r>
      <w:r w:rsidRPr="00B62FA8">
        <w:rPr>
          <w:rStyle w:val="href"/>
        </w:rPr>
        <w:t>ITU-R</w:t>
      </w:r>
      <w:r w:rsidR="00B62FA8" w:rsidRPr="00B62FA8">
        <w:rPr>
          <w:rStyle w:val="href"/>
        </w:rPr>
        <w:t xml:space="preserve"> </w:t>
      </w:r>
      <w:r w:rsidRPr="00B62FA8">
        <w:rPr>
          <w:rStyle w:val="href"/>
        </w:rPr>
        <w:t xml:space="preserve"> BT.</w:t>
      </w:r>
      <w:r w:rsidR="00B62FA8" w:rsidRPr="00B62FA8">
        <w:rPr>
          <w:rStyle w:val="href"/>
        </w:rPr>
        <w:t>1832</w:t>
      </w:r>
      <w:r w:rsidR="00B76D48">
        <w:rPr>
          <w:rStyle w:val="FootnoteReference"/>
        </w:rPr>
        <w:footnoteReference w:customMarkFollows="1" w:id="1"/>
        <w:t>*</w:t>
      </w:r>
    </w:p>
    <w:p w:rsidR="001F6099" w:rsidRDefault="001F6099" w:rsidP="001F6099">
      <w:pPr>
        <w:pStyle w:val="Rectitle"/>
        <w:rPr>
          <w:lang w:val="en-US"/>
        </w:rPr>
      </w:pPr>
      <w:r w:rsidRPr="001F6099">
        <w:rPr>
          <w:lang w:val="en-US"/>
        </w:rPr>
        <w:t xml:space="preserve">Digital </w:t>
      </w:r>
      <w:r w:rsidR="00DA4D7A" w:rsidRPr="001F6099">
        <w:rPr>
          <w:lang w:val="en-US"/>
        </w:rPr>
        <w:t>v</w:t>
      </w:r>
      <w:r w:rsidRPr="001F6099">
        <w:rPr>
          <w:lang w:val="en-US"/>
        </w:rPr>
        <w:t xml:space="preserve">ideo </w:t>
      </w:r>
      <w:r w:rsidR="00DA4D7A" w:rsidRPr="001F6099">
        <w:rPr>
          <w:lang w:val="en-US"/>
        </w:rPr>
        <w:t>b</w:t>
      </w:r>
      <w:r w:rsidRPr="001F6099">
        <w:rPr>
          <w:lang w:val="en-US"/>
        </w:rPr>
        <w:t>roadcast-</w:t>
      </w:r>
      <w:r w:rsidR="00DA4D7A" w:rsidRPr="001F6099">
        <w:rPr>
          <w:lang w:val="en-US"/>
        </w:rPr>
        <w:t>r</w:t>
      </w:r>
      <w:r w:rsidRPr="001F6099">
        <w:rPr>
          <w:lang w:val="en-US"/>
        </w:rPr>
        <w:t xml:space="preserve">eturn </w:t>
      </w:r>
      <w:r w:rsidR="00DA4D7A" w:rsidRPr="001F6099">
        <w:rPr>
          <w:lang w:val="en-US"/>
        </w:rPr>
        <w:t>c</w:t>
      </w:r>
      <w:r w:rsidRPr="001F6099">
        <w:rPr>
          <w:lang w:val="en-US"/>
        </w:rPr>
        <w:t xml:space="preserve">hannel </w:t>
      </w:r>
      <w:r w:rsidR="00DA4D7A" w:rsidRPr="001F6099">
        <w:rPr>
          <w:lang w:val="en-US"/>
        </w:rPr>
        <w:t>t</w:t>
      </w:r>
      <w:r w:rsidRPr="001F6099">
        <w:rPr>
          <w:lang w:val="en-US"/>
        </w:rPr>
        <w:t>errestrial (DVB-RCT)</w:t>
      </w:r>
      <w:r w:rsidRPr="001F6099">
        <w:rPr>
          <w:lang w:val="en-US"/>
        </w:rPr>
        <w:br/>
        <w:t>deployment scenarios and planning considerations</w:t>
      </w:r>
    </w:p>
    <w:p w:rsidR="00DE0ED3" w:rsidRDefault="00DE0ED3" w:rsidP="00DE0ED3">
      <w:pPr>
        <w:pStyle w:val="Recref"/>
        <w:rPr>
          <w:lang w:val="en-US"/>
        </w:rPr>
      </w:pPr>
      <w:r w:rsidRPr="00AA55C6">
        <w:rPr>
          <w:lang w:eastAsia="ja-JP"/>
        </w:rPr>
        <w:t>(Question ITU-R 16/6)</w:t>
      </w:r>
    </w:p>
    <w:p w:rsidR="00DE0ED3" w:rsidRPr="00DE0ED3" w:rsidRDefault="005D7A9D" w:rsidP="00DE0ED3">
      <w:pPr>
        <w:pStyle w:val="Recdate"/>
        <w:rPr>
          <w:lang w:val="en-US"/>
        </w:rPr>
      </w:pPr>
      <w:r>
        <w:rPr>
          <w:lang w:val="en-US"/>
        </w:rPr>
        <w:t>(2007)</w:t>
      </w:r>
    </w:p>
    <w:p w:rsidR="001F6099" w:rsidRPr="005D7A9D" w:rsidRDefault="001F6099" w:rsidP="00DE0ED3">
      <w:pPr>
        <w:pStyle w:val="HeadingSum"/>
        <w:rPr>
          <w:lang w:val="en-US" w:eastAsia="ja-JP"/>
        </w:rPr>
      </w:pPr>
      <w:r w:rsidRPr="005D7A9D">
        <w:rPr>
          <w:lang w:val="en-US" w:eastAsia="ja-JP"/>
        </w:rPr>
        <w:t>Scope</w:t>
      </w:r>
    </w:p>
    <w:p w:rsidR="001F6099" w:rsidRPr="005D7A9D" w:rsidRDefault="001F6099" w:rsidP="005D7A9D">
      <w:pPr>
        <w:pStyle w:val="Summary"/>
        <w:rPr>
          <w:lang w:val="en-US" w:eastAsia="ja-JP"/>
        </w:rPr>
      </w:pPr>
      <w:r w:rsidRPr="005D7A9D">
        <w:rPr>
          <w:lang w:val="en-US" w:eastAsia="ja-JP"/>
        </w:rPr>
        <w:t xml:space="preserve">This </w:t>
      </w:r>
      <w:r w:rsidR="005D7A9D" w:rsidRPr="005D7A9D">
        <w:rPr>
          <w:lang w:val="en-US" w:eastAsia="ja-JP"/>
        </w:rPr>
        <w:t xml:space="preserve">Recommendation </w:t>
      </w:r>
      <w:r w:rsidRPr="005D7A9D">
        <w:rPr>
          <w:lang w:val="en-US" w:eastAsia="ja-JP"/>
        </w:rPr>
        <w:t xml:space="preserve">sets forth some deployment scenarios and considerations to assist regulators whose task it will be to allocate spectrum for interactive return paths employing the </w:t>
      </w:r>
      <w:r w:rsidR="005D7A9D" w:rsidRPr="005D7A9D">
        <w:rPr>
          <w:lang w:val="en-US"/>
        </w:rPr>
        <w:t>digital video broadcast-return channel terrestrial</w:t>
      </w:r>
      <w:r w:rsidR="005D7A9D" w:rsidRPr="005D7A9D">
        <w:rPr>
          <w:lang w:val="en-US" w:eastAsia="ja-JP"/>
        </w:rPr>
        <w:t xml:space="preserve"> </w:t>
      </w:r>
      <w:r w:rsidRPr="005D7A9D">
        <w:rPr>
          <w:lang w:val="en-US" w:eastAsia="ja-JP"/>
        </w:rPr>
        <w:t>(DVB-RCT) system.</w:t>
      </w:r>
    </w:p>
    <w:p w:rsidR="001F6099" w:rsidRPr="001F6099" w:rsidRDefault="001F6099" w:rsidP="001F6099">
      <w:pPr>
        <w:pStyle w:val="Normalaftertitle"/>
        <w:rPr>
          <w:lang w:val="en-US"/>
        </w:rPr>
      </w:pPr>
      <w:r w:rsidRPr="001F6099">
        <w:rPr>
          <w:lang w:val="en-US"/>
        </w:rPr>
        <w:t>The ITU Radiocommunication Assembly,</w:t>
      </w:r>
    </w:p>
    <w:p w:rsidR="001F6099" w:rsidRPr="001F6099" w:rsidRDefault="001F6099" w:rsidP="001F6099">
      <w:pPr>
        <w:pStyle w:val="Call"/>
        <w:rPr>
          <w:lang w:val="en-US"/>
        </w:rPr>
      </w:pPr>
      <w:r w:rsidRPr="001F6099">
        <w:rPr>
          <w:lang w:val="en-US"/>
        </w:rPr>
        <w:t>considering</w:t>
      </w:r>
    </w:p>
    <w:p w:rsidR="001F6099" w:rsidRPr="00AA55C6" w:rsidRDefault="001F6099" w:rsidP="001F6099">
      <w:r w:rsidRPr="00AA55C6">
        <w:t>a)</w:t>
      </w:r>
      <w:r w:rsidRPr="00AA55C6">
        <w:tab/>
        <w:t>that the DVB-RCT is a telecommunication system, designed to operate in conjunction with the digital terrestrial television broadcasting system, DVB-T, to provide it with a return path and interactive application capabilities;</w:t>
      </w:r>
    </w:p>
    <w:p w:rsidR="001F6099" w:rsidRPr="00AA55C6" w:rsidRDefault="001F6099" w:rsidP="001F6099">
      <w:r w:rsidRPr="00AA55C6">
        <w:t>b)</w:t>
      </w:r>
      <w:r w:rsidRPr="00AA55C6">
        <w:tab/>
        <w:t xml:space="preserve">that Recommendations ITU-R </w:t>
      </w:r>
      <w:r w:rsidR="005D7A9D">
        <w:t>BT.</w:t>
      </w:r>
      <w:r w:rsidRPr="00AA55C6">
        <w:t>1306-1 and ITU</w:t>
      </w:r>
      <w:r w:rsidRPr="001F6099">
        <w:t xml:space="preserve">-R BT.1667, together with the cross-reference </w:t>
      </w:r>
      <w:r w:rsidRPr="00AA55C6">
        <w:t>ETSI EN 301 958 V.1.1.1</w:t>
      </w:r>
      <w:r>
        <w:t xml:space="preserve"> (2002/03), have already identified potential system characteristics for the return path;</w:t>
      </w:r>
    </w:p>
    <w:p w:rsidR="001F6099" w:rsidRPr="00AA55C6" w:rsidRDefault="001F6099" w:rsidP="001F6099">
      <w:r w:rsidRPr="00AA55C6">
        <w:t>c)</w:t>
      </w:r>
      <w:r w:rsidRPr="00AA55C6">
        <w:tab/>
        <w:t>that the return path can optionally be deployed as described in Annex 1 to provide a high-spectrum efficiency and spectrum reuse;</w:t>
      </w:r>
    </w:p>
    <w:p w:rsidR="001F6099" w:rsidRPr="00AA55C6" w:rsidRDefault="001F6099" w:rsidP="001F6099">
      <w:r w:rsidRPr="00AA55C6">
        <w:t>d)</w:t>
      </w:r>
      <w:r w:rsidRPr="00AA55C6">
        <w:tab/>
        <w:t xml:space="preserve">that the </w:t>
      </w:r>
      <w:r w:rsidR="005D7A9D" w:rsidRPr="00AA55C6">
        <w:t xml:space="preserve">orthogonal frequency division multiplex access </w:t>
      </w:r>
      <w:r w:rsidRPr="00AA55C6">
        <w:t>(OFDMA) technology for the return path of DVB-RCT has an inherent flexibility and scalability, as it enables to trade-off the throughput (per user), capacity (number of users supported), available links and cell size. These features are implemented with adaptive modulation and coding together with power concentration in sub-path assignments, bringing about system gain from user sites;</w:t>
      </w:r>
    </w:p>
    <w:p w:rsidR="001F6099" w:rsidRPr="00AA55C6" w:rsidRDefault="001F6099" w:rsidP="001F6099">
      <w:r w:rsidRPr="00AA55C6">
        <w:t>e)</w:t>
      </w:r>
      <w:r w:rsidRPr="00AA55C6">
        <w:tab/>
        <w:t>that DVB-RCT performance has been successfully tested in the field with several pilot systems in several countries. These systems involved different interactive applications, deployed to validate sharing of the return path among large numbers of users;</w:t>
      </w:r>
    </w:p>
    <w:p w:rsidR="001F6099" w:rsidRPr="00AA55C6" w:rsidRDefault="001F6099" w:rsidP="001F6099">
      <w:r w:rsidRPr="00AA55C6">
        <w:t>f)</w:t>
      </w:r>
      <w:r w:rsidRPr="00AA55C6">
        <w:tab/>
        <w:t>that DVB-RCT is capable of high efficiency and large system capacity. It can be an optimum solution for deployment in large cells in underserved and rural areas, thus helping to bridge the digital divide</w:t>
      </w:r>
      <w:r w:rsidR="00B76D48">
        <w:rPr>
          <w:rStyle w:val="FootnoteReference"/>
        </w:rPr>
        <w:footnoteReference w:id="2"/>
      </w:r>
      <w:r w:rsidRPr="00AA55C6">
        <w:t>,</w:t>
      </w:r>
    </w:p>
    <w:p w:rsidR="001F6099" w:rsidRPr="001F6099" w:rsidRDefault="001F6099" w:rsidP="001F6099">
      <w:pPr>
        <w:pStyle w:val="Call"/>
        <w:rPr>
          <w:lang w:val="en-US"/>
        </w:rPr>
      </w:pPr>
      <w:r w:rsidRPr="001F6099">
        <w:rPr>
          <w:lang w:val="en-US"/>
        </w:rPr>
        <w:t>recommends</w:t>
      </w:r>
    </w:p>
    <w:p w:rsidR="001F6099" w:rsidRPr="00AA55C6" w:rsidRDefault="001F6099" w:rsidP="001F6099">
      <w:r w:rsidRPr="00AA55C6">
        <w:rPr>
          <w:b/>
          <w:bCs/>
        </w:rPr>
        <w:t>1</w:t>
      </w:r>
      <w:r w:rsidRPr="00AA55C6">
        <w:tab/>
        <w:t>that the planning for deployment of DVB-RCT should take into account the planning considerations as described in Annex 1;</w:t>
      </w:r>
    </w:p>
    <w:p w:rsidR="001F6099" w:rsidRPr="00AA55C6" w:rsidRDefault="001F6099" w:rsidP="001F6099">
      <w:r w:rsidRPr="00AA55C6">
        <w:rPr>
          <w:b/>
          <w:bCs/>
        </w:rPr>
        <w:lastRenderedPageBreak/>
        <w:t>2</w:t>
      </w:r>
      <w:r w:rsidRPr="00AA55C6">
        <w:tab/>
        <w:t>that the DVB-RCT system performance data and possible deployment scenarios can be used as a basis for future co</w:t>
      </w:r>
      <w:r w:rsidRPr="00AA55C6">
        <w:noBreakHyphen/>
        <w:t>existence studies without interference to primary services;</w:t>
      </w:r>
    </w:p>
    <w:p w:rsidR="001F6099" w:rsidRDefault="001F6099" w:rsidP="001F6099">
      <w:r w:rsidRPr="00AA55C6">
        <w:rPr>
          <w:b/>
          <w:bCs/>
        </w:rPr>
        <w:t>3</w:t>
      </w:r>
      <w:r w:rsidRPr="00AA55C6">
        <w:tab/>
        <w:t>that pertinent measurement results, obtained from the field, should be used to update cell capacity and efficiency analysis defined in Annex 1.</w:t>
      </w:r>
    </w:p>
    <w:p w:rsidR="00CC03C0" w:rsidRPr="00AA55C6" w:rsidRDefault="00CC03C0" w:rsidP="00CC03C0">
      <w:pPr>
        <w:pStyle w:val="AnnexNoTitle"/>
      </w:pPr>
      <w:r w:rsidRPr="00AA55C6">
        <w:rPr>
          <w:szCs w:val="28"/>
        </w:rPr>
        <w:t>Annex 1</w:t>
      </w:r>
      <w:r w:rsidRPr="00AA55C6">
        <w:rPr>
          <w:szCs w:val="28"/>
        </w:rPr>
        <w:br/>
      </w:r>
      <w:r w:rsidRPr="00AA55C6">
        <w:rPr>
          <w:szCs w:val="28"/>
        </w:rPr>
        <w:br/>
      </w:r>
      <w:r w:rsidRPr="00AA55C6">
        <w:t>DVB-RCT deployment scenarios and planning considerations</w:t>
      </w:r>
    </w:p>
    <w:p w:rsidR="00CC03C0" w:rsidRPr="00AA55C6" w:rsidRDefault="00CC03C0" w:rsidP="00CC03C0">
      <w:pPr>
        <w:pStyle w:val="Heading1"/>
      </w:pPr>
      <w:r w:rsidRPr="00AA55C6">
        <w:t>1</w:t>
      </w:r>
      <w:r w:rsidRPr="00AA55C6">
        <w:tab/>
        <w:t>DVB_RCT system data</w:t>
      </w:r>
    </w:p>
    <w:p w:rsidR="00CC03C0" w:rsidRPr="00AA55C6" w:rsidRDefault="00CC03C0" w:rsidP="00CC03C0">
      <w:pPr>
        <w:pStyle w:val="Heading2"/>
      </w:pPr>
      <w:r w:rsidRPr="00AA55C6">
        <w:t>1.1</w:t>
      </w:r>
      <w:r w:rsidRPr="00AA55C6">
        <w:tab/>
        <w:t>System parameters</w:t>
      </w:r>
    </w:p>
    <w:p w:rsidR="00CC03C0" w:rsidRPr="00AA55C6" w:rsidRDefault="00CC03C0" w:rsidP="00CC03C0">
      <w:r w:rsidRPr="00AA55C6">
        <w:t>The main parameters of the DVB-RCT system, as described in Recommendation ITU</w:t>
      </w:r>
      <w:r w:rsidRPr="00AA55C6">
        <w:noBreakHyphen/>
        <w:t>R </w:t>
      </w:r>
      <w:r w:rsidRPr="00F305CD">
        <w:t>BT.1667, Annex 1,</w:t>
      </w:r>
      <w:r w:rsidRPr="00AA55C6">
        <w:t xml:space="preserve"> are:</w:t>
      </w:r>
    </w:p>
    <w:p w:rsidR="00CC03C0" w:rsidRPr="00CC03C0" w:rsidRDefault="005D7A9D" w:rsidP="00CC03C0">
      <w:pPr>
        <w:pStyle w:val="enumlev1"/>
        <w:ind w:left="4820" w:hanging="4820"/>
        <w:rPr>
          <w:lang w:val="en-US"/>
        </w:rPr>
      </w:pPr>
      <w:r>
        <w:rPr>
          <w:lang w:val="en-US"/>
        </w:rPr>
        <w:t>–</w:t>
      </w:r>
      <w:r w:rsidR="00CC03C0" w:rsidRPr="00CC03C0">
        <w:rPr>
          <w:lang w:val="en-US"/>
        </w:rPr>
        <w:tab/>
        <w:t>Forward broadcasting path frequency</w:t>
      </w:r>
      <w:r w:rsidR="00CC03C0" w:rsidRPr="00CC03C0">
        <w:rPr>
          <w:lang w:val="en-US"/>
        </w:rPr>
        <w:tab/>
        <w:t>VHF: 170 MHz to 230 MHz (174-230 MHz)</w:t>
      </w:r>
      <w:r w:rsidR="00CC03C0" w:rsidRPr="00CC03C0">
        <w:rPr>
          <w:lang w:val="en-US"/>
        </w:rPr>
        <w:br/>
        <w:t>UHF: 470 MHz to 860 MHz (470-862 MHz)</w:t>
      </w:r>
    </w:p>
    <w:p w:rsidR="00CC03C0" w:rsidRPr="00CC03C0" w:rsidRDefault="005D7A9D" w:rsidP="00CC03C0">
      <w:pPr>
        <w:pStyle w:val="enumlev1"/>
        <w:rPr>
          <w:lang w:val="en-US"/>
        </w:rPr>
      </w:pPr>
      <w:r>
        <w:rPr>
          <w:lang w:val="en-US"/>
        </w:rPr>
        <w:t>–</w:t>
      </w:r>
      <w:r w:rsidR="00CC03C0" w:rsidRPr="00CC03C0">
        <w:rPr>
          <w:lang w:val="en-US"/>
        </w:rPr>
        <w:tab/>
        <w:t>Return transmission power: 20 dBm (typ.) to 30 dBm (max.)</w:t>
      </w:r>
    </w:p>
    <w:p w:rsidR="00CC03C0" w:rsidRPr="00CC03C0" w:rsidRDefault="005D7A9D" w:rsidP="005D7A9D">
      <w:pPr>
        <w:pStyle w:val="enumlev1"/>
        <w:tabs>
          <w:tab w:val="clear" w:pos="1985"/>
          <w:tab w:val="left" w:pos="2127"/>
        </w:tabs>
        <w:jc w:val="left"/>
        <w:rPr>
          <w:lang w:val="en-US"/>
        </w:rPr>
      </w:pPr>
      <w:r>
        <w:rPr>
          <w:lang w:val="en-US"/>
        </w:rPr>
        <w:t>–</w:t>
      </w:r>
      <w:r w:rsidR="00CC03C0" w:rsidRPr="00CC03C0">
        <w:rPr>
          <w:lang w:val="en-US"/>
        </w:rPr>
        <w:tab/>
        <w:t>Return antenna gain:</w:t>
      </w:r>
      <w:r w:rsidR="00CC03C0" w:rsidRPr="00CC03C0">
        <w:rPr>
          <w:lang w:val="en-US"/>
        </w:rPr>
        <w:tab/>
        <w:t xml:space="preserve">13 dBi (directional) </w:t>
      </w:r>
      <w:r w:rsidR="00CC03C0" w:rsidRPr="00CC03C0">
        <w:rPr>
          <w:lang w:val="en-US"/>
        </w:rPr>
        <w:br/>
        <w:t>User antenna gain:</w:t>
      </w:r>
      <w:r w:rsidR="00CC03C0" w:rsidRPr="00CC03C0">
        <w:rPr>
          <w:lang w:val="en-US"/>
        </w:rPr>
        <w:tab/>
        <w:t>3 dBi (omnidirectional)</w:t>
      </w:r>
    </w:p>
    <w:p w:rsidR="00CC03C0" w:rsidRPr="00CC03C0" w:rsidRDefault="005D7A9D" w:rsidP="00CC03C0">
      <w:pPr>
        <w:pStyle w:val="enumlev1"/>
        <w:rPr>
          <w:lang w:val="en-US"/>
        </w:rPr>
      </w:pPr>
      <w:r>
        <w:rPr>
          <w:lang w:val="en-US"/>
        </w:rPr>
        <w:t>–</w:t>
      </w:r>
      <w:r w:rsidR="00CC03C0" w:rsidRPr="00CC03C0">
        <w:rPr>
          <w:lang w:val="en-US"/>
        </w:rPr>
        <w:tab/>
        <w:t>Base station receiver sensitivity</w:t>
      </w:r>
    </w:p>
    <w:p w:rsidR="00CC03C0" w:rsidRPr="00CC03C0" w:rsidRDefault="00CC03C0" w:rsidP="005D7A9D">
      <w:pPr>
        <w:pStyle w:val="enumlev2"/>
        <w:rPr>
          <w:lang w:val="en-US"/>
        </w:rPr>
      </w:pPr>
      <w:r w:rsidRPr="00CC03C0">
        <w:rPr>
          <w:lang w:val="en-US"/>
        </w:rPr>
        <w:t>–</w:t>
      </w:r>
      <w:r w:rsidRPr="00CC03C0">
        <w:rPr>
          <w:lang w:val="en-US"/>
        </w:rPr>
        <w:tab/>
        <w:t>Rural fixed, 1 kHz spacing, 4</w:t>
      </w:r>
      <w:r w:rsidR="005D7A9D">
        <w:rPr>
          <w:lang w:val="en-US"/>
        </w:rPr>
        <w:t>-</w:t>
      </w:r>
      <w:r w:rsidRPr="00CC03C0">
        <w:rPr>
          <w:lang w:val="en-US"/>
        </w:rPr>
        <w:t>QAM 1/2: –135 dBm</w:t>
      </w:r>
    </w:p>
    <w:p w:rsidR="00CC03C0" w:rsidRPr="00CC03C0" w:rsidRDefault="00CC03C0" w:rsidP="005D7A9D">
      <w:pPr>
        <w:pStyle w:val="enumlev2"/>
        <w:rPr>
          <w:lang w:val="en-US"/>
        </w:rPr>
      </w:pPr>
      <w:r w:rsidRPr="00CC03C0">
        <w:rPr>
          <w:lang w:val="en-US"/>
        </w:rPr>
        <w:t>–</w:t>
      </w:r>
      <w:r w:rsidRPr="00CC03C0">
        <w:rPr>
          <w:lang w:val="en-US"/>
        </w:rPr>
        <w:tab/>
        <w:t>Urban/portable 4 kHz spacing, 64</w:t>
      </w:r>
      <w:r w:rsidR="005D7A9D">
        <w:rPr>
          <w:lang w:val="en-US"/>
        </w:rPr>
        <w:t>-</w:t>
      </w:r>
      <w:r w:rsidRPr="00CC03C0">
        <w:rPr>
          <w:lang w:val="en-US"/>
        </w:rPr>
        <w:t>QAM 3/4: –109 dBm</w:t>
      </w:r>
    </w:p>
    <w:p w:rsidR="00CC03C0" w:rsidRPr="00CC03C0" w:rsidRDefault="005D7A9D" w:rsidP="00CC03C0">
      <w:pPr>
        <w:pStyle w:val="enumlev1"/>
        <w:rPr>
          <w:lang w:val="en-US"/>
        </w:rPr>
      </w:pPr>
      <w:r>
        <w:rPr>
          <w:lang w:val="en-US"/>
        </w:rPr>
        <w:t>–</w:t>
      </w:r>
      <w:r w:rsidR="00CC03C0" w:rsidRPr="00CC03C0">
        <w:rPr>
          <w:lang w:val="en-US"/>
        </w:rPr>
        <w:tab/>
        <w:t xml:space="preserve">Base station operational </w:t>
      </w:r>
      <w:r w:rsidR="00CC03C0" w:rsidRPr="00CC03C0">
        <w:rPr>
          <w:i/>
          <w:iCs/>
          <w:lang w:val="en-US"/>
        </w:rPr>
        <w:t>C</w:t>
      </w:r>
      <w:r w:rsidR="00CC03C0" w:rsidRPr="00CC03C0">
        <w:rPr>
          <w:lang w:val="en-US"/>
        </w:rPr>
        <w:t>/</w:t>
      </w:r>
      <w:r w:rsidR="00CC03C0" w:rsidRPr="00CC03C0">
        <w:rPr>
          <w:i/>
          <w:iCs/>
          <w:lang w:val="en-US"/>
        </w:rPr>
        <w:t>N</w:t>
      </w:r>
    </w:p>
    <w:p w:rsidR="00CC03C0" w:rsidRPr="00CC03C0" w:rsidRDefault="00CC03C0" w:rsidP="005D7A9D">
      <w:pPr>
        <w:pStyle w:val="enumlev2"/>
        <w:rPr>
          <w:lang w:val="en-US"/>
        </w:rPr>
      </w:pPr>
      <w:r w:rsidRPr="00CC03C0">
        <w:rPr>
          <w:lang w:val="en-US"/>
        </w:rPr>
        <w:t>–</w:t>
      </w:r>
      <w:r w:rsidRPr="00CC03C0">
        <w:rPr>
          <w:lang w:val="en-US"/>
        </w:rPr>
        <w:tab/>
        <w:t>Rural fixed, 1 kHz spacing, 4</w:t>
      </w:r>
      <w:r w:rsidR="005D7A9D">
        <w:rPr>
          <w:lang w:val="en-US"/>
        </w:rPr>
        <w:t>-</w:t>
      </w:r>
      <w:r w:rsidRPr="00CC03C0">
        <w:rPr>
          <w:lang w:val="en-US"/>
        </w:rPr>
        <w:t>QAM 1/2: 5 dB</w:t>
      </w:r>
    </w:p>
    <w:p w:rsidR="00CC03C0" w:rsidRPr="00CC03C0" w:rsidRDefault="00CC03C0" w:rsidP="005D7A9D">
      <w:pPr>
        <w:pStyle w:val="enumlev2"/>
        <w:numPr>
          <w:ilvl w:val="0"/>
          <w:numId w:val="1"/>
        </w:numPr>
        <w:jc w:val="left"/>
        <w:rPr>
          <w:lang w:val="en-US"/>
        </w:rPr>
      </w:pPr>
      <w:r w:rsidRPr="00CC03C0">
        <w:rPr>
          <w:lang w:val="en-US"/>
        </w:rPr>
        <w:t>Urban/portable 4 kHz spacing, 64</w:t>
      </w:r>
      <w:r w:rsidR="005D7A9D">
        <w:rPr>
          <w:lang w:val="en-US"/>
        </w:rPr>
        <w:t>-</w:t>
      </w:r>
      <w:r w:rsidRPr="00CC03C0">
        <w:rPr>
          <w:lang w:val="en-US"/>
        </w:rPr>
        <w:t>QAM 3/4: 22 dB.</w:t>
      </w:r>
    </w:p>
    <w:p w:rsidR="003A31E5" w:rsidRDefault="00CC03C0" w:rsidP="00CC03C0">
      <w:pPr>
        <w:rPr>
          <w:lang w:val="en-US"/>
        </w:rPr>
      </w:pPr>
      <w:r w:rsidRPr="00AA55C6">
        <w:t>The return path transmission power spectrum mask is shown in Fig. 1.</w:t>
      </w:r>
    </w:p>
    <w:p w:rsidR="00CC03C0" w:rsidRPr="00AA55C6" w:rsidRDefault="00CC03C0" w:rsidP="00CC03C0">
      <w:pPr>
        <w:pStyle w:val="FigureNo"/>
      </w:pPr>
      <w:r w:rsidRPr="00AA55C6">
        <w:lastRenderedPageBreak/>
        <w:t>Figure 1</w:t>
      </w:r>
    </w:p>
    <w:p w:rsidR="00CC03C0" w:rsidRPr="00AA55C6" w:rsidRDefault="00CC03C0" w:rsidP="00CC03C0">
      <w:pPr>
        <w:pStyle w:val="Figuretitle"/>
      </w:pPr>
      <w:r w:rsidRPr="00AA55C6">
        <w:t>Return path RCT spectrum mask</w:t>
      </w:r>
    </w:p>
    <w:p w:rsidR="003A31E5" w:rsidRDefault="00FC2184" w:rsidP="00FC2184">
      <w:pPr>
        <w:pStyle w:val="Figure"/>
        <w:rPr>
          <w:lang w:val="en-US"/>
        </w:rPr>
      </w:pPr>
      <w:r>
        <w:object w:dxaOrig="8975" w:dyaOrig="49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8.1pt;height:249.3pt" o:ole="" o:allowoverlap="f">
            <v:imagedata r:id="rId8" o:title=""/>
          </v:shape>
          <o:OLEObject Type="Embed" ProgID="CorelDRAW.Graphic.12" ShapeID="_x0000_i1025" DrawAspect="Content" ObjectID="_1556629199" r:id="rId9"/>
        </w:object>
      </w:r>
    </w:p>
    <w:p w:rsidR="00E57E5C" w:rsidRPr="00AA55C6" w:rsidRDefault="00E57E5C" w:rsidP="00E57E5C">
      <w:pPr>
        <w:pStyle w:val="Normalaftertitle"/>
      </w:pPr>
      <w:r w:rsidRPr="00AA55C6">
        <w:t xml:space="preserve">In Fig. 1, </w:t>
      </w:r>
      <w:r w:rsidRPr="00AA55C6">
        <w:rPr>
          <w:i/>
          <w:iCs/>
        </w:rPr>
        <w:t>f</w:t>
      </w:r>
      <w:r w:rsidRPr="00801E6B">
        <w:rPr>
          <w:vertAlign w:val="subscript"/>
        </w:rPr>
        <w:t>0</w:t>
      </w:r>
      <w:r w:rsidRPr="00AA55C6">
        <w:t xml:space="preserve"> indicates the central frequency, </w:t>
      </w:r>
      <w:r w:rsidRPr="00AA55C6">
        <w:sym w:font="Symbol" w:char="F044"/>
      </w:r>
      <w:r w:rsidRPr="00801E6B">
        <w:rPr>
          <w:i/>
          <w:iCs/>
        </w:rPr>
        <w:t xml:space="preserve"> </w:t>
      </w:r>
      <w:r w:rsidRPr="00AA55C6">
        <w:rPr>
          <w:i/>
          <w:iCs/>
        </w:rPr>
        <w:t>f</w:t>
      </w:r>
      <w:r w:rsidRPr="00801E6B">
        <w:rPr>
          <w:vertAlign w:val="subscript"/>
        </w:rPr>
        <w:t>1</w:t>
      </w:r>
      <w:r w:rsidRPr="00AA55C6">
        <w:t xml:space="preserve"> = 0.375/</w:t>
      </w:r>
      <w:r w:rsidRPr="00801E6B">
        <w:rPr>
          <w:i/>
          <w:iCs/>
        </w:rPr>
        <w:t>Ts</w:t>
      </w:r>
      <w:r w:rsidRPr="00AA55C6">
        <w:t xml:space="preserve"> and </w:t>
      </w:r>
      <w:r w:rsidRPr="00AA55C6">
        <w:rPr>
          <w:rFonts w:ascii="Symbol" w:hAnsi="Symbol"/>
        </w:rPr>
        <w:t></w:t>
      </w:r>
      <w:r w:rsidRPr="00801E6B">
        <w:rPr>
          <w:i/>
          <w:iCs/>
        </w:rPr>
        <w:t xml:space="preserve"> </w:t>
      </w:r>
      <w:r w:rsidRPr="00AA55C6">
        <w:rPr>
          <w:i/>
          <w:iCs/>
        </w:rPr>
        <w:t>f</w:t>
      </w:r>
      <w:r w:rsidRPr="00801E6B">
        <w:rPr>
          <w:vertAlign w:val="subscript"/>
        </w:rPr>
        <w:t>2</w:t>
      </w:r>
      <w:r w:rsidRPr="00AA55C6">
        <w:t xml:space="preserve"> = 1.2515/</w:t>
      </w:r>
      <w:r w:rsidRPr="00AA55C6">
        <w:rPr>
          <w:i/>
          <w:iCs/>
        </w:rPr>
        <w:t>Ts</w:t>
      </w:r>
      <w:r w:rsidRPr="00AA55C6">
        <w:t xml:space="preserve">, where </w:t>
      </w:r>
      <w:r w:rsidRPr="00AA55C6">
        <w:sym w:font="Symbol" w:char="F044"/>
      </w:r>
      <w:r w:rsidRPr="00801E6B">
        <w:rPr>
          <w:i/>
          <w:iCs/>
        </w:rPr>
        <w:t xml:space="preserve"> </w:t>
      </w:r>
      <w:r w:rsidRPr="00AA55C6">
        <w:rPr>
          <w:i/>
          <w:iCs/>
        </w:rPr>
        <w:t>f</w:t>
      </w:r>
      <w:r w:rsidRPr="00AA55C6">
        <w:t xml:space="preserve"> =</w:t>
      </w:r>
      <w:r>
        <w:t xml:space="preserve"> </w:t>
      </w:r>
      <w:r w:rsidRPr="00AA55C6">
        <w:rPr>
          <w:i/>
          <w:iCs/>
        </w:rPr>
        <w:t xml:space="preserve">f </w:t>
      </w:r>
      <w:r w:rsidRPr="00801E6B">
        <w:rPr>
          <w:i/>
          <w:iCs/>
        </w:rPr>
        <w:t>–</w:t>
      </w:r>
      <w:r>
        <w:rPr>
          <w:i/>
          <w:iCs/>
        </w:rPr>
        <w:t xml:space="preserve"> </w:t>
      </w:r>
      <w:r w:rsidRPr="00AA55C6">
        <w:rPr>
          <w:i/>
          <w:iCs/>
        </w:rPr>
        <w:t>f</w:t>
      </w:r>
      <w:r w:rsidRPr="00801E6B">
        <w:rPr>
          <w:vertAlign w:val="subscript"/>
        </w:rPr>
        <w:t>0</w:t>
      </w:r>
      <w:r>
        <w:t xml:space="preserve">; and Du </w:t>
      </w:r>
      <w:r w:rsidRPr="00AA55C6">
        <w:t>is the duplex spacing and it depends on the chosen non-interference criteria and filtering technology.</w:t>
      </w:r>
    </w:p>
    <w:p w:rsidR="00E57E5C" w:rsidRPr="00AA55C6" w:rsidRDefault="00E57E5C" w:rsidP="005D7A9D">
      <w:r w:rsidRPr="00AA55C6">
        <w:t>In future analysis we suggest that for higher frequency duplex spacing the power can be reduced according to Table 1 (based on data measurements on commercialized user unit):</w:t>
      </w:r>
    </w:p>
    <w:p w:rsidR="00E57E5C" w:rsidRPr="00AA55C6" w:rsidRDefault="005D7A9D" w:rsidP="00E57E5C">
      <w:pPr>
        <w:pStyle w:val="TableNo"/>
      </w:pPr>
      <w:r w:rsidRPr="00AA55C6">
        <w:t xml:space="preserve">TABLE </w:t>
      </w:r>
      <w:r w:rsidR="00E57E5C" w:rsidRPr="00AA55C6">
        <w:t>1</w:t>
      </w:r>
    </w:p>
    <w:p w:rsidR="00E57E5C" w:rsidRPr="00AA55C6" w:rsidRDefault="00E57E5C" w:rsidP="00E57E5C">
      <w:pPr>
        <w:pStyle w:val="Tabletitle"/>
      </w:pPr>
      <w:r w:rsidRPr="00AA55C6">
        <w:t>Reduction of spectral density power as a function of frequency separation</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0"/>
        <w:gridCol w:w="1214"/>
        <w:gridCol w:w="1031"/>
        <w:gridCol w:w="1037"/>
        <w:gridCol w:w="1042"/>
        <w:gridCol w:w="1049"/>
        <w:gridCol w:w="1085"/>
      </w:tblGrid>
      <w:tr w:rsidR="00E57E5C" w:rsidRPr="00AA55C6" w:rsidTr="005D7A9D">
        <w:tblPrEx>
          <w:tblCellMar>
            <w:top w:w="0" w:type="dxa"/>
            <w:bottom w:w="0" w:type="dxa"/>
          </w:tblCellMar>
        </w:tblPrEx>
        <w:trPr>
          <w:jc w:val="center"/>
        </w:trPr>
        <w:tc>
          <w:tcPr>
            <w:tcW w:w="1395" w:type="dxa"/>
          </w:tcPr>
          <w:p w:rsidR="00E57E5C" w:rsidRPr="00AA55C6" w:rsidRDefault="00E57E5C" w:rsidP="00E57E5C">
            <w:pPr>
              <w:pStyle w:val="Tabletext"/>
            </w:pPr>
            <w:r w:rsidRPr="00AA55C6">
              <w:sym w:font="Symbol" w:char="F044"/>
            </w:r>
            <w:r w:rsidRPr="00AA55C6">
              <w:rPr>
                <w:i/>
                <w:iCs/>
              </w:rPr>
              <w:t>f</w:t>
            </w:r>
          </w:p>
        </w:tc>
        <w:tc>
          <w:tcPr>
            <w:tcW w:w="1144" w:type="dxa"/>
          </w:tcPr>
          <w:p w:rsidR="00E57E5C" w:rsidRPr="00AA55C6" w:rsidRDefault="00E57E5C" w:rsidP="00E57E5C">
            <w:pPr>
              <w:pStyle w:val="Tabletext"/>
              <w:jc w:val="center"/>
            </w:pPr>
            <w:r w:rsidRPr="00AA55C6">
              <w:t>16 MHz</w:t>
            </w:r>
          </w:p>
        </w:tc>
        <w:tc>
          <w:tcPr>
            <w:tcW w:w="971" w:type="dxa"/>
          </w:tcPr>
          <w:p w:rsidR="00E57E5C" w:rsidRPr="00AA55C6" w:rsidRDefault="00E57E5C" w:rsidP="00E57E5C">
            <w:pPr>
              <w:pStyle w:val="Tabletext"/>
              <w:jc w:val="center"/>
            </w:pPr>
            <w:r w:rsidRPr="00AA55C6">
              <w:t>24 MHz</w:t>
            </w:r>
          </w:p>
        </w:tc>
        <w:tc>
          <w:tcPr>
            <w:tcW w:w="977" w:type="dxa"/>
          </w:tcPr>
          <w:p w:rsidR="00E57E5C" w:rsidRPr="00AA55C6" w:rsidRDefault="00E57E5C" w:rsidP="00E57E5C">
            <w:pPr>
              <w:pStyle w:val="Tabletext"/>
              <w:jc w:val="center"/>
            </w:pPr>
            <w:r w:rsidRPr="00AA55C6">
              <w:t>32 MHz</w:t>
            </w:r>
          </w:p>
        </w:tc>
        <w:tc>
          <w:tcPr>
            <w:tcW w:w="982" w:type="dxa"/>
          </w:tcPr>
          <w:p w:rsidR="00E57E5C" w:rsidRPr="00AA55C6" w:rsidRDefault="00E57E5C" w:rsidP="00E57E5C">
            <w:pPr>
              <w:pStyle w:val="Tabletext"/>
              <w:jc w:val="center"/>
            </w:pPr>
            <w:r w:rsidRPr="00AA55C6">
              <w:t>40 MHz</w:t>
            </w:r>
          </w:p>
        </w:tc>
        <w:tc>
          <w:tcPr>
            <w:tcW w:w="988" w:type="dxa"/>
          </w:tcPr>
          <w:p w:rsidR="00E57E5C" w:rsidRPr="00AA55C6" w:rsidRDefault="00E57E5C" w:rsidP="00E57E5C">
            <w:pPr>
              <w:pStyle w:val="Tabletext"/>
              <w:jc w:val="center"/>
            </w:pPr>
            <w:r w:rsidRPr="00AA55C6">
              <w:t>48 MHz</w:t>
            </w:r>
          </w:p>
        </w:tc>
        <w:tc>
          <w:tcPr>
            <w:tcW w:w="1022" w:type="dxa"/>
          </w:tcPr>
          <w:p w:rsidR="00E57E5C" w:rsidRPr="00AA55C6" w:rsidRDefault="00E57E5C" w:rsidP="00E57E5C">
            <w:pPr>
              <w:pStyle w:val="Tabletext"/>
              <w:jc w:val="center"/>
            </w:pPr>
            <w:r w:rsidRPr="00AA55C6">
              <w:t>56 MHz</w:t>
            </w:r>
          </w:p>
        </w:tc>
      </w:tr>
      <w:tr w:rsidR="00E57E5C" w:rsidRPr="00AA55C6" w:rsidTr="005D7A9D">
        <w:tblPrEx>
          <w:tblCellMar>
            <w:top w:w="0" w:type="dxa"/>
            <w:bottom w:w="0" w:type="dxa"/>
          </w:tblCellMar>
        </w:tblPrEx>
        <w:trPr>
          <w:jc w:val="center"/>
        </w:trPr>
        <w:tc>
          <w:tcPr>
            <w:tcW w:w="1395" w:type="dxa"/>
          </w:tcPr>
          <w:p w:rsidR="00E57E5C" w:rsidRPr="00AA55C6" w:rsidRDefault="00E57E5C" w:rsidP="00E57E5C">
            <w:pPr>
              <w:pStyle w:val="Tabletext"/>
            </w:pPr>
            <w:r w:rsidRPr="00AA55C6">
              <w:t xml:space="preserve">Attenuation </w:t>
            </w:r>
          </w:p>
        </w:tc>
        <w:tc>
          <w:tcPr>
            <w:tcW w:w="1144" w:type="dxa"/>
          </w:tcPr>
          <w:p w:rsidR="00E57E5C" w:rsidRPr="00AA55C6" w:rsidRDefault="00E57E5C" w:rsidP="00E57E5C">
            <w:pPr>
              <w:pStyle w:val="Tabletext"/>
              <w:jc w:val="center"/>
            </w:pPr>
            <w:r w:rsidRPr="00AA55C6">
              <w:t>17 dB</w:t>
            </w:r>
          </w:p>
        </w:tc>
        <w:tc>
          <w:tcPr>
            <w:tcW w:w="971" w:type="dxa"/>
          </w:tcPr>
          <w:p w:rsidR="00E57E5C" w:rsidRPr="00AA55C6" w:rsidRDefault="00E57E5C" w:rsidP="00E57E5C">
            <w:pPr>
              <w:pStyle w:val="Tabletext"/>
              <w:jc w:val="center"/>
            </w:pPr>
            <w:r w:rsidRPr="00AA55C6">
              <w:t>27 dB</w:t>
            </w:r>
          </w:p>
        </w:tc>
        <w:tc>
          <w:tcPr>
            <w:tcW w:w="977" w:type="dxa"/>
          </w:tcPr>
          <w:p w:rsidR="00E57E5C" w:rsidRPr="00AA55C6" w:rsidRDefault="00E57E5C" w:rsidP="00E57E5C">
            <w:pPr>
              <w:pStyle w:val="Tabletext"/>
              <w:jc w:val="center"/>
            </w:pPr>
            <w:r w:rsidRPr="00AA55C6">
              <w:t>37 dB</w:t>
            </w:r>
          </w:p>
        </w:tc>
        <w:tc>
          <w:tcPr>
            <w:tcW w:w="982" w:type="dxa"/>
          </w:tcPr>
          <w:p w:rsidR="00E57E5C" w:rsidRPr="00AA55C6" w:rsidRDefault="00E57E5C" w:rsidP="00E57E5C">
            <w:pPr>
              <w:pStyle w:val="Tabletext"/>
              <w:jc w:val="center"/>
            </w:pPr>
            <w:r w:rsidRPr="00AA55C6">
              <w:t>47 dB</w:t>
            </w:r>
          </w:p>
        </w:tc>
        <w:tc>
          <w:tcPr>
            <w:tcW w:w="988" w:type="dxa"/>
          </w:tcPr>
          <w:p w:rsidR="00E57E5C" w:rsidRPr="00AA55C6" w:rsidRDefault="00E57E5C" w:rsidP="00E57E5C">
            <w:pPr>
              <w:pStyle w:val="Tabletext"/>
              <w:jc w:val="center"/>
            </w:pPr>
            <w:r w:rsidRPr="00AA55C6">
              <w:t>57 dB</w:t>
            </w:r>
          </w:p>
        </w:tc>
        <w:tc>
          <w:tcPr>
            <w:tcW w:w="1022" w:type="dxa"/>
          </w:tcPr>
          <w:p w:rsidR="00E57E5C" w:rsidRPr="00AA55C6" w:rsidRDefault="00E57E5C" w:rsidP="00E57E5C">
            <w:pPr>
              <w:pStyle w:val="Tabletext"/>
              <w:jc w:val="center"/>
            </w:pPr>
            <w:r w:rsidRPr="00AA55C6">
              <w:t>62 dB</w:t>
            </w:r>
          </w:p>
        </w:tc>
      </w:tr>
    </w:tbl>
    <w:p w:rsidR="005D7A9D" w:rsidRDefault="005D7A9D" w:rsidP="005D7A9D">
      <w:pPr>
        <w:pStyle w:val="Tablefin"/>
      </w:pPr>
    </w:p>
    <w:p w:rsidR="00E57E5C" w:rsidRPr="00AA55C6" w:rsidRDefault="00E57E5C" w:rsidP="005D7A9D">
      <w:r w:rsidRPr="00AA55C6">
        <w:t>Thus the overall RCT relative interference spectral density, as a function of frequency separation, is given in Table 2.</w:t>
      </w:r>
    </w:p>
    <w:p w:rsidR="00E57E5C" w:rsidRPr="00AA55C6" w:rsidRDefault="005D7A9D" w:rsidP="00E57E5C">
      <w:pPr>
        <w:pStyle w:val="TableNo"/>
      </w:pPr>
      <w:r w:rsidRPr="00AA55C6">
        <w:t xml:space="preserve">TABLE </w:t>
      </w:r>
      <w:r w:rsidR="00E57E5C" w:rsidRPr="00AA55C6">
        <w:t>2</w:t>
      </w:r>
    </w:p>
    <w:p w:rsidR="00E57E5C" w:rsidRPr="00AA55C6" w:rsidRDefault="00E57E5C" w:rsidP="00E57E5C">
      <w:pPr>
        <w:pStyle w:val="Tabletitle"/>
      </w:pPr>
      <w:r w:rsidRPr="00AA55C6">
        <w:t xml:space="preserve">RCT relative interference spectral density, </w:t>
      </w:r>
      <w:r w:rsidRPr="00AA55C6">
        <w:rPr>
          <w:i/>
          <w:iCs/>
        </w:rPr>
        <w:t>A</w:t>
      </w:r>
      <w:r w:rsidRPr="00AA55C6">
        <w:rPr>
          <w:i/>
          <w:iCs/>
          <w:vertAlign w:val="subscript"/>
        </w:rPr>
        <w:t>f</w:t>
      </w:r>
      <w:r w:rsidRPr="00AA55C6">
        <w:t xml:space="preserve"> (dBc/kHz)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1063"/>
        <w:gridCol w:w="1022"/>
        <w:gridCol w:w="1022"/>
        <w:gridCol w:w="1023"/>
        <w:gridCol w:w="1022"/>
        <w:gridCol w:w="1022"/>
        <w:gridCol w:w="1022"/>
        <w:gridCol w:w="1168"/>
      </w:tblGrid>
      <w:tr w:rsidR="00E57E5C" w:rsidRPr="00AA55C6" w:rsidTr="005D7A9D">
        <w:tblPrEx>
          <w:tblCellMar>
            <w:top w:w="0" w:type="dxa"/>
            <w:bottom w:w="0" w:type="dxa"/>
          </w:tblCellMar>
        </w:tblPrEx>
        <w:trPr>
          <w:jc w:val="center"/>
        </w:trPr>
        <w:tc>
          <w:tcPr>
            <w:tcW w:w="1236" w:type="dxa"/>
          </w:tcPr>
          <w:p w:rsidR="00E57E5C" w:rsidRPr="005D7A9D" w:rsidRDefault="00E57E5C" w:rsidP="005D7A9D">
            <w:pPr>
              <w:pStyle w:val="Tabletext"/>
              <w:jc w:val="center"/>
            </w:pPr>
            <w:r w:rsidRPr="005D7A9D">
              <w:sym w:font="Symbol" w:char="F044"/>
            </w:r>
            <w:r w:rsidRPr="005D7A9D">
              <w:rPr>
                <w:i/>
                <w:iCs/>
              </w:rPr>
              <w:t>f</w:t>
            </w:r>
          </w:p>
        </w:tc>
        <w:tc>
          <w:tcPr>
            <w:tcW w:w="1032" w:type="dxa"/>
          </w:tcPr>
          <w:p w:rsidR="00E57E5C" w:rsidRPr="005D7A9D" w:rsidRDefault="00E57E5C" w:rsidP="005D7A9D">
            <w:pPr>
              <w:pStyle w:val="Tabletext"/>
              <w:jc w:val="center"/>
            </w:pPr>
            <w:r w:rsidRPr="005D7A9D">
              <w:t>&lt; 4 MHz</w:t>
            </w:r>
          </w:p>
        </w:tc>
        <w:tc>
          <w:tcPr>
            <w:tcW w:w="992" w:type="dxa"/>
          </w:tcPr>
          <w:p w:rsidR="00E57E5C" w:rsidRPr="005D7A9D" w:rsidRDefault="00E57E5C" w:rsidP="005D7A9D">
            <w:pPr>
              <w:pStyle w:val="Tabletext"/>
              <w:jc w:val="center"/>
            </w:pPr>
            <w:r w:rsidRPr="005D7A9D">
              <w:t>8 MHz</w:t>
            </w:r>
          </w:p>
        </w:tc>
        <w:tc>
          <w:tcPr>
            <w:tcW w:w="992" w:type="dxa"/>
          </w:tcPr>
          <w:p w:rsidR="00E57E5C" w:rsidRPr="005D7A9D" w:rsidRDefault="00E57E5C" w:rsidP="005D7A9D">
            <w:pPr>
              <w:pStyle w:val="Tabletext"/>
              <w:jc w:val="center"/>
            </w:pPr>
            <w:r w:rsidRPr="005D7A9D">
              <w:t>16 MHz</w:t>
            </w:r>
          </w:p>
        </w:tc>
        <w:tc>
          <w:tcPr>
            <w:tcW w:w="993" w:type="dxa"/>
          </w:tcPr>
          <w:p w:rsidR="00E57E5C" w:rsidRPr="005D7A9D" w:rsidRDefault="00E57E5C" w:rsidP="005D7A9D">
            <w:pPr>
              <w:pStyle w:val="Tabletext"/>
              <w:jc w:val="center"/>
            </w:pPr>
            <w:r w:rsidRPr="005D7A9D">
              <w:t>24 MHz</w:t>
            </w:r>
          </w:p>
        </w:tc>
        <w:tc>
          <w:tcPr>
            <w:tcW w:w="992" w:type="dxa"/>
          </w:tcPr>
          <w:p w:rsidR="00E57E5C" w:rsidRPr="005D7A9D" w:rsidRDefault="00E57E5C" w:rsidP="005D7A9D">
            <w:pPr>
              <w:pStyle w:val="Tabletext"/>
              <w:jc w:val="center"/>
            </w:pPr>
            <w:r w:rsidRPr="005D7A9D">
              <w:t>32 MHz</w:t>
            </w:r>
          </w:p>
        </w:tc>
        <w:tc>
          <w:tcPr>
            <w:tcW w:w="992" w:type="dxa"/>
          </w:tcPr>
          <w:p w:rsidR="00E57E5C" w:rsidRPr="005D7A9D" w:rsidRDefault="00E57E5C" w:rsidP="005D7A9D">
            <w:pPr>
              <w:pStyle w:val="Tabletext"/>
              <w:jc w:val="center"/>
            </w:pPr>
            <w:r w:rsidRPr="005D7A9D">
              <w:t>40 MHz</w:t>
            </w:r>
          </w:p>
        </w:tc>
        <w:tc>
          <w:tcPr>
            <w:tcW w:w="992" w:type="dxa"/>
          </w:tcPr>
          <w:p w:rsidR="00E57E5C" w:rsidRPr="005D7A9D" w:rsidRDefault="00E57E5C" w:rsidP="005D7A9D">
            <w:pPr>
              <w:pStyle w:val="Tabletext"/>
              <w:jc w:val="center"/>
            </w:pPr>
            <w:r w:rsidRPr="005D7A9D">
              <w:t>48 MHz</w:t>
            </w:r>
          </w:p>
        </w:tc>
        <w:tc>
          <w:tcPr>
            <w:tcW w:w="1134" w:type="dxa"/>
          </w:tcPr>
          <w:p w:rsidR="00E57E5C" w:rsidRPr="005D7A9D" w:rsidRDefault="00E57E5C" w:rsidP="005D7A9D">
            <w:pPr>
              <w:pStyle w:val="Tabletext"/>
              <w:jc w:val="center"/>
            </w:pPr>
            <w:r w:rsidRPr="005D7A9D">
              <w:t>56 MHz</w:t>
            </w:r>
          </w:p>
        </w:tc>
      </w:tr>
      <w:tr w:rsidR="00E57E5C" w:rsidRPr="00AA55C6" w:rsidTr="005D7A9D">
        <w:tblPrEx>
          <w:tblCellMar>
            <w:top w:w="0" w:type="dxa"/>
            <w:bottom w:w="0" w:type="dxa"/>
          </w:tblCellMar>
        </w:tblPrEx>
        <w:trPr>
          <w:jc w:val="center"/>
        </w:trPr>
        <w:tc>
          <w:tcPr>
            <w:tcW w:w="1236" w:type="dxa"/>
          </w:tcPr>
          <w:p w:rsidR="00E57E5C" w:rsidRPr="005D7A9D" w:rsidRDefault="00E57E5C" w:rsidP="005D7A9D">
            <w:pPr>
              <w:pStyle w:val="Tabletext"/>
            </w:pPr>
            <w:r w:rsidRPr="005D7A9D">
              <w:t>Switchedduplexer</w:t>
            </w:r>
          </w:p>
        </w:tc>
        <w:tc>
          <w:tcPr>
            <w:tcW w:w="1032" w:type="dxa"/>
            <w:vAlign w:val="center"/>
          </w:tcPr>
          <w:p w:rsidR="00E57E5C" w:rsidRPr="005D7A9D" w:rsidRDefault="00E57E5C" w:rsidP="005D7A9D">
            <w:pPr>
              <w:pStyle w:val="Tabletext"/>
              <w:jc w:val="center"/>
            </w:pPr>
            <w:r w:rsidRPr="005D7A9D">
              <w:t>0</w:t>
            </w:r>
          </w:p>
        </w:tc>
        <w:tc>
          <w:tcPr>
            <w:tcW w:w="992" w:type="dxa"/>
            <w:vAlign w:val="center"/>
          </w:tcPr>
          <w:p w:rsidR="00E57E5C" w:rsidRPr="005D7A9D" w:rsidRDefault="00E57E5C" w:rsidP="005D7A9D">
            <w:pPr>
              <w:pStyle w:val="Tabletext"/>
              <w:jc w:val="center"/>
            </w:pPr>
            <w:r w:rsidRPr="005D7A9D">
              <w:t>–100</w:t>
            </w:r>
          </w:p>
        </w:tc>
        <w:tc>
          <w:tcPr>
            <w:tcW w:w="992" w:type="dxa"/>
            <w:vAlign w:val="center"/>
          </w:tcPr>
          <w:p w:rsidR="00E57E5C" w:rsidRPr="005D7A9D" w:rsidRDefault="00E57E5C" w:rsidP="005D7A9D">
            <w:pPr>
              <w:pStyle w:val="Tabletext"/>
              <w:jc w:val="center"/>
            </w:pPr>
            <w:r w:rsidRPr="005D7A9D">
              <w:t>–117</w:t>
            </w:r>
          </w:p>
        </w:tc>
        <w:tc>
          <w:tcPr>
            <w:tcW w:w="993" w:type="dxa"/>
            <w:vAlign w:val="center"/>
          </w:tcPr>
          <w:p w:rsidR="00E57E5C" w:rsidRPr="005D7A9D" w:rsidRDefault="00E57E5C" w:rsidP="005D7A9D">
            <w:pPr>
              <w:pStyle w:val="Tabletext"/>
              <w:jc w:val="center"/>
            </w:pPr>
            <w:r w:rsidRPr="005D7A9D">
              <w:t>–127</w:t>
            </w:r>
          </w:p>
        </w:tc>
        <w:tc>
          <w:tcPr>
            <w:tcW w:w="992" w:type="dxa"/>
            <w:vAlign w:val="center"/>
          </w:tcPr>
          <w:p w:rsidR="00E57E5C" w:rsidRPr="005D7A9D" w:rsidRDefault="00E57E5C" w:rsidP="005D7A9D">
            <w:pPr>
              <w:pStyle w:val="Tabletext"/>
              <w:jc w:val="center"/>
            </w:pPr>
            <w:r w:rsidRPr="005D7A9D">
              <w:t>–137</w:t>
            </w:r>
          </w:p>
        </w:tc>
        <w:tc>
          <w:tcPr>
            <w:tcW w:w="992" w:type="dxa"/>
            <w:vAlign w:val="center"/>
          </w:tcPr>
          <w:p w:rsidR="00E57E5C" w:rsidRPr="005D7A9D" w:rsidRDefault="00E57E5C" w:rsidP="005D7A9D">
            <w:pPr>
              <w:pStyle w:val="Tabletext"/>
              <w:jc w:val="center"/>
            </w:pPr>
            <w:r w:rsidRPr="005D7A9D">
              <w:t>–147</w:t>
            </w:r>
          </w:p>
        </w:tc>
        <w:tc>
          <w:tcPr>
            <w:tcW w:w="992" w:type="dxa"/>
            <w:vAlign w:val="center"/>
          </w:tcPr>
          <w:p w:rsidR="00E57E5C" w:rsidRPr="005D7A9D" w:rsidRDefault="00E57E5C" w:rsidP="005D7A9D">
            <w:pPr>
              <w:pStyle w:val="Tabletext"/>
              <w:jc w:val="center"/>
            </w:pPr>
            <w:r w:rsidRPr="005D7A9D">
              <w:t>–157</w:t>
            </w:r>
          </w:p>
        </w:tc>
        <w:tc>
          <w:tcPr>
            <w:tcW w:w="1134" w:type="dxa"/>
            <w:vAlign w:val="center"/>
          </w:tcPr>
          <w:p w:rsidR="00E57E5C" w:rsidRPr="005D7A9D" w:rsidRDefault="00E57E5C" w:rsidP="005D7A9D">
            <w:pPr>
              <w:pStyle w:val="Tabletext"/>
              <w:jc w:val="center"/>
            </w:pPr>
            <w:r w:rsidRPr="005D7A9D">
              <w:t>–167</w:t>
            </w:r>
          </w:p>
        </w:tc>
      </w:tr>
      <w:tr w:rsidR="00E57E5C" w:rsidRPr="00AA55C6" w:rsidTr="005D7A9D">
        <w:tblPrEx>
          <w:tblCellMar>
            <w:top w:w="0" w:type="dxa"/>
            <w:bottom w:w="0" w:type="dxa"/>
          </w:tblCellMar>
        </w:tblPrEx>
        <w:trPr>
          <w:jc w:val="center"/>
        </w:trPr>
        <w:tc>
          <w:tcPr>
            <w:tcW w:w="1236" w:type="dxa"/>
          </w:tcPr>
          <w:p w:rsidR="00E57E5C" w:rsidRPr="005D7A9D" w:rsidRDefault="00E57E5C" w:rsidP="005D7A9D">
            <w:pPr>
              <w:pStyle w:val="Tabletext"/>
            </w:pPr>
            <w:r w:rsidRPr="005D7A9D">
              <w:t>FDD duplexer</w:t>
            </w:r>
          </w:p>
        </w:tc>
        <w:tc>
          <w:tcPr>
            <w:tcW w:w="1032" w:type="dxa"/>
            <w:vAlign w:val="center"/>
          </w:tcPr>
          <w:p w:rsidR="00E57E5C" w:rsidRPr="005D7A9D" w:rsidRDefault="00E57E5C" w:rsidP="005D7A9D">
            <w:pPr>
              <w:pStyle w:val="Tabletext"/>
              <w:jc w:val="center"/>
            </w:pPr>
            <w:r w:rsidRPr="005D7A9D">
              <w:t>0</w:t>
            </w:r>
          </w:p>
        </w:tc>
        <w:tc>
          <w:tcPr>
            <w:tcW w:w="992" w:type="dxa"/>
            <w:vAlign w:val="center"/>
          </w:tcPr>
          <w:p w:rsidR="00E57E5C" w:rsidRPr="005D7A9D" w:rsidRDefault="00E57E5C" w:rsidP="005D7A9D">
            <w:pPr>
              <w:pStyle w:val="Tabletext"/>
              <w:jc w:val="center"/>
            </w:pPr>
            <w:r w:rsidRPr="005D7A9D">
              <w:t>–137</w:t>
            </w:r>
          </w:p>
        </w:tc>
        <w:tc>
          <w:tcPr>
            <w:tcW w:w="992" w:type="dxa"/>
            <w:vAlign w:val="center"/>
          </w:tcPr>
          <w:p w:rsidR="00E57E5C" w:rsidRPr="005D7A9D" w:rsidRDefault="00E57E5C" w:rsidP="005D7A9D">
            <w:pPr>
              <w:pStyle w:val="Tabletext"/>
              <w:jc w:val="center"/>
            </w:pPr>
            <w:r w:rsidRPr="005D7A9D">
              <w:t>–154</w:t>
            </w:r>
          </w:p>
        </w:tc>
        <w:tc>
          <w:tcPr>
            <w:tcW w:w="993" w:type="dxa"/>
            <w:vAlign w:val="center"/>
          </w:tcPr>
          <w:p w:rsidR="00E57E5C" w:rsidRPr="005D7A9D" w:rsidRDefault="00E57E5C" w:rsidP="005D7A9D">
            <w:pPr>
              <w:pStyle w:val="Tabletext"/>
              <w:jc w:val="center"/>
            </w:pPr>
            <w:r w:rsidRPr="005D7A9D">
              <w:t>–164</w:t>
            </w:r>
          </w:p>
        </w:tc>
        <w:tc>
          <w:tcPr>
            <w:tcW w:w="992" w:type="dxa"/>
            <w:vAlign w:val="center"/>
          </w:tcPr>
          <w:p w:rsidR="00E57E5C" w:rsidRPr="005D7A9D" w:rsidRDefault="00E57E5C" w:rsidP="005D7A9D">
            <w:pPr>
              <w:pStyle w:val="Tabletext"/>
              <w:jc w:val="center"/>
            </w:pPr>
            <w:r w:rsidRPr="005D7A9D">
              <w:t>–174</w:t>
            </w:r>
          </w:p>
        </w:tc>
        <w:tc>
          <w:tcPr>
            <w:tcW w:w="992" w:type="dxa"/>
            <w:vAlign w:val="center"/>
          </w:tcPr>
          <w:p w:rsidR="00E57E5C" w:rsidRPr="005D7A9D" w:rsidRDefault="00E57E5C" w:rsidP="005D7A9D">
            <w:pPr>
              <w:pStyle w:val="Tabletext"/>
              <w:jc w:val="center"/>
            </w:pPr>
            <w:r w:rsidRPr="005D7A9D">
              <w:t>–184</w:t>
            </w:r>
          </w:p>
        </w:tc>
        <w:tc>
          <w:tcPr>
            <w:tcW w:w="992" w:type="dxa"/>
            <w:vAlign w:val="center"/>
          </w:tcPr>
          <w:p w:rsidR="00E57E5C" w:rsidRPr="005D7A9D" w:rsidRDefault="00E57E5C" w:rsidP="005D7A9D">
            <w:pPr>
              <w:pStyle w:val="Tabletext"/>
              <w:jc w:val="center"/>
            </w:pPr>
            <w:r w:rsidRPr="005D7A9D">
              <w:t>–194</w:t>
            </w:r>
          </w:p>
        </w:tc>
        <w:tc>
          <w:tcPr>
            <w:tcW w:w="1134" w:type="dxa"/>
            <w:vAlign w:val="center"/>
          </w:tcPr>
          <w:p w:rsidR="00E57E5C" w:rsidRPr="005D7A9D" w:rsidRDefault="00E57E5C" w:rsidP="005D7A9D">
            <w:pPr>
              <w:pStyle w:val="Tabletext"/>
              <w:jc w:val="center"/>
            </w:pPr>
            <w:r w:rsidRPr="005D7A9D">
              <w:t>–204</w:t>
            </w:r>
          </w:p>
        </w:tc>
      </w:tr>
    </w:tbl>
    <w:p w:rsidR="004832D9" w:rsidRDefault="004832D9" w:rsidP="004832D9">
      <w:pPr>
        <w:pStyle w:val="Tablefin"/>
      </w:pPr>
    </w:p>
    <w:p w:rsidR="003A31E5" w:rsidRDefault="00E57E5C" w:rsidP="004832D9">
      <w:pPr>
        <w:rPr>
          <w:lang w:val="en-US"/>
        </w:rPr>
      </w:pPr>
      <w:r w:rsidRPr="00AA55C6">
        <w:t xml:space="preserve">It should be noted that the RCT path spectrum mask was designed to avoid interference between RCT transmission and DVB-T or analogue TV reception (which can operate in adjacent paths without </w:t>
      </w:r>
      <w:r w:rsidRPr="00AA55C6">
        <w:lastRenderedPageBreak/>
        <w:t>causing any path interference). Commercially available duplexer provides for about 25</w:t>
      </w:r>
      <w:r w:rsidRPr="00AA55C6">
        <w:noBreakHyphen/>
        <w:t>30 dB of isolation, so a duplex spacing of 24 MHz is an acceptable figure for a DVB</w:t>
      </w:r>
      <w:r w:rsidRPr="00AA55C6">
        <w:noBreakHyphen/>
        <w:t xml:space="preserve">T/RCT set top box. In case of adjacent path assignment, an additional isolation has to be provided, which is typically achieved by using separate antennas, or outdoor installation as described in </w:t>
      </w:r>
      <w:r w:rsidR="004832D9">
        <w:t>§ </w:t>
      </w:r>
      <w:r w:rsidRPr="00AA55C6">
        <w:t>2.2.</w:t>
      </w:r>
    </w:p>
    <w:p w:rsidR="00841029" w:rsidRPr="00AA55C6" w:rsidRDefault="00841029" w:rsidP="00841029">
      <w:pPr>
        <w:pStyle w:val="Heading1"/>
      </w:pPr>
      <w:r w:rsidRPr="00AA55C6">
        <w:t>2</w:t>
      </w:r>
      <w:r w:rsidRPr="00AA55C6">
        <w:tab/>
        <w:t>Deployment scenarios</w:t>
      </w:r>
    </w:p>
    <w:p w:rsidR="00841029" w:rsidRPr="00AA55C6" w:rsidRDefault="00841029" w:rsidP="00841029">
      <w:pPr>
        <w:pStyle w:val="Heading2"/>
      </w:pPr>
      <w:r w:rsidRPr="00AA55C6">
        <w:t>2.1</w:t>
      </w:r>
      <w:r w:rsidRPr="00AA55C6">
        <w:tab/>
        <w:t>Cell configuration</w:t>
      </w:r>
    </w:p>
    <w:p w:rsidR="00841029" w:rsidRPr="00AA55C6" w:rsidRDefault="00841029" w:rsidP="00841029">
      <w:r w:rsidRPr="00AA55C6">
        <w:t>The DVB-RCT standard describes two cell configurations, depicted hereunder in Fig. 2:</w:t>
      </w:r>
    </w:p>
    <w:p w:rsidR="00841029" w:rsidRPr="00841029" w:rsidRDefault="004832D9" w:rsidP="00841029">
      <w:pPr>
        <w:pStyle w:val="enumlev1"/>
        <w:rPr>
          <w:lang w:val="en-US"/>
        </w:rPr>
      </w:pPr>
      <w:r>
        <w:rPr>
          <w:lang w:val="en-US"/>
        </w:rPr>
        <w:t>–</w:t>
      </w:r>
      <w:r w:rsidR="00841029" w:rsidRPr="00841029">
        <w:rPr>
          <w:lang w:val="en-US"/>
        </w:rPr>
        <w:tab/>
        <w:t>One or more upstream links in a single cell (Fig. 2a)</w:t>
      </w:r>
    </w:p>
    <w:p w:rsidR="00841029" w:rsidRPr="00AA55C6" w:rsidRDefault="004832D9" w:rsidP="00841029">
      <w:pPr>
        <w:pStyle w:val="enumlev1"/>
      </w:pPr>
      <w:r>
        <w:t>–</w:t>
      </w:r>
      <w:r w:rsidR="00841029" w:rsidRPr="00AA55C6">
        <w:tab/>
        <w:t>Sectorized cell (Fig. 2b).</w:t>
      </w:r>
    </w:p>
    <w:tbl>
      <w:tblPr>
        <w:tblW w:w="0" w:type="auto"/>
        <w:jc w:val="center"/>
        <w:tblLook w:val="0000" w:firstRow="0" w:lastRow="0" w:firstColumn="0" w:lastColumn="0" w:noHBand="0" w:noVBand="0"/>
      </w:tblPr>
      <w:tblGrid>
        <w:gridCol w:w="4436"/>
        <w:gridCol w:w="4685"/>
      </w:tblGrid>
      <w:tr w:rsidR="00841029" w:rsidRPr="000927F8" w:rsidTr="000927F8">
        <w:tblPrEx>
          <w:tblCellMar>
            <w:top w:w="0" w:type="dxa"/>
            <w:bottom w:w="0" w:type="dxa"/>
          </w:tblCellMar>
        </w:tblPrEx>
        <w:trPr>
          <w:cantSplit/>
          <w:jc w:val="center"/>
        </w:trPr>
        <w:tc>
          <w:tcPr>
            <w:tcW w:w="4436" w:type="dxa"/>
          </w:tcPr>
          <w:p w:rsidR="00841029" w:rsidRPr="000927F8" w:rsidRDefault="00841029" w:rsidP="000927F8">
            <w:pPr>
              <w:pStyle w:val="FigureNo"/>
            </w:pPr>
            <w:r w:rsidRPr="000927F8">
              <w:t>Figure 2a</w:t>
            </w:r>
          </w:p>
        </w:tc>
        <w:tc>
          <w:tcPr>
            <w:tcW w:w="4685" w:type="dxa"/>
          </w:tcPr>
          <w:p w:rsidR="00841029" w:rsidRPr="000927F8" w:rsidRDefault="00841029" w:rsidP="000927F8">
            <w:pPr>
              <w:pStyle w:val="FigureNo"/>
            </w:pPr>
            <w:r w:rsidRPr="000927F8">
              <w:t xml:space="preserve">Figure 2b </w:t>
            </w:r>
          </w:p>
        </w:tc>
      </w:tr>
      <w:tr w:rsidR="00841029" w:rsidRPr="000927F8" w:rsidTr="000927F8">
        <w:tblPrEx>
          <w:tblCellMar>
            <w:top w:w="0" w:type="dxa"/>
            <w:bottom w:w="0" w:type="dxa"/>
          </w:tblCellMar>
        </w:tblPrEx>
        <w:trPr>
          <w:cantSplit/>
          <w:jc w:val="center"/>
        </w:trPr>
        <w:tc>
          <w:tcPr>
            <w:tcW w:w="4436" w:type="dxa"/>
          </w:tcPr>
          <w:p w:rsidR="00841029" w:rsidRPr="000927F8" w:rsidRDefault="00841029" w:rsidP="000927F8">
            <w:pPr>
              <w:pStyle w:val="Figuretitle"/>
            </w:pPr>
            <w:r w:rsidRPr="000927F8">
              <w:t>Single cell</w:t>
            </w:r>
          </w:p>
        </w:tc>
        <w:tc>
          <w:tcPr>
            <w:tcW w:w="4685" w:type="dxa"/>
          </w:tcPr>
          <w:p w:rsidR="00841029" w:rsidRPr="000927F8" w:rsidRDefault="00841029" w:rsidP="000927F8">
            <w:pPr>
              <w:pStyle w:val="Figuretitle"/>
            </w:pPr>
            <w:r w:rsidRPr="000927F8">
              <w:t>Sectorized cell</w:t>
            </w:r>
          </w:p>
        </w:tc>
      </w:tr>
    </w:tbl>
    <w:p w:rsidR="003A31E5" w:rsidRDefault="00FC2184" w:rsidP="00FC2184">
      <w:pPr>
        <w:pStyle w:val="Figure"/>
        <w:rPr>
          <w:lang w:val="en-US"/>
        </w:rPr>
      </w:pPr>
      <w:r>
        <w:object w:dxaOrig="9130" w:dyaOrig="3231">
          <v:shape id="_x0000_i1026" type="#_x0000_t75" style="width:456.7pt;height:161.2pt" o:ole="" o:allowoverlap="f">
            <v:imagedata r:id="rId10" o:title=""/>
          </v:shape>
          <o:OLEObject Type="Embed" ProgID="CorelDRAW.Graphic.12" ShapeID="_x0000_i1026" DrawAspect="Content" ObjectID="_1556629200" r:id="rId11"/>
        </w:object>
      </w:r>
    </w:p>
    <w:p w:rsidR="001741FB" w:rsidRPr="00AA55C6" w:rsidRDefault="001741FB" w:rsidP="001741FB">
      <w:pPr>
        <w:pStyle w:val="Heading2"/>
      </w:pPr>
      <w:r w:rsidRPr="00AA55C6">
        <w:t>2.2</w:t>
      </w:r>
      <w:r w:rsidRPr="00AA55C6">
        <w:tab/>
        <w:t>Cellular deployment</w:t>
      </w:r>
    </w:p>
    <w:p w:rsidR="001741FB" w:rsidRPr="00AA55C6" w:rsidRDefault="001741FB" w:rsidP="001741FB">
      <w:r w:rsidRPr="00AA55C6">
        <w:t>In addition to the said scenarios, dense traffic areas can be covered by a cellular deployment, as depicted in Fig. 2c, which shows an identical architecture of both upstream RCT and downstream MFN DVB</w:t>
      </w:r>
      <w:r w:rsidRPr="00AA55C6">
        <w:noBreakHyphen/>
        <w:t>T cellular deployments. In this case the DVB</w:t>
      </w:r>
      <w:r w:rsidRPr="00AA55C6">
        <w:noBreakHyphen/>
        <w:t>T transmitters are not the powerful transmitters usually used for broadcast DVB</w:t>
      </w:r>
      <w:r w:rsidRPr="00AA55C6">
        <w:noBreakHyphen/>
        <w:t>T.</w:t>
      </w:r>
    </w:p>
    <w:p w:rsidR="001741FB" w:rsidRPr="00AA55C6" w:rsidRDefault="001741FB" w:rsidP="001741FB">
      <w:pPr>
        <w:pStyle w:val="FigureNo"/>
      </w:pPr>
      <w:r w:rsidRPr="00AA55C6">
        <w:lastRenderedPageBreak/>
        <w:t>Figure 2</w:t>
      </w:r>
      <w:r w:rsidRPr="00AA55C6">
        <w:rPr>
          <w:caps w:val="0"/>
        </w:rPr>
        <w:t>c</w:t>
      </w:r>
    </w:p>
    <w:p w:rsidR="001741FB" w:rsidRPr="00AA55C6" w:rsidRDefault="001741FB" w:rsidP="001741FB">
      <w:pPr>
        <w:pStyle w:val="Figuretitle"/>
      </w:pPr>
      <w:r w:rsidRPr="00AA55C6">
        <w:t xml:space="preserve">Cellular deployment </w:t>
      </w:r>
    </w:p>
    <w:p w:rsidR="001741FB" w:rsidRPr="00AA55C6" w:rsidRDefault="00FC2184" w:rsidP="00FC2184">
      <w:pPr>
        <w:pStyle w:val="Figure"/>
      </w:pPr>
      <w:r>
        <w:object w:dxaOrig="6878" w:dyaOrig="4598">
          <v:shape id="_x0000_i1027" type="#_x0000_t75" style="width:344.4pt;height:230.5pt" o:ole="" o:allowoverlap="f">
            <v:imagedata r:id="rId12" o:title=""/>
          </v:shape>
          <o:OLEObject Type="Embed" ProgID="CorelDRAW.Graphic.12" ShapeID="_x0000_i1027" DrawAspect="Content" ObjectID="_1556629201" r:id="rId13"/>
        </w:object>
      </w:r>
    </w:p>
    <w:p w:rsidR="003A31E5" w:rsidRDefault="001741FB" w:rsidP="005D7A9D">
      <w:pPr>
        <w:pStyle w:val="Normalaftertitle"/>
        <w:rPr>
          <w:lang w:val="en-US"/>
        </w:rPr>
      </w:pPr>
      <w:r w:rsidRPr="00AA55C6">
        <w:t>Based on the OFDMA PHY layers, the RCT has an inherent flexibility and scalability, as it enables to trade off throughput (per user), capacity (number of users supported), available paths and cell size. This can be done by adaptive modulation and coding, sub-path assignment and by power concentration at the user’s side.</w:t>
      </w:r>
    </w:p>
    <w:p w:rsidR="00231A79" w:rsidRDefault="00231A79" w:rsidP="003A31E5">
      <w:pPr>
        <w:rPr>
          <w:lang w:val="en-US"/>
        </w:rPr>
      </w:pPr>
    </w:p>
    <w:tbl>
      <w:tblPr>
        <w:tblW w:w="0" w:type="auto"/>
        <w:tblLayout w:type="fixed"/>
        <w:tblLook w:val="0000" w:firstRow="0" w:lastRow="0" w:firstColumn="0" w:lastColumn="0" w:noHBand="0" w:noVBand="0"/>
      </w:tblPr>
      <w:tblGrid>
        <w:gridCol w:w="7415"/>
        <w:gridCol w:w="2440"/>
      </w:tblGrid>
      <w:tr w:rsidR="00231A79" w:rsidRPr="00AA55C6" w:rsidTr="00231A79">
        <w:tblPrEx>
          <w:tblCellMar>
            <w:top w:w="0" w:type="dxa"/>
            <w:bottom w:w="0" w:type="dxa"/>
          </w:tblCellMar>
        </w:tblPrEx>
        <w:trPr>
          <w:cantSplit/>
        </w:trPr>
        <w:tc>
          <w:tcPr>
            <w:tcW w:w="9855" w:type="dxa"/>
            <w:gridSpan w:val="2"/>
          </w:tcPr>
          <w:p w:rsidR="00231A79" w:rsidRPr="00AA55C6" w:rsidRDefault="00231A79" w:rsidP="00231A79">
            <w:r w:rsidRPr="00AA55C6">
              <w:t>Table 3 demonstrates the trade-off between RF path assignment and carrier-to-interference (</w:t>
            </w:r>
            <w:r w:rsidRPr="00AA55C6">
              <w:rPr>
                <w:i/>
              </w:rPr>
              <w:t>C</w:t>
            </w:r>
            <w:r w:rsidRPr="00AA55C6">
              <w:t>/</w:t>
            </w:r>
            <w:r w:rsidRPr="00AA55C6">
              <w:rPr>
                <w:i/>
              </w:rPr>
              <w:t>I</w:t>
            </w:r>
            <w:r w:rsidRPr="00AA55C6">
              <w:t xml:space="preserve">) ratio between cells of the RCT system. It shows the </w:t>
            </w:r>
            <w:r w:rsidRPr="00AA55C6">
              <w:rPr>
                <w:i/>
              </w:rPr>
              <w:t>C</w:t>
            </w:r>
            <w:r w:rsidRPr="00AA55C6">
              <w:t>/</w:t>
            </w:r>
            <w:r w:rsidRPr="00AA55C6">
              <w:rPr>
                <w:i/>
              </w:rPr>
              <w:t>I</w:t>
            </w:r>
            <w:r w:rsidRPr="00AA55C6">
              <w:t xml:space="preserve"> distribution as a function of the</w:t>
            </w:r>
          </w:p>
        </w:tc>
      </w:tr>
      <w:tr w:rsidR="00231A79" w:rsidRPr="00AA55C6" w:rsidTr="00231A79">
        <w:tblPrEx>
          <w:tblCellMar>
            <w:top w:w="0" w:type="dxa"/>
            <w:bottom w:w="0" w:type="dxa"/>
          </w:tblCellMar>
        </w:tblPrEx>
        <w:tc>
          <w:tcPr>
            <w:tcW w:w="7415" w:type="dxa"/>
          </w:tcPr>
          <w:p w:rsidR="00231A79" w:rsidRPr="00AA55C6" w:rsidRDefault="00231A79" w:rsidP="00231A79">
            <w:pPr>
              <w:spacing w:before="0"/>
            </w:pPr>
            <w:r w:rsidRPr="00AA55C6">
              <w:t xml:space="preserve">number of frequency paths assigned to the system. This is a result of a simulation of eight hexagonal cells with typical antennas arranged in six sectors per cell. The first column shows the number of paths assigned to the system; the second column shows different ranges of the expected </w:t>
            </w:r>
            <w:r w:rsidRPr="00AA55C6">
              <w:rPr>
                <w:i/>
              </w:rPr>
              <w:t>C</w:t>
            </w:r>
            <w:r w:rsidRPr="00AA55C6">
              <w:t>/</w:t>
            </w:r>
            <w:r w:rsidRPr="00AA55C6">
              <w:rPr>
                <w:i/>
              </w:rPr>
              <w:t>I</w:t>
            </w:r>
            <w:r w:rsidRPr="00AA55C6">
              <w:t xml:space="preserve">, while the third column shows the percentage of the cell area with that </w:t>
            </w:r>
            <w:r w:rsidRPr="00AA55C6">
              <w:rPr>
                <w:i/>
              </w:rPr>
              <w:t>C</w:t>
            </w:r>
            <w:r w:rsidRPr="00AA55C6">
              <w:t>/</w:t>
            </w:r>
            <w:r w:rsidRPr="00AA55C6">
              <w:rPr>
                <w:i/>
              </w:rPr>
              <w:t>I</w:t>
            </w:r>
            <w:r w:rsidRPr="00AA55C6">
              <w:t xml:space="preserve"> for 2 km cells and 6 km cells. The patterns shown in the last column are typical </w:t>
            </w:r>
            <w:r w:rsidRPr="00AA55C6">
              <w:rPr>
                <w:i/>
              </w:rPr>
              <w:t>C</w:t>
            </w:r>
            <w:r w:rsidRPr="00AA55C6">
              <w:t>/</w:t>
            </w:r>
            <w:r w:rsidRPr="00AA55C6">
              <w:rPr>
                <w:i/>
              </w:rPr>
              <w:t>I</w:t>
            </w:r>
            <w:r w:rsidRPr="00AA55C6">
              <w:t xml:space="preserve"> distributions over that area. The various levels of </w:t>
            </w:r>
            <w:r w:rsidRPr="00AA55C6">
              <w:rPr>
                <w:i/>
              </w:rPr>
              <w:t>C</w:t>
            </w:r>
            <w:r w:rsidRPr="00AA55C6">
              <w:t>/</w:t>
            </w:r>
            <w:r w:rsidRPr="00AA55C6">
              <w:rPr>
                <w:i/>
              </w:rPr>
              <w:t>I</w:t>
            </w:r>
            <w:r w:rsidRPr="00AA55C6">
              <w:t xml:space="preserve"> are shown in colours (red for low levels, purple for high levels) over the cells’ areas. In the centre of each cell, one can see a coloured pie chart, which represents the sectors and colour coded according to the frequency assigned to each sector antenna.</w:t>
            </w:r>
          </w:p>
        </w:tc>
        <w:bookmarkStart w:id="1" w:name="_MON_1160314601"/>
        <w:bookmarkStart w:id="2" w:name="_MON_1160315973"/>
        <w:bookmarkStart w:id="3" w:name="_MON_1254570762"/>
        <w:bookmarkEnd w:id="1"/>
        <w:bookmarkEnd w:id="2"/>
        <w:bookmarkEnd w:id="3"/>
        <w:tc>
          <w:tcPr>
            <w:tcW w:w="2440" w:type="dxa"/>
            <w:vAlign w:val="center"/>
          </w:tcPr>
          <w:p w:rsidR="00231A79" w:rsidRPr="00AA55C6" w:rsidRDefault="00231A79" w:rsidP="00231A79">
            <w:pPr>
              <w:spacing w:before="0"/>
              <w:jc w:val="right"/>
            </w:pPr>
            <w:r w:rsidRPr="00AA55C6">
              <w:object w:dxaOrig="2341" w:dyaOrig="2521">
                <v:shape id="_x0000_i1028" type="#_x0000_t75" style="width:117.15pt;height:126.25pt" o:ole="">
                  <v:imagedata r:id="rId14" o:title=""/>
                </v:shape>
                <o:OLEObject Type="Embed" ProgID="Word.Picture.8" ShapeID="_x0000_i1028" DrawAspect="Content" ObjectID="_1556629202" r:id="rId15"/>
              </w:object>
            </w:r>
          </w:p>
        </w:tc>
      </w:tr>
    </w:tbl>
    <w:p w:rsidR="003A31E5" w:rsidRDefault="00231A79" w:rsidP="00DA4D7A">
      <w:pPr>
        <w:rPr>
          <w:lang w:val="en-US"/>
        </w:rPr>
      </w:pPr>
      <w:r w:rsidRPr="00AA55C6">
        <w:t xml:space="preserve">By assigning a suitable number of sub-paths, and by selecting the modulation and coding level, it is possible to operate the RCT system within a large range of </w:t>
      </w:r>
      <w:r w:rsidRPr="00AA55C6">
        <w:rPr>
          <w:i/>
        </w:rPr>
        <w:t>C</w:t>
      </w:r>
      <w:r w:rsidRPr="00AA55C6">
        <w:t>/</w:t>
      </w:r>
      <w:r w:rsidRPr="00AA55C6">
        <w:rPr>
          <w:i/>
        </w:rPr>
        <w:t>I</w:t>
      </w:r>
      <w:r w:rsidRPr="00AA55C6">
        <w:t xml:space="preserve"> values. High level of </w:t>
      </w:r>
      <w:r w:rsidRPr="00AA55C6">
        <w:rPr>
          <w:i/>
        </w:rPr>
        <w:t>C</w:t>
      </w:r>
      <w:r w:rsidRPr="00AA55C6">
        <w:t>/</w:t>
      </w:r>
      <w:r w:rsidRPr="00AA55C6">
        <w:rPr>
          <w:i/>
        </w:rPr>
        <w:t>I</w:t>
      </w:r>
      <w:r w:rsidRPr="00AA55C6">
        <w:t xml:space="preserve"> enables operation with large throughput (using 64</w:t>
      </w:r>
      <w:r w:rsidR="00DA4D7A">
        <w:t>-</w:t>
      </w:r>
      <w:r w:rsidRPr="00AA55C6">
        <w:t xml:space="preserve">QAM). When the </w:t>
      </w:r>
      <w:r w:rsidRPr="00AA55C6">
        <w:rPr>
          <w:i/>
        </w:rPr>
        <w:t>C</w:t>
      </w:r>
      <w:r w:rsidRPr="00AA55C6">
        <w:t>/</w:t>
      </w:r>
      <w:r w:rsidRPr="00AA55C6">
        <w:rPr>
          <w:i/>
        </w:rPr>
        <w:t>I</w:t>
      </w:r>
      <w:r w:rsidRPr="00AA55C6">
        <w:t xml:space="preserve"> level is low, by choosing the low- rate modulation (QPSK) and appropriate coding as well as by reducing the number of sub-paths assigned to each user, the RCT can be operated at expense of data rate.</w:t>
      </w:r>
    </w:p>
    <w:p w:rsidR="00F66B0B" w:rsidRPr="00AA55C6" w:rsidRDefault="004832D9" w:rsidP="00F66B0B">
      <w:pPr>
        <w:pStyle w:val="TableNo"/>
      </w:pPr>
      <w:r w:rsidRPr="00AA55C6">
        <w:lastRenderedPageBreak/>
        <w:t xml:space="preserve">TABLE </w:t>
      </w:r>
      <w:r w:rsidR="00F66B0B" w:rsidRPr="00AA55C6">
        <w:t>3</w:t>
      </w:r>
    </w:p>
    <w:p w:rsidR="00F66B0B" w:rsidRPr="00AA55C6" w:rsidRDefault="00F66B0B" w:rsidP="00F66B0B">
      <w:pPr>
        <w:pStyle w:val="Tabletitle"/>
      </w:pPr>
      <w:r w:rsidRPr="00AA55C6">
        <w:rPr>
          <w:i/>
          <w:iCs/>
        </w:rPr>
        <w:t>C</w:t>
      </w:r>
      <w:r w:rsidRPr="00AA55C6">
        <w:t>/</w:t>
      </w:r>
      <w:r w:rsidRPr="00AA55C6">
        <w:rPr>
          <w:i/>
          <w:iCs/>
        </w:rPr>
        <w:t>I</w:t>
      </w:r>
      <w:r w:rsidRPr="00AA55C6">
        <w:t xml:space="preserve"> distribution as a function of the number of forward frequency paths and </w:t>
      </w:r>
      <w:r w:rsidRPr="00AA55C6">
        <w:br/>
        <w:t>adjacent path interference rejection capability</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5"/>
        <w:gridCol w:w="1326"/>
        <w:gridCol w:w="1327"/>
        <w:gridCol w:w="1327"/>
        <w:gridCol w:w="3200"/>
      </w:tblGrid>
      <w:tr w:rsidR="00F66B0B" w:rsidRPr="00AA55C6" w:rsidTr="004832D9">
        <w:tblPrEx>
          <w:tblCellMar>
            <w:top w:w="0" w:type="dxa"/>
            <w:bottom w:w="0" w:type="dxa"/>
          </w:tblCellMar>
        </w:tblPrEx>
        <w:trPr>
          <w:cantSplit/>
          <w:jc w:val="center"/>
        </w:trPr>
        <w:tc>
          <w:tcPr>
            <w:tcW w:w="1325" w:type="dxa"/>
            <w:vMerge w:val="restart"/>
            <w:tcBorders>
              <w:top w:val="single" w:sz="4" w:space="0" w:color="auto"/>
              <w:left w:val="single" w:sz="4" w:space="0" w:color="auto"/>
              <w:right w:val="single" w:sz="4" w:space="0" w:color="auto"/>
            </w:tcBorders>
            <w:vAlign w:val="center"/>
          </w:tcPr>
          <w:p w:rsidR="00F66B0B" w:rsidRPr="00AA55C6" w:rsidRDefault="00F66B0B" w:rsidP="00F66B0B">
            <w:pPr>
              <w:pStyle w:val="Tablehead"/>
            </w:pPr>
            <w:r w:rsidRPr="00AA55C6">
              <w:t>Number of freq</w:t>
            </w:r>
            <w:r w:rsidR="00DA4D7A">
              <w:t>uency</w:t>
            </w:r>
            <w:r w:rsidRPr="00AA55C6">
              <w:t xml:space="preserve"> paths</w:t>
            </w:r>
          </w:p>
        </w:tc>
        <w:tc>
          <w:tcPr>
            <w:tcW w:w="1326" w:type="dxa"/>
            <w:vMerge w:val="restart"/>
            <w:tcBorders>
              <w:top w:val="single" w:sz="4" w:space="0" w:color="auto"/>
              <w:left w:val="single" w:sz="4" w:space="0" w:color="auto"/>
              <w:right w:val="single" w:sz="4" w:space="0" w:color="auto"/>
            </w:tcBorders>
          </w:tcPr>
          <w:p w:rsidR="00F66B0B" w:rsidRPr="00AA55C6" w:rsidRDefault="00F66B0B" w:rsidP="00F66B0B">
            <w:pPr>
              <w:pStyle w:val="Tablehead"/>
            </w:pPr>
            <w:r w:rsidRPr="00AA55C6">
              <w:rPr>
                <w:i/>
                <w:iCs/>
              </w:rPr>
              <w:t>C</w:t>
            </w:r>
            <w:r w:rsidRPr="00AA55C6">
              <w:t>/</w:t>
            </w:r>
            <w:r w:rsidRPr="00AA55C6">
              <w:rPr>
                <w:i/>
                <w:iCs/>
              </w:rPr>
              <w:t>I</w:t>
            </w:r>
            <w:r w:rsidR="00DA4D7A">
              <w:br/>
            </w:r>
            <w:r w:rsidRPr="00AA55C6">
              <w:t>(dB)</w:t>
            </w:r>
          </w:p>
        </w:tc>
        <w:tc>
          <w:tcPr>
            <w:tcW w:w="2654" w:type="dxa"/>
            <w:gridSpan w:val="2"/>
            <w:tcBorders>
              <w:top w:val="single" w:sz="4" w:space="0" w:color="auto"/>
              <w:left w:val="single" w:sz="4" w:space="0" w:color="auto"/>
              <w:right w:val="single" w:sz="4" w:space="0" w:color="auto"/>
            </w:tcBorders>
          </w:tcPr>
          <w:p w:rsidR="00F66B0B" w:rsidRPr="00AA55C6" w:rsidRDefault="00F66B0B" w:rsidP="00F66B0B">
            <w:pPr>
              <w:pStyle w:val="Tablehead"/>
            </w:pPr>
            <w:r w:rsidRPr="00AA55C6">
              <w:rPr>
                <w:i/>
                <w:iCs/>
              </w:rPr>
              <w:t>C</w:t>
            </w:r>
            <w:r w:rsidRPr="00AA55C6">
              <w:t>/</w:t>
            </w:r>
            <w:r w:rsidRPr="00AA55C6">
              <w:rPr>
                <w:i/>
                <w:iCs/>
              </w:rPr>
              <w:t>I</w:t>
            </w:r>
            <w:r w:rsidRPr="00AA55C6">
              <w:t xml:space="preserve"> distribution</w:t>
            </w:r>
          </w:p>
        </w:tc>
        <w:tc>
          <w:tcPr>
            <w:tcW w:w="3200" w:type="dxa"/>
            <w:vMerge w:val="restart"/>
            <w:tcBorders>
              <w:top w:val="single" w:sz="4" w:space="0" w:color="auto"/>
              <w:left w:val="single" w:sz="4" w:space="0" w:color="auto"/>
              <w:right w:val="single" w:sz="4" w:space="0" w:color="auto"/>
            </w:tcBorders>
            <w:vAlign w:val="center"/>
          </w:tcPr>
          <w:p w:rsidR="00F66B0B" w:rsidRPr="00AA55C6" w:rsidRDefault="00F66B0B" w:rsidP="00F66B0B">
            <w:pPr>
              <w:pStyle w:val="Tablehead"/>
            </w:pPr>
            <w:r w:rsidRPr="00AA55C6">
              <w:t>Typical pattern</w:t>
            </w:r>
          </w:p>
        </w:tc>
      </w:tr>
      <w:tr w:rsidR="00F66B0B" w:rsidRPr="00AA55C6" w:rsidTr="004832D9">
        <w:tblPrEx>
          <w:tblCellMar>
            <w:top w:w="0" w:type="dxa"/>
            <w:bottom w:w="0" w:type="dxa"/>
          </w:tblCellMar>
        </w:tblPrEx>
        <w:trPr>
          <w:cantSplit/>
          <w:jc w:val="center"/>
        </w:trPr>
        <w:tc>
          <w:tcPr>
            <w:tcW w:w="1325" w:type="dxa"/>
            <w:vMerge/>
            <w:tcBorders>
              <w:left w:val="single" w:sz="4" w:space="0" w:color="auto"/>
              <w:right w:val="single" w:sz="4" w:space="0" w:color="auto"/>
            </w:tcBorders>
            <w:vAlign w:val="center"/>
          </w:tcPr>
          <w:p w:rsidR="00F66B0B" w:rsidRPr="00AA55C6" w:rsidRDefault="00F66B0B" w:rsidP="00F66B0B">
            <w:pPr>
              <w:pStyle w:val="Tablehead"/>
            </w:pPr>
          </w:p>
        </w:tc>
        <w:tc>
          <w:tcPr>
            <w:tcW w:w="1326" w:type="dxa"/>
            <w:vMerge/>
            <w:tcBorders>
              <w:left w:val="single" w:sz="4" w:space="0" w:color="auto"/>
              <w:right w:val="single" w:sz="4" w:space="0" w:color="auto"/>
            </w:tcBorders>
          </w:tcPr>
          <w:p w:rsidR="00F66B0B" w:rsidRPr="00AA55C6" w:rsidRDefault="00F66B0B" w:rsidP="00F66B0B">
            <w:pPr>
              <w:pStyle w:val="Tablehead"/>
            </w:pPr>
          </w:p>
        </w:tc>
        <w:tc>
          <w:tcPr>
            <w:tcW w:w="1327" w:type="dxa"/>
            <w:tcBorders>
              <w:left w:val="single" w:sz="4" w:space="0" w:color="auto"/>
            </w:tcBorders>
          </w:tcPr>
          <w:p w:rsidR="00F66B0B" w:rsidRPr="00AA55C6" w:rsidRDefault="00F66B0B" w:rsidP="00F66B0B">
            <w:pPr>
              <w:pStyle w:val="Tablehead"/>
            </w:pPr>
            <w:r w:rsidRPr="00AA55C6">
              <w:t>2 km</w:t>
            </w:r>
          </w:p>
        </w:tc>
        <w:tc>
          <w:tcPr>
            <w:tcW w:w="1327" w:type="dxa"/>
            <w:tcBorders>
              <w:right w:val="single" w:sz="4" w:space="0" w:color="auto"/>
            </w:tcBorders>
          </w:tcPr>
          <w:p w:rsidR="00F66B0B" w:rsidRPr="00AA55C6" w:rsidRDefault="00F66B0B" w:rsidP="00F66B0B">
            <w:pPr>
              <w:pStyle w:val="Tablehead"/>
            </w:pPr>
            <w:r w:rsidRPr="00AA55C6">
              <w:t>6 km</w:t>
            </w:r>
          </w:p>
        </w:tc>
        <w:tc>
          <w:tcPr>
            <w:tcW w:w="3200" w:type="dxa"/>
            <w:vMerge/>
            <w:tcBorders>
              <w:left w:val="single" w:sz="4" w:space="0" w:color="auto"/>
              <w:right w:val="single" w:sz="4" w:space="0" w:color="auto"/>
            </w:tcBorders>
          </w:tcPr>
          <w:p w:rsidR="00F66B0B" w:rsidRPr="00AA55C6" w:rsidRDefault="00F66B0B" w:rsidP="00F66B0B">
            <w:pPr>
              <w:pStyle w:val="Tablehead"/>
            </w:pPr>
          </w:p>
        </w:tc>
      </w:tr>
      <w:tr w:rsidR="00F66B0B" w:rsidRPr="00AA55C6" w:rsidTr="004832D9">
        <w:tblPrEx>
          <w:tblCellMar>
            <w:top w:w="0" w:type="dxa"/>
            <w:bottom w:w="0" w:type="dxa"/>
          </w:tblCellMar>
        </w:tblPrEx>
        <w:trPr>
          <w:cantSplit/>
          <w:jc w:val="center"/>
        </w:trPr>
        <w:tc>
          <w:tcPr>
            <w:tcW w:w="1325" w:type="dxa"/>
            <w:tcBorders>
              <w:left w:val="single" w:sz="4" w:space="0" w:color="auto"/>
              <w:right w:val="single" w:sz="4" w:space="0" w:color="auto"/>
            </w:tcBorders>
            <w:vAlign w:val="center"/>
          </w:tcPr>
          <w:p w:rsidR="00F66B0B" w:rsidRPr="00AA55C6" w:rsidRDefault="00F66B0B" w:rsidP="00F66B0B">
            <w:pPr>
              <w:pStyle w:val="Tabletext"/>
              <w:jc w:val="center"/>
            </w:pPr>
            <w:r w:rsidRPr="00AA55C6">
              <w:t>1</w:t>
            </w:r>
          </w:p>
        </w:tc>
        <w:tc>
          <w:tcPr>
            <w:tcW w:w="1326" w:type="dxa"/>
            <w:tcBorders>
              <w:left w:val="single" w:sz="4" w:space="0" w:color="auto"/>
              <w:right w:val="single" w:sz="4" w:space="0" w:color="auto"/>
            </w:tcBorders>
          </w:tcPr>
          <w:p w:rsidR="00F66B0B" w:rsidRPr="00AA55C6" w:rsidRDefault="00F66B0B" w:rsidP="00F66B0B">
            <w:pPr>
              <w:pStyle w:val="Tabletext"/>
              <w:jc w:val="center"/>
            </w:pPr>
            <w:r w:rsidRPr="00AA55C6">
              <w:t>–2 to 2</w:t>
            </w:r>
          </w:p>
          <w:p w:rsidR="00F66B0B" w:rsidRPr="00AA55C6" w:rsidRDefault="00F66B0B" w:rsidP="00F66B0B">
            <w:pPr>
              <w:pStyle w:val="Tabletext"/>
              <w:jc w:val="center"/>
            </w:pPr>
            <w:r w:rsidRPr="00AA55C6">
              <w:t>2-6</w:t>
            </w:r>
          </w:p>
          <w:p w:rsidR="00F66B0B" w:rsidRPr="00AA55C6" w:rsidRDefault="00F66B0B" w:rsidP="00F66B0B">
            <w:pPr>
              <w:pStyle w:val="Tabletext"/>
              <w:jc w:val="center"/>
            </w:pPr>
            <w:r w:rsidRPr="00AA55C6">
              <w:t>6-10</w:t>
            </w:r>
          </w:p>
        </w:tc>
        <w:tc>
          <w:tcPr>
            <w:tcW w:w="1327" w:type="dxa"/>
            <w:tcBorders>
              <w:left w:val="single" w:sz="4" w:space="0" w:color="auto"/>
            </w:tcBorders>
          </w:tcPr>
          <w:p w:rsidR="00F66B0B" w:rsidRPr="00AA55C6" w:rsidRDefault="00F66B0B" w:rsidP="00F66B0B">
            <w:pPr>
              <w:pStyle w:val="Tabletext"/>
              <w:jc w:val="center"/>
            </w:pPr>
            <w:r w:rsidRPr="00AA55C6">
              <w:t>–</w:t>
            </w:r>
          </w:p>
        </w:tc>
        <w:tc>
          <w:tcPr>
            <w:tcW w:w="1327" w:type="dxa"/>
            <w:tcBorders>
              <w:right w:val="single" w:sz="4" w:space="0" w:color="auto"/>
            </w:tcBorders>
          </w:tcPr>
          <w:p w:rsidR="00F66B0B" w:rsidRPr="00AA55C6" w:rsidRDefault="00F66B0B" w:rsidP="00F66B0B">
            <w:pPr>
              <w:pStyle w:val="Tabletext"/>
              <w:jc w:val="center"/>
            </w:pPr>
            <w:r w:rsidRPr="00AA55C6">
              <w:t>–</w:t>
            </w:r>
          </w:p>
        </w:tc>
        <w:tc>
          <w:tcPr>
            <w:tcW w:w="3200" w:type="dxa"/>
            <w:tcBorders>
              <w:left w:val="single" w:sz="4" w:space="0" w:color="auto"/>
              <w:right w:val="single" w:sz="4" w:space="0" w:color="auto"/>
            </w:tcBorders>
          </w:tcPr>
          <w:p w:rsidR="00F66B0B" w:rsidRPr="00AA55C6" w:rsidRDefault="006C2B87" w:rsidP="00F66B0B">
            <w:pPr>
              <w:keepNext/>
              <w:jc w:val="center"/>
            </w:pPr>
            <w:r w:rsidRPr="00AA55C6">
              <w:rPr>
                <w:noProof/>
                <w:lang w:eastAsia="en-GB"/>
              </w:rPr>
              <w:drawing>
                <wp:inline distT="0" distB="0" distL="0" distR="0">
                  <wp:extent cx="1330960" cy="1398905"/>
                  <wp:effectExtent l="0" t="0" r="0" b="0"/>
                  <wp:docPr id="5" name="Picture 5" descr="2km_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km_r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30960" cy="1398905"/>
                          </a:xfrm>
                          <a:prstGeom prst="rect">
                            <a:avLst/>
                          </a:prstGeom>
                          <a:noFill/>
                          <a:ln>
                            <a:noFill/>
                          </a:ln>
                        </pic:spPr>
                      </pic:pic>
                    </a:graphicData>
                  </a:graphic>
                </wp:inline>
              </w:drawing>
            </w:r>
          </w:p>
        </w:tc>
      </w:tr>
      <w:tr w:rsidR="00F66B0B" w:rsidRPr="00AA55C6" w:rsidTr="004832D9">
        <w:tblPrEx>
          <w:tblCellMar>
            <w:top w:w="0" w:type="dxa"/>
            <w:bottom w:w="0" w:type="dxa"/>
          </w:tblCellMar>
        </w:tblPrEx>
        <w:trPr>
          <w:cantSplit/>
          <w:jc w:val="center"/>
        </w:trPr>
        <w:tc>
          <w:tcPr>
            <w:tcW w:w="1325" w:type="dxa"/>
            <w:tcBorders>
              <w:left w:val="single" w:sz="4" w:space="0" w:color="auto"/>
              <w:right w:val="single" w:sz="4" w:space="0" w:color="auto"/>
            </w:tcBorders>
            <w:vAlign w:val="center"/>
          </w:tcPr>
          <w:p w:rsidR="00F66B0B" w:rsidRPr="00AA55C6" w:rsidRDefault="00F66B0B" w:rsidP="00F66B0B">
            <w:pPr>
              <w:pStyle w:val="Tabletext"/>
              <w:jc w:val="center"/>
            </w:pPr>
            <w:r w:rsidRPr="00AA55C6">
              <w:t>2</w:t>
            </w:r>
          </w:p>
        </w:tc>
        <w:tc>
          <w:tcPr>
            <w:tcW w:w="1326" w:type="dxa"/>
            <w:tcBorders>
              <w:left w:val="single" w:sz="4" w:space="0" w:color="auto"/>
              <w:right w:val="single" w:sz="4" w:space="0" w:color="auto"/>
            </w:tcBorders>
          </w:tcPr>
          <w:p w:rsidR="00F66B0B" w:rsidRPr="00AA55C6" w:rsidRDefault="00F66B0B" w:rsidP="00F66B0B">
            <w:pPr>
              <w:pStyle w:val="Tabletext"/>
              <w:jc w:val="center"/>
            </w:pPr>
            <w:r w:rsidRPr="00AA55C6">
              <w:t>24-29</w:t>
            </w:r>
          </w:p>
          <w:p w:rsidR="00F66B0B" w:rsidRPr="00AA55C6" w:rsidRDefault="00F66B0B" w:rsidP="00F66B0B">
            <w:pPr>
              <w:pStyle w:val="Tabletext"/>
              <w:jc w:val="center"/>
            </w:pPr>
            <w:r w:rsidRPr="00AA55C6">
              <w:t>22-24</w:t>
            </w:r>
          </w:p>
          <w:p w:rsidR="00F66B0B" w:rsidRPr="00AA55C6" w:rsidRDefault="00F66B0B" w:rsidP="00F66B0B">
            <w:pPr>
              <w:pStyle w:val="Tabletext"/>
              <w:jc w:val="center"/>
            </w:pPr>
            <w:r w:rsidRPr="00AA55C6">
              <w:t>18-22</w:t>
            </w:r>
          </w:p>
          <w:p w:rsidR="00F66B0B" w:rsidRPr="00AA55C6" w:rsidRDefault="00F66B0B" w:rsidP="00F66B0B">
            <w:pPr>
              <w:pStyle w:val="Tabletext"/>
              <w:jc w:val="center"/>
            </w:pPr>
            <w:r w:rsidRPr="00AA55C6">
              <w:t>13-18</w:t>
            </w:r>
          </w:p>
        </w:tc>
        <w:tc>
          <w:tcPr>
            <w:tcW w:w="1327" w:type="dxa"/>
            <w:tcBorders>
              <w:left w:val="single" w:sz="4" w:space="0" w:color="auto"/>
            </w:tcBorders>
          </w:tcPr>
          <w:p w:rsidR="00F66B0B" w:rsidRPr="00AA55C6" w:rsidRDefault="00F66B0B" w:rsidP="00F66B0B">
            <w:pPr>
              <w:pStyle w:val="Tabletext"/>
              <w:jc w:val="center"/>
            </w:pPr>
            <w:r w:rsidRPr="00AA55C6">
              <w:t>29%</w:t>
            </w:r>
          </w:p>
          <w:p w:rsidR="00F66B0B" w:rsidRPr="00AA55C6" w:rsidRDefault="00F66B0B" w:rsidP="00F66B0B">
            <w:pPr>
              <w:pStyle w:val="Tabletext"/>
              <w:jc w:val="center"/>
            </w:pPr>
            <w:r w:rsidRPr="00AA55C6">
              <w:t>18%</w:t>
            </w:r>
          </w:p>
          <w:p w:rsidR="00F66B0B" w:rsidRPr="00AA55C6" w:rsidRDefault="00F66B0B" w:rsidP="00F66B0B">
            <w:pPr>
              <w:pStyle w:val="Tabletext"/>
              <w:jc w:val="center"/>
            </w:pPr>
            <w:r w:rsidRPr="00AA55C6">
              <w:t>30%</w:t>
            </w:r>
          </w:p>
          <w:p w:rsidR="00F66B0B" w:rsidRPr="00AA55C6" w:rsidRDefault="00F66B0B" w:rsidP="00F66B0B">
            <w:pPr>
              <w:pStyle w:val="Tabletext"/>
              <w:jc w:val="center"/>
            </w:pPr>
            <w:r w:rsidRPr="00AA55C6">
              <w:t>24%</w:t>
            </w:r>
          </w:p>
        </w:tc>
        <w:tc>
          <w:tcPr>
            <w:tcW w:w="1327" w:type="dxa"/>
            <w:tcBorders>
              <w:right w:val="single" w:sz="4" w:space="0" w:color="auto"/>
            </w:tcBorders>
          </w:tcPr>
          <w:p w:rsidR="00F66B0B" w:rsidRPr="00AA55C6" w:rsidRDefault="00F66B0B" w:rsidP="00F66B0B">
            <w:pPr>
              <w:pStyle w:val="Tabletext"/>
              <w:jc w:val="center"/>
            </w:pPr>
            <w:r w:rsidRPr="00AA55C6">
              <w:t>27%</w:t>
            </w:r>
          </w:p>
          <w:p w:rsidR="00F66B0B" w:rsidRPr="00AA55C6" w:rsidRDefault="00F66B0B" w:rsidP="00F66B0B">
            <w:pPr>
              <w:pStyle w:val="Tabletext"/>
              <w:jc w:val="center"/>
              <w:rPr>
                <w:rtl/>
              </w:rPr>
            </w:pPr>
            <w:r w:rsidRPr="00AA55C6">
              <w:t>19%</w:t>
            </w:r>
          </w:p>
          <w:p w:rsidR="00F66B0B" w:rsidRPr="00AA55C6" w:rsidRDefault="00F66B0B" w:rsidP="00F66B0B">
            <w:pPr>
              <w:pStyle w:val="Tabletext"/>
              <w:jc w:val="center"/>
            </w:pPr>
            <w:r w:rsidRPr="00AA55C6">
              <w:t>30%</w:t>
            </w:r>
          </w:p>
          <w:p w:rsidR="00F66B0B" w:rsidRPr="00AA55C6" w:rsidRDefault="00F66B0B" w:rsidP="00F66B0B">
            <w:pPr>
              <w:pStyle w:val="Tabletext"/>
              <w:jc w:val="center"/>
            </w:pPr>
            <w:r w:rsidRPr="00AA55C6">
              <w:t>24.5%</w:t>
            </w:r>
          </w:p>
        </w:tc>
        <w:tc>
          <w:tcPr>
            <w:tcW w:w="3200" w:type="dxa"/>
            <w:tcBorders>
              <w:left w:val="single" w:sz="4" w:space="0" w:color="auto"/>
              <w:right w:val="single" w:sz="4" w:space="0" w:color="auto"/>
            </w:tcBorders>
          </w:tcPr>
          <w:p w:rsidR="00F66B0B" w:rsidRPr="00AA55C6" w:rsidRDefault="006C2B87" w:rsidP="00F66B0B">
            <w:pPr>
              <w:jc w:val="center"/>
            </w:pPr>
            <w:r w:rsidRPr="00AA55C6">
              <w:rPr>
                <w:noProof/>
                <w:lang w:eastAsia="en-GB"/>
              </w:rPr>
              <w:drawing>
                <wp:inline distT="0" distB="0" distL="0" distR="0">
                  <wp:extent cx="1316990" cy="1391920"/>
                  <wp:effectExtent l="0" t="0" r="0" b="0"/>
                  <wp:docPr id="6" name="Picture 6" descr="2km_r2_i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km_r2_im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16990" cy="1391920"/>
                          </a:xfrm>
                          <a:prstGeom prst="rect">
                            <a:avLst/>
                          </a:prstGeom>
                          <a:noFill/>
                          <a:ln>
                            <a:noFill/>
                          </a:ln>
                        </pic:spPr>
                      </pic:pic>
                    </a:graphicData>
                  </a:graphic>
                </wp:inline>
              </w:drawing>
            </w:r>
          </w:p>
        </w:tc>
      </w:tr>
    </w:tbl>
    <w:p w:rsidR="004832D9" w:rsidRDefault="004832D9"/>
    <w:p w:rsidR="004832D9" w:rsidRPr="00AA55C6" w:rsidRDefault="004832D9" w:rsidP="004832D9">
      <w:pPr>
        <w:pStyle w:val="TableNo"/>
      </w:pPr>
      <w:r>
        <w:br w:type="page"/>
      </w:r>
      <w:r w:rsidRPr="00AA55C6">
        <w:lastRenderedPageBreak/>
        <w:t>TABLE 3</w:t>
      </w:r>
      <w:r>
        <w:t xml:space="preserve"> (</w:t>
      </w:r>
      <w:r w:rsidRPr="004832D9">
        <w:rPr>
          <w:i/>
          <w:iCs/>
        </w:rPr>
        <w:t>end</w:t>
      </w:r>
      <w:r>
        <w:t>)</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5"/>
        <w:gridCol w:w="1326"/>
        <w:gridCol w:w="1327"/>
        <w:gridCol w:w="1327"/>
        <w:gridCol w:w="3200"/>
      </w:tblGrid>
      <w:tr w:rsidR="004832D9" w:rsidRPr="00AA55C6" w:rsidTr="003C4625">
        <w:tblPrEx>
          <w:tblCellMar>
            <w:top w:w="0" w:type="dxa"/>
            <w:bottom w:w="0" w:type="dxa"/>
          </w:tblCellMar>
        </w:tblPrEx>
        <w:trPr>
          <w:cantSplit/>
          <w:jc w:val="center"/>
        </w:trPr>
        <w:tc>
          <w:tcPr>
            <w:tcW w:w="1325" w:type="dxa"/>
            <w:vMerge w:val="restart"/>
            <w:tcBorders>
              <w:top w:val="single" w:sz="4" w:space="0" w:color="auto"/>
              <w:left w:val="single" w:sz="4" w:space="0" w:color="auto"/>
              <w:right w:val="single" w:sz="4" w:space="0" w:color="auto"/>
            </w:tcBorders>
            <w:vAlign w:val="center"/>
          </w:tcPr>
          <w:p w:rsidR="004832D9" w:rsidRPr="00AA55C6" w:rsidRDefault="004832D9" w:rsidP="003C4625">
            <w:pPr>
              <w:pStyle w:val="Tablehead"/>
            </w:pPr>
            <w:r w:rsidRPr="00AA55C6">
              <w:t>Number of freq</w:t>
            </w:r>
            <w:r w:rsidR="00DA4D7A">
              <w:t>uency</w:t>
            </w:r>
            <w:r w:rsidRPr="00AA55C6">
              <w:t xml:space="preserve"> paths</w:t>
            </w:r>
          </w:p>
        </w:tc>
        <w:tc>
          <w:tcPr>
            <w:tcW w:w="1326" w:type="dxa"/>
            <w:vMerge w:val="restart"/>
            <w:tcBorders>
              <w:top w:val="single" w:sz="4" w:space="0" w:color="auto"/>
              <w:left w:val="single" w:sz="4" w:space="0" w:color="auto"/>
              <w:right w:val="single" w:sz="4" w:space="0" w:color="auto"/>
            </w:tcBorders>
          </w:tcPr>
          <w:p w:rsidR="004832D9" w:rsidRPr="00AA55C6" w:rsidRDefault="004832D9" w:rsidP="003C4625">
            <w:pPr>
              <w:pStyle w:val="Tablehead"/>
            </w:pPr>
            <w:r w:rsidRPr="00AA55C6">
              <w:rPr>
                <w:i/>
                <w:iCs/>
              </w:rPr>
              <w:t>C</w:t>
            </w:r>
            <w:r w:rsidRPr="00AA55C6">
              <w:t>/</w:t>
            </w:r>
            <w:r w:rsidRPr="00AA55C6">
              <w:rPr>
                <w:i/>
                <w:iCs/>
              </w:rPr>
              <w:t>I</w:t>
            </w:r>
            <w:r w:rsidR="00DA4D7A">
              <w:br/>
            </w:r>
            <w:r w:rsidRPr="00AA55C6">
              <w:t>(dB)</w:t>
            </w:r>
          </w:p>
        </w:tc>
        <w:tc>
          <w:tcPr>
            <w:tcW w:w="2654" w:type="dxa"/>
            <w:gridSpan w:val="2"/>
            <w:tcBorders>
              <w:top w:val="single" w:sz="4" w:space="0" w:color="auto"/>
              <w:left w:val="single" w:sz="4" w:space="0" w:color="auto"/>
              <w:right w:val="single" w:sz="4" w:space="0" w:color="auto"/>
            </w:tcBorders>
          </w:tcPr>
          <w:p w:rsidR="004832D9" w:rsidRPr="00AA55C6" w:rsidRDefault="004832D9" w:rsidP="003C4625">
            <w:pPr>
              <w:pStyle w:val="Tablehead"/>
            </w:pPr>
            <w:r w:rsidRPr="00AA55C6">
              <w:rPr>
                <w:i/>
                <w:iCs/>
              </w:rPr>
              <w:t>C</w:t>
            </w:r>
            <w:r w:rsidRPr="00AA55C6">
              <w:t>/</w:t>
            </w:r>
            <w:r w:rsidRPr="00AA55C6">
              <w:rPr>
                <w:i/>
                <w:iCs/>
              </w:rPr>
              <w:t>I</w:t>
            </w:r>
            <w:r w:rsidRPr="00AA55C6">
              <w:t xml:space="preserve"> distribution</w:t>
            </w:r>
          </w:p>
        </w:tc>
        <w:tc>
          <w:tcPr>
            <w:tcW w:w="3200" w:type="dxa"/>
            <w:vMerge w:val="restart"/>
            <w:tcBorders>
              <w:top w:val="single" w:sz="4" w:space="0" w:color="auto"/>
              <w:left w:val="single" w:sz="4" w:space="0" w:color="auto"/>
              <w:right w:val="single" w:sz="4" w:space="0" w:color="auto"/>
            </w:tcBorders>
            <w:vAlign w:val="center"/>
          </w:tcPr>
          <w:p w:rsidR="004832D9" w:rsidRPr="00AA55C6" w:rsidRDefault="004832D9" w:rsidP="003C4625">
            <w:pPr>
              <w:pStyle w:val="Tablehead"/>
            </w:pPr>
            <w:r w:rsidRPr="00AA55C6">
              <w:t>Typical pattern</w:t>
            </w:r>
          </w:p>
        </w:tc>
      </w:tr>
      <w:tr w:rsidR="004832D9" w:rsidRPr="00AA55C6" w:rsidTr="003C4625">
        <w:tblPrEx>
          <w:tblCellMar>
            <w:top w:w="0" w:type="dxa"/>
            <w:bottom w:w="0" w:type="dxa"/>
          </w:tblCellMar>
        </w:tblPrEx>
        <w:trPr>
          <w:cantSplit/>
          <w:jc w:val="center"/>
        </w:trPr>
        <w:tc>
          <w:tcPr>
            <w:tcW w:w="1325" w:type="dxa"/>
            <w:vMerge/>
            <w:tcBorders>
              <w:left w:val="single" w:sz="4" w:space="0" w:color="auto"/>
              <w:right w:val="single" w:sz="4" w:space="0" w:color="auto"/>
            </w:tcBorders>
            <w:vAlign w:val="center"/>
          </w:tcPr>
          <w:p w:rsidR="004832D9" w:rsidRPr="00AA55C6" w:rsidRDefault="004832D9" w:rsidP="003C4625">
            <w:pPr>
              <w:pStyle w:val="Tablehead"/>
            </w:pPr>
          </w:p>
        </w:tc>
        <w:tc>
          <w:tcPr>
            <w:tcW w:w="1326" w:type="dxa"/>
            <w:vMerge/>
            <w:tcBorders>
              <w:left w:val="single" w:sz="4" w:space="0" w:color="auto"/>
              <w:right w:val="single" w:sz="4" w:space="0" w:color="auto"/>
            </w:tcBorders>
          </w:tcPr>
          <w:p w:rsidR="004832D9" w:rsidRPr="00AA55C6" w:rsidRDefault="004832D9" w:rsidP="003C4625">
            <w:pPr>
              <w:pStyle w:val="Tablehead"/>
            </w:pPr>
          </w:p>
        </w:tc>
        <w:tc>
          <w:tcPr>
            <w:tcW w:w="1327" w:type="dxa"/>
            <w:tcBorders>
              <w:left w:val="single" w:sz="4" w:space="0" w:color="auto"/>
            </w:tcBorders>
          </w:tcPr>
          <w:p w:rsidR="004832D9" w:rsidRPr="00AA55C6" w:rsidRDefault="004832D9" w:rsidP="003C4625">
            <w:pPr>
              <w:pStyle w:val="Tablehead"/>
            </w:pPr>
            <w:r w:rsidRPr="00AA55C6">
              <w:t>2 km</w:t>
            </w:r>
          </w:p>
        </w:tc>
        <w:tc>
          <w:tcPr>
            <w:tcW w:w="1327" w:type="dxa"/>
            <w:tcBorders>
              <w:right w:val="single" w:sz="4" w:space="0" w:color="auto"/>
            </w:tcBorders>
          </w:tcPr>
          <w:p w:rsidR="004832D9" w:rsidRPr="00AA55C6" w:rsidRDefault="004832D9" w:rsidP="003C4625">
            <w:pPr>
              <w:pStyle w:val="Tablehead"/>
            </w:pPr>
            <w:r w:rsidRPr="00AA55C6">
              <w:t>6 km</w:t>
            </w:r>
          </w:p>
        </w:tc>
        <w:tc>
          <w:tcPr>
            <w:tcW w:w="3200" w:type="dxa"/>
            <w:vMerge/>
            <w:tcBorders>
              <w:left w:val="single" w:sz="4" w:space="0" w:color="auto"/>
              <w:right w:val="single" w:sz="4" w:space="0" w:color="auto"/>
            </w:tcBorders>
          </w:tcPr>
          <w:p w:rsidR="004832D9" w:rsidRPr="00AA55C6" w:rsidRDefault="004832D9" w:rsidP="003C4625">
            <w:pPr>
              <w:pStyle w:val="Tablehead"/>
            </w:pPr>
          </w:p>
        </w:tc>
      </w:tr>
      <w:tr w:rsidR="00F66B0B" w:rsidRPr="00AA55C6" w:rsidTr="004832D9">
        <w:tblPrEx>
          <w:tblCellMar>
            <w:top w:w="0" w:type="dxa"/>
            <w:bottom w:w="0" w:type="dxa"/>
          </w:tblCellMar>
        </w:tblPrEx>
        <w:trPr>
          <w:cantSplit/>
          <w:jc w:val="center"/>
        </w:trPr>
        <w:tc>
          <w:tcPr>
            <w:tcW w:w="1325" w:type="dxa"/>
            <w:tcBorders>
              <w:left w:val="single" w:sz="4" w:space="0" w:color="auto"/>
              <w:right w:val="single" w:sz="4" w:space="0" w:color="auto"/>
            </w:tcBorders>
            <w:vAlign w:val="center"/>
          </w:tcPr>
          <w:p w:rsidR="00F66B0B" w:rsidRPr="00AA55C6" w:rsidRDefault="00F66B0B" w:rsidP="00F66B0B">
            <w:pPr>
              <w:pStyle w:val="Tabletext"/>
              <w:jc w:val="center"/>
              <w:rPr>
                <w:rtl/>
              </w:rPr>
            </w:pPr>
            <w:r w:rsidRPr="00AA55C6">
              <w:t>3</w:t>
            </w:r>
          </w:p>
        </w:tc>
        <w:tc>
          <w:tcPr>
            <w:tcW w:w="1326" w:type="dxa"/>
            <w:tcBorders>
              <w:left w:val="single" w:sz="4" w:space="0" w:color="auto"/>
              <w:right w:val="single" w:sz="4" w:space="0" w:color="auto"/>
            </w:tcBorders>
          </w:tcPr>
          <w:p w:rsidR="00F66B0B" w:rsidRPr="00AA55C6" w:rsidRDefault="00F66B0B" w:rsidP="00F66B0B">
            <w:pPr>
              <w:pStyle w:val="Tabletext"/>
              <w:jc w:val="center"/>
            </w:pPr>
            <w:r w:rsidRPr="00AA55C6">
              <w:t>&gt;29 dB</w:t>
            </w:r>
          </w:p>
          <w:p w:rsidR="00F66B0B" w:rsidRPr="00AA55C6" w:rsidRDefault="00F66B0B" w:rsidP="00F66B0B">
            <w:pPr>
              <w:pStyle w:val="Tabletext"/>
              <w:jc w:val="center"/>
            </w:pPr>
            <w:r w:rsidRPr="00AA55C6">
              <w:t>24-29</w:t>
            </w:r>
          </w:p>
          <w:p w:rsidR="00F66B0B" w:rsidRPr="00AA55C6" w:rsidRDefault="00F66B0B" w:rsidP="00F66B0B">
            <w:pPr>
              <w:pStyle w:val="Tabletext"/>
              <w:jc w:val="center"/>
            </w:pPr>
            <w:r w:rsidRPr="00AA55C6">
              <w:t>22-24</w:t>
            </w:r>
          </w:p>
          <w:p w:rsidR="00F66B0B" w:rsidRPr="00AA55C6" w:rsidRDefault="00F66B0B" w:rsidP="00F66B0B">
            <w:pPr>
              <w:pStyle w:val="Tabletext"/>
              <w:jc w:val="center"/>
            </w:pPr>
            <w:r w:rsidRPr="00AA55C6">
              <w:t>18-22</w:t>
            </w:r>
          </w:p>
        </w:tc>
        <w:tc>
          <w:tcPr>
            <w:tcW w:w="1327" w:type="dxa"/>
            <w:tcBorders>
              <w:left w:val="single" w:sz="4" w:space="0" w:color="auto"/>
            </w:tcBorders>
          </w:tcPr>
          <w:p w:rsidR="00F66B0B" w:rsidRPr="00AA55C6" w:rsidRDefault="00F66B0B" w:rsidP="00F66B0B">
            <w:pPr>
              <w:pStyle w:val="Tabletext"/>
              <w:jc w:val="center"/>
            </w:pPr>
            <w:r w:rsidRPr="00AA55C6">
              <w:t>30.7%</w:t>
            </w:r>
          </w:p>
          <w:p w:rsidR="00F66B0B" w:rsidRPr="00AA55C6" w:rsidRDefault="00F66B0B" w:rsidP="00F66B0B">
            <w:pPr>
              <w:pStyle w:val="Tabletext"/>
              <w:jc w:val="center"/>
            </w:pPr>
            <w:r w:rsidRPr="00AA55C6">
              <w:t>51%</w:t>
            </w:r>
          </w:p>
          <w:p w:rsidR="00F66B0B" w:rsidRPr="00AA55C6" w:rsidRDefault="00F66B0B" w:rsidP="00F66B0B">
            <w:pPr>
              <w:pStyle w:val="Tabletext"/>
              <w:jc w:val="center"/>
            </w:pPr>
            <w:r w:rsidRPr="00AA55C6">
              <w:t>12%</w:t>
            </w:r>
          </w:p>
          <w:p w:rsidR="00F66B0B" w:rsidRPr="00AA55C6" w:rsidRDefault="00F66B0B" w:rsidP="00F66B0B">
            <w:pPr>
              <w:pStyle w:val="Tabletext"/>
              <w:jc w:val="center"/>
            </w:pPr>
            <w:r w:rsidRPr="00AA55C6">
              <w:t>6%</w:t>
            </w:r>
          </w:p>
        </w:tc>
        <w:tc>
          <w:tcPr>
            <w:tcW w:w="1327" w:type="dxa"/>
            <w:tcBorders>
              <w:right w:val="single" w:sz="4" w:space="0" w:color="auto"/>
            </w:tcBorders>
          </w:tcPr>
          <w:p w:rsidR="00F66B0B" w:rsidRPr="00AA55C6" w:rsidRDefault="00F66B0B" w:rsidP="00F66B0B">
            <w:pPr>
              <w:pStyle w:val="Tabletext"/>
              <w:jc w:val="center"/>
            </w:pPr>
            <w:r w:rsidRPr="00AA55C6">
              <w:t>37.7%</w:t>
            </w:r>
          </w:p>
          <w:p w:rsidR="00F66B0B" w:rsidRPr="00AA55C6" w:rsidRDefault="00F66B0B" w:rsidP="00F66B0B">
            <w:pPr>
              <w:pStyle w:val="Tabletext"/>
              <w:jc w:val="center"/>
            </w:pPr>
            <w:r w:rsidRPr="00AA55C6">
              <w:t>46.6%</w:t>
            </w:r>
          </w:p>
          <w:p w:rsidR="00F66B0B" w:rsidRPr="00AA55C6" w:rsidRDefault="00F66B0B" w:rsidP="00F66B0B">
            <w:pPr>
              <w:pStyle w:val="Tabletext"/>
              <w:jc w:val="center"/>
            </w:pPr>
            <w:r w:rsidRPr="00AA55C6">
              <w:t>13.6%</w:t>
            </w:r>
          </w:p>
          <w:p w:rsidR="00F66B0B" w:rsidRPr="00AA55C6" w:rsidRDefault="00F66B0B" w:rsidP="00F66B0B">
            <w:pPr>
              <w:pStyle w:val="Tabletext"/>
              <w:jc w:val="center"/>
            </w:pPr>
            <w:r w:rsidRPr="00AA55C6">
              <w:t>2%</w:t>
            </w:r>
          </w:p>
        </w:tc>
        <w:tc>
          <w:tcPr>
            <w:tcW w:w="3200" w:type="dxa"/>
            <w:tcBorders>
              <w:left w:val="single" w:sz="4" w:space="0" w:color="auto"/>
              <w:right w:val="single" w:sz="4" w:space="0" w:color="auto"/>
            </w:tcBorders>
          </w:tcPr>
          <w:p w:rsidR="00F66B0B" w:rsidRPr="00AA55C6" w:rsidRDefault="006C2B87" w:rsidP="00F66B0B">
            <w:pPr>
              <w:jc w:val="center"/>
            </w:pPr>
            <w:r w:rsidRPr="00AA55C6">
              <w:rPr>
                <w:noProof/>
                <w:lang w:eastAsia="en-GB"/>
              </w:rPr>
              <w:drawing>
                <wp:inline distT="0" distB="0" distL="0" distR="0">
                  <wp:extent cx="1289685" cy="1351280"/>
                  <wp:effectExtent l="0" t="0" r="0" b="0"/>
                  <wp:docPr id="7" name="Picture 7" descr="2km_r3_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km_r3_ba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89685" cy="1351280"/>
                          </a:xfrm>
                          <a:prstGeom prst="rect">
                            <a:avLst/>
                          </a:prstGeom>
                          <a:noFill/>
                          <a:ln>
                            <a:noFill/>
                          </a:ln>
                        </pic:spPr>
                      </pic:pic>
                    </a:graphicData>
                  </a:graphic>
                </wp:inline>
              </w:drawing>
            </w:r>
          </w:p>
        </w:tc>
      </w:tr>
      <w:tr w:rsidR="00F66B0B" w:rsidRPr="00AA55C6" w:rsidTr="004832D9">
        <w:tblPrEx>
          <w:tblCellMar>
            <w:top w:w="0" w:type="dxa"/>
            <w:bottom w:w="0" w:type="dxa"/>
          </w:tblCellMar>
        </w:tblPrEx>
        <w:trPr>
          <w:cantSplit/>
          <w:jc w:val="center"/>
        </w:trPr>
        <w:tc>
          <w:tcPr>
            <w:tcW w:w="1325" w:type="dxa"/>
            <w:tcBorders>
              <w:left w:val="single" w:sz="4" w:space="0" w:color="auto"/>
              <w:bottom w:val="single" w:sz="4" w:space="0" w:color="auto"/>
              <w:right w:val="single" w:sz="4" w:space="0" w:color="auto"/>
            </w:tcBorders>
            <w:vAlign w:val="center"/>
          </w:tcPr>
          <w:p w:rsidR="00F66B0B" w:rsidRPr="00AA55C6" w:rsidRDefault="00F66B0B" w:rsidP="00F66B0B">
            <w:pPr>
              <w:pStyle w:val="Tabletext"/>
              <w:jc w:val="center"/>
              <w:rPr>
                <w:rtl/>
              </w:rPr>
            </w:pPr>
            <w:r w:rsidRPr="00AA55C6">
              <w:t>6</w:t>
            </w:r>
          </w:p>
        </w:tc>
        <w:tc>
          <w:tcPr>
            <w:tcW w:w="1326" w:type="dxa"/>
            <w:tcBorders>
              <w:left w:val="single" w:sz="4" w:space="0" w:color="auto"/>
              <w:bottom w:val="single" w:sz="4" w:space="0" w:color="auto"/>
              <w:right w:val="single" w:sz="4" w:space="0" w:color="auto"/>
            </w:tcBorders>
          </w:tcPr>
          <w:p w:rsidR="00F66B0B" w:rsidRPr="00AA55C6" w:rsidRDefault="00F66B0B" w:rsidP="00F66B0B">
            <w:pPr>
              <w:pStyle w:val="Tabletext"/>
              <w:jc w:val="center"/>
              <w:rPr>
                <w:rtl/>
              </w:rPr>
            </w:pPr>
            <w:r w:rsidRPr="00AA55C6">
              <w:t>&gt;29 dB</w:t>
            </w:r>
          </w:p>
          <w:p w:rsidR="00F66B0B" w:rsidRPr="00AA55C6" w:rsidRDefault="00F66B0B" w:rsidP="00F66B0B">
            <w:pPr>
              <w:pStyle w:val="Tabletext"/>
              <w:jc w:val="center"/>
            </w:pPr>
            <w:r w:rsidRPr="00AA55C6">
              <w:t>24-29</w:t>
            </w:r>
          </w:p>
          <w:p w:rsidR="00F66B0B" w:rsidRPr="00AA55C6" w:rsidRDefault="00F66B0B" w:rsidP="00F66B0B">
            <w:pPr>
              <w:pStyle w:val="Tabletext"/>
              <w:jc w:val="center"/>
            </w:pPr>
            <w:r w:rsidRPr="00AA55C6">
              <w:t>22-24</w:t>
            </w:r>
          </w:p>
          <w:p w:rsidR="00F66B0B" w:rsidRPr="00AA55C6" w:rsidRDefault="00F66B0B" w:rsidP="00F66B0B">
            <w:pPr>
              <w:pStyle w:val="Tabletext"/>
              <w:jc w:val="center"/>
            </w:pPr>
            <w:r w:rsidRPr="00AA55C6">
              <w:t>18-22</w:t>
            </w:r>
          </w:p>
        </w:tc>
        <w:tc>
          <w:tcPr>
            <w:tcW w:w="1327" w:type="dxa"/>
            <w:tcBorders>
              <w:left w:val="single" w:sz="4" w:space="0" w:color="auto"/>
              <w:bottom w:val="single" w:sz="4" w:space="0" w:color="auto"/>
            </w:tcBorders>
          </w:tcPr>
          <w:p w:rsidR="00F66B0B" w:rsidRPr="00AA55C6" w:rsidRDefault="00F66B0B" w:rsidP="00F66B0B">
            <w:pPr>
              <w:pStyle w:val="Tabletext"/>
              <w:jc w:val="center"/>
            </w:pPr>
            <w:r w:rsidRPr="00AA55C6">
              <w:t>72.3%</w:t>
            </w:r>
          </w:p>
          <w:p w:rsidR="00F66B0B" w:rsidRPr="00AA55C6" w:rsidRDefault="00F66B0B" w:rsidP="00F66B0B">
            <w:pPr>
              <w:pStyle w:val="Tabletext"/>
              <w:jc w:val="center"/>
            </w:pPr>
            <w:r w:rsidRPr="00AA55C6">
              <w:t>26.3%</w:t>
            </w:r>
          </w:p>
          <w:p w:rsidR="00F66B0B" w:rsidRPr="00AA55C6" w:rsidRDefault="00F66B0B" w:rsidP="00F66B0B">
            <w:pPr>
              <w:pStyle w:val="Tabletext"/>
              <w:jc w:val="center"/>
            </w:pPr>
            <w:r w:rsidRPr="00AA55C6">
              <w:t>1.3%</w:t>
            </w:r>
          </w:p>
          <w:p w:rsidR="00F66B0B" w:rsidRPr="00AA55C6" w:rsidRDefault="00F66B0B" w:rsidP="00F66B0B">
            <w:pPr>
              <w:pStyle w:val="Tabletext"/>
              <w:jc w:val="center"/>
            </w:pPr>
            <w:r w:rsidRPr="00AA55C6">
              <w:t>0%</w:t>
            </w:r>
          </w:p>
        </w:tc>
        <w:tc>
          <w:tcPr>
            <w:tcW w:w="1327" w:type="dxa"/>
            <w:tcBorders>
              <w:bottom w:val="single" w:sz="4" w:space="0" w:color="auto"/>
              <w:right w:val="single" w:sz="4" w:space="0" w:color="auto"/>
            </w:tcBorders>
          </w:tcPr>
          <w:p w:rsidR="00F66B0B" w:rsidRPr="00AA55C6" w:rsidRDefault="00F66B0B" w:rsidP="00F66B0B">
            <w:pPr>
              <w:pStyle w:val="Tabletext"/>
              <w:jc w:val="center"/>
            </w:pPr>
            <w:r w:rsidRPr="00AA55C6">
              <w:t>48.53%</w:t>
            </w:r>
          </w:p>
          <w:p w:rsidR="00F66B0B" w:rsidRPr="00AA55C6" w:rsidRDefault="00F66B0B" w:rsidP="00F66B0B">
            <w:pPr>
              <w:pStyle w:val="Tabletext"/>
              <w:jc w:val="center"/>
            </w:pPr>
            <w:r w:rsidRPr="00AA55C6">
              <w:t>43.9%</w:t>
            </w:r>
          </w:p>
          <w:p w:rsidR="00F66B0B" w:rsidRPr="00AA55C6" w:rsidRDefault="00F66B0B" w:rsidP="00F66B0B">
            <w:pPr>
              <w:pStyle w:val="Tabletext"/>
              <w:jc w:val="center"/>
            </w:pPr>
            <w:r w:rsidRPr="00AA55C6">
              <w:t>6.8%</w:t>
            </w:r>
          </w:p>
          <w:p w:rsidR="00F66B0B" w:rsidRPr="00AA55C6" w:rsidRDefault="00F66B0B" w:rsidP="00F66B0B">
            <w:pPr>
              <w:pStyle w:val="Tabletext"/>
              <w:jc w:val="center"/>
            </w:pPr>
            <w:r w:rsidRPr="00AA55C6">
              <w:t>0.68%</w:t>
            </w:r>
          </w:p>
        </w:tc>
        <w:tc>
          <w:tcPr>
            <w:tcW w:w="3200" w:type="dxa"/>
            <w:tcBorders>
              <w:left w:val="single" w:sz="4" w:space="0" w:color="auto"/>
              <w:bottom w:val="single" w:sz="4" w:space="0" w:color="auto"/>
              <w:right w:val="single" w:sz="4" w:space="0" w:color="auto"/>
            </w:tcBorders>
          </w:tcPr>
          <w:p w:rsidR="00F66B0B" w:rsidRPr="00AA55C6" w:rsidRDefault="006C2B87" w:rsidP="00F66B0B">
            <w:pPr>
              <w:jc w:val="center"/>
            </w:pPr>
            <w:r w:rsidRPr="00AA55C6">
              <w:rPr>
                <w:noProof/>
                <w:lang w:eastAsia="en-GB"/>
              </w:rPr>
              <w:drawing>
                <wp:inline distT="0" distB="0" distL="0" distR="0">
                  <wp:extent cx="1310005" cy="1351280"/>
                  <wp:effectExtent l="0" t="0" r="0" b="0"/>
                  <wp:docPr id="8" name="Picture 8" descr="2km_r6_b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km_r6_bs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10005" cy="1351280"/>
                          </a:xfrm>
                          <a:prstGeom prst="rect">
                            <a:avLst/>
                          </a:prstGeom>
                          <a:noFill/>
                          <a:ln>
                            <a:noFill/>
                          </a:ln>
                        </pic:spPr>
                      </pic:pic>
                    </a:graphicData>
                  </a:graphic>
                </wp:inline>
              </w:drawing>
            </w:r>
          </w:p>
        </w:tc>
      </w:tr>
    </w:tbl>
    <w:p w:rsidR="004832D9" w:rsidRDefault="004832D9" w:rsidP="004832D9">
      <w:pPr>
        <w:pStyle w:val="Tablefin"/>
      </w:pPr>
    </w:p>
    <w:p w:rsidR="00F66B0B" w:rsidRPr="00AA55C6" w:rsidRDefault="00F66B0B" w:rsidP="00F66B0B">
      <w:pPr>
        <w:pStyle w:val="Heading3"/>
      </w:pPr>
      <w:r w:rsidRPr="00AA55C6">
        <w:t>2.2.1</w:t>
      </w:r>
      <w:r w:rsidRPr="00AA55C6">
        <w:tab/>
        <w:t>Capacity calculation</w:t>
      </w:r>
    </w:p>
    <w:p w:rsidR="00F66B0B" w:rsidRPr="00AA55C6" w:rsidRDefault="00F66B0B" w:rsidP="00F66B0B">
      <w:r w:rsidRPr="00AA55C6">
        <w:t>The average capacity, supported by a single carrier (SC) system using adaptive modulation, can be calculated according to the area ratios indicated in Table 3, assuming a uniform distribution of users within the area.</w:t>
      </w:r>
    </w:p>
    <w:p w:rsidR="00165E7E" w:rsidRDefault="00F66B0B" w:rsidP="00F66B0B">
      <w:pPr>
        <w:rPr>
          <w:lang w:val="en-US"/>
        </w:rPr>
      </w:pPr>
      <w:r w:rsidRPr="00AA55C6">
        <w:t>For OFDMA, the calculation is more elaborate, thanks to the path splitting and power concentration capabilities. The OFDMA may be operational even in the presence of large interference or low-field strength of received signal.</w:t>
      </w:r>
    </w:p>
    <w:p w:rsidR="0041031A" w:rsidRPr="00AA55C6" w:rsidRDefault="0041031A" w:rsidP="004832D9">
      <w:r w:rsidRPr="00AA55C6">
        <w:t xml:space="preserve">Table 4 summarizes the average capacity and RF efficiency in terms of the overall capacity per cell sector, the spectral efficiency in </w:t>
      </w:r>
      <w:r w:rsidR="004832D9">
        <w:t>bit/s</w:t>
      </w:r>
      <w:r w:rsidRPr="00AA55C6">
        <w:t xml:space="preserve">/Hz and the system efficiency in terms of </w:t>
      </w:r>
      <w:r w:rsidR="004832D9">
        <w:t>bit/s</w:t>
      </w:r>
      <w:r w:rsidRPr="00AA55C6">
        <w:t xml:space="preserve">/Hz/cell. </w:t>
      </w:r>
    </w:p>
    <w:p w:rsidR="0041031A" w:rsidRPr="00AA55C6" w:rsidRDefault="0041031A" w:rsidP="0041031A">
      <w:r w:rsidRPr="00AA55C6">
        <w:t xml:space="preserve">A typical/theoretical SC system has been used as a reference. For a single frequency path case, it cannot operate, as it requires a minimal </w:t>
      </w:r>
      <w:r w:rsidRPr="00AA55C6">
        <w:rPr>
          <w:i/>
        </w:rPr>
        <w:t>C</w:t>
      </w:r>
      <w:r w:rsidRPr="00AA55C6">
        <w:t>/</w:t>
      </w:r>
      <w:r w:rsidRPr="00AA55C6">
        <w:rPr>
          <w:i/>
        </w:rPr>
        <w:t>I</w:t>
      </w:r>
      <w:r w:rsidRPr="00AA55C6">
        <w:t xml:space="preserve"> level not available in this scenario.</w:t>
      </w:r>
    </w:p>
    <w:p w:rsidR="0041031A" w:rsidRPr="00AA55C6" w:rsidRDefault="0041031A" w:rsidP="0041031A">
      <w:r w:rsidRPr="00AA55C6">
        <w:t xml:space="preserve">In contrast, the OFDMA splits the bandwidth so that interference is avoided. In this case, although full capacity cannot be supported, some traffic can still be transmitted. </w:t>
      </w:r>
    </w:p>
    <w:p w:rsidR="0041031A" w:rsidRPr="00AA55C6" w:rsidRDefault="003C4625" w:rsidP="0041031A">
      <w:pPr>
        <w:pStyle w:val="TableNo"/>
      </w:pPr>
      <w:r>
        <w:br w:type="page"/>
      </w:r>
      <w:r w:rsidR="004832D9" w:rsidRPr="00AA55C6">
        <w:lastRenderedPageBreak/>
        <w:t xml:space="preserve">TABLE </w:t>
      </w:r>
      <w:r w:rsidR="0041031A" w:rsidRPr="00AA55C6">
        <w:t>4</w:t>
      </w:r>
    </w:p>
    <w:p w:rsidR="0041031A" w:rsidRPr="00AA55C6" w:rsidRDefault="0041031A" w:rsidP="0041031A">
      <w:pPr>
        <w:pStyle w:val="Tabletitle"/>
      </w:pPr>
      <w:r w:rsidRPr="00AA55C6">
        <w:t>Capacity per sector and efficiency of SC and OFDMA systems</w:t>
      </w: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4"/>
        <w:gridCol w:w="1714"/>
        <w:gridCol w:w="1372"/>
        <w:gridCol w:w="1115"/>
        <w:gridCol w:w="1189"/>
      </w:tblGrid>
      <w:tr w:rsidR="0041031A" w:rsidRPr="00AA55C6" w:rsidTr="004832D9">
        <w:tblPrEx>
          <w:tblCellMar>
            <w:top w:w="0" w:type="dxa"/>
            <w:bottom w:w="0" w:type="dxa"/>
          </w:tblCellMar>
        </w:tblPrEx>
        <w:trPr>
          <w:cantSplit/>
          <w:jc w:val="center"/>
        </w:trPr>
        <w:tc>
          <w:tcPr>
            <w:tcW w:w="1158" w:type="dxa"/>
            <w:vMerge w:val="restart"/>
          </w:tcPr>
          <w:p w:rsidR="0041031A" w:rsidRPr="00AA55C6" w:rsidRDefault="0041031A" w:rsidP="0041031A">
            <w:pPr>
              <w:pStyle w:val="Tablehead"/>
            </w:pPr>
            <w:r w:rsidRPr="00AA55C6">
              <w:t>Number of</w:t>
            </w:r>
            <w:r w:rsidRPr="00AA55C6">
              <w:br/>
              <w:t>forward frequency</w:t>
            </w:r>
            <w:r w:rsidRPr="00AA55C6">
              <w:br/>
              <w:t>paths</w:t>
            </w:r>
          </w:p>
        </w:tc>
        <w:tc>
          <w:tcPr>
            <w:tcW w:w="2526" w:type="dxa"/>
            <w:gridSpan w:val="2"/>
            <w:vMerge w:val="restart"/>
          </w:tcPr>
          <w:p w:rsidR="0041031A" w:rsidRPr="00AA55C6" w:rsidRDefault="0041031A" w:rsidP="0041031A">
            <w:pPr>
              <w:pStyle w:val="Tablehead"/>
            </w:pPr>
          </w:p>
        </w:tc>
        <w:tc>
          <w:tcPr>
            <w:tcW w:w="1886" w:type="dxa"/>
            <w:gridSpan w:val="2"/>
            <w:vAlign w:val="center"/>
          </w:tcPr>
          <w:p w:rsidR="0041031A" w:rsidRPr="00AA55C6" w:rsidRDefault="0041031A" w:rsidP="0041031A">
            <w:pPr>
              <w:pStyle w:val="Tablehead"/>
            </w:pPr>
            <w:r w:rsidRPr="00AA55C6">
              <w:t>Cell size</w:t>
            </w:r>
          </w:p>
        </w:tc>
      </w:tr>
      <w:tr w:rsidR="0041031A" w:rsidRPr="00AA55C6" w:rsidTr="004832D9">
        <w:tblPrEx>
          <w:tblCellMar>
            <w:top w:w="0" w:type="dxa"/>
            <w:bottom w:w="0" w:type="dxa"/>
          </w:tblCellMar>
        </w:tblPrEx>
        <w:trPr>
          <w:cantSplit/>
          <w:jc w:val="center"/>
        </w:trPr>
        <w:tc>
          <w:tcPr>
            <w:tcW w:w="1158" w:type="dxa"/>
            <w:vMerge/>
          </w:tcPr>
          <w:p w:rsidR="0041031A" w:rsidRPr="00AA55C6" w:rsidRDefault="0041031A" w:rsidP="0041031A">
            <w:pPr>
              <w:pStyle w:val="Tablehead"/>
            </w:pPr>
          </w:p>
        </w:tc>
        <w:tc>
          <w:tcPr>
            <w:tcW w:w="2526" w:type="dxa"/>
            <w:gridSpan w:val="2"/>
            <w:vMerge/>
          </w:tcPr>
          <w:p w:rsidR="0041031A" w:rsidRPr="00AA55C6" w:rsidRDefault="0041031A" w:rsidP="0041031A">
            <w:pPr>
              <w:pStyle w:val="Tablehead"/>
            </w:pPr>
          </w:p>
        </w:tc>
        <w:tc>
          <w:tcPr>
            <w:tcW w:w="913" w:type="dxa"/>
            <w:vAlign w:val="center"/>
          </w:tcPr>
          <w:p w:rsidR="0041031A" w:rsidRPr="00AA55C6" w:rsidRDefault="0041031A" w:rsidP="0041031A">
            <w:pPr>
              <w:pStyle w:val="Tablehead"/>
            </w:pPr>
            <w:r w:rsidRPr="00AA55C6">
              <w:t>2 km</w:t>
            </w:r>
          </w:p>
        </w:tc>
        <w:tc>
          <w:tcPr>
            <w:tcW w:w="973" w:type="dxa"/>
            <w:vAlign w:val="center"/>
          </w:tcPr>
          <w:p w:rsidR="0041031A" w:rsidRPr="00AA55C6" w:rsidRDefault="0041031A" w:rsidP="0041031A">
            <w:pPr>
              <w:pStyle w:val="Tablehead"/>
            </w:pPr>
            <w:r w:rsidRPr="00AA55C6">
              <w:t>6 km</w:t>
            </w:r>
          </w:p>
        </w:tc>
      </w:tr>
      <w:tr w:rsidR="0041031A" w:rsidRPr="00AA55C6" w:rsidTr="004832D9">
        <w:tblPrEx>
          <w:tblCellMar>
            <w:top w:w="0" w:type="dxa"/>
            <w:bottom w:w="0" w:type="dxa"/>
          </w:tblCellMar>
        </w:tblPrEx>
        <w:trPr>
          <w:cantSplit/>
          <w:jc w:val="center"/>
        </w:trPr>
        <w:tc>
          <w:tcPr>
            <w:tcW w:w="1158" w:type="dxa"/>
            <w:vMerge w:val="restart"/>
            <w:vAlign w:val="center"/>
          </w:tcPr>
          <w:p w:rsidR="0041031A" w:rsidRPr="00AA55C6" w:rsidRDefault="0041031A" w:rsidP="0041031A">
            <w:pPr>
              <w:pStyle w:val="Tabletext"/>
              <w:jc w:val="center"/>
            </w:pPr>
            <w:r w:rsidRPr="00AA55C6">
              <w:t>1</w:t>
            </w:r>
          </w:p>
        </w:tc>
        <w:tc>
          <w:tcPr>
            <w:tcW w:w="1403" w:type="dxa"/>
            <w:vMerge w:val="restart"/>
            <w:vAlign w:val="center"/>
          </w:tcPr>
          <w:p w:rsidR="0041031A" w:rsidRPr="00AA55C6" w:rsidRDefault="0041031A" w:rsidP="0041031A">
            <w:pPr>
              <w:pStyle w:val="Tabletext"/>
              <w:jc w:val="center"/>
            </w:pPr>
            <w:r w:rsidRPr="00AA55C6">
              <w:t>Mb</w:t>
            </w:r>
            <w:r w:rsidR="003C4625">
              <w:t>it/s</w:t>
            </w:r>
            <w:r w:rsidRPr="00AA55C6">
              <w:t>/sector</w:t>
            </w:r>
          </w:p>
        </w:tc>
        <w:tc>
          <w:tcPr>
            <w:tcW w:w="1123" w:type="dxa"/>
          </w:tcPr>
          <w:p w:rsidR="0041031A" w:rsidRPr="00AA55C6" w:rsidRDefault="0041031A" w:rsidP="0041031A">
            <w:pPr>
              <w:pStyle w:val="Tabletext"/>
              <w:jc w:val="center"/>
            </w:pPr>
            <w:r w:rsidRPr="00AA55C6">
              <w:t>SC</w:t>
            </w:r>
          </w:p>
        </w:tc>
        <w:tc>
          <w:tcPr>
            <w:tcW w:w="913" w:type="dxa"/>
            <w:vAlign w:val="center"/>
          </w:tcPr>
          <w:p w:rsidR="0041031A" w:rsidRPr="00AA55C6" w:rsidRDefault="0041031A" w:rsidP="0041031A">
            <w:pPr>
              <w:pStyle w:val="Tabletext"/>
              <w:jc w:val="center"/>
            </w:pPr>
            <w:r w:rsidRPr="00AA55C6">
              <w:t>0</w:t>
            </w:r>
          </w:p>
        </w:tc>
        <w:tc>
          <w:tcPr>
            <w:tcW w:w="973" w:type="dxa"/>
            <w:vAlign w:val="center"/>
          </w:tcPr>
          <w:p w:rsidR="0041031A" w:rsidRPr="00AA55C6" w:rsidRDefault="0041031A" w:rsidP="0041031A">
            <w:pPr>
              <w:pStyle w:val="Tabletext"/>
              <w:jc w:val="center"/>
            </w:pPr>
            <w:r w:rsidRPr="00AA55C6">
              <w:t>0</w:t>
            </w:r>
          </w:p>
        </w:tc>
      </w:tr>
      <w:tr w:rsidR="0041031A" w:rsidRPr="00AA55C6" w:rsidTr="004832D9">
        <w:tblPrEx>
          <w:tblCellMar>
            <w:top w:w="0" w:type="dxa"/>
            <w:bottom w:w="0" w:type="dxa"/>
          </w:tblCellMar>
        </w:tblPrEx>
        <w:trPr>
          <w:cantSplit/>
          <w:jc w:val="center"/>
        </w:trPr>
        <w:tc>
          <w:tcPr>
            <w:tcW w:w="1158" w:type="dxa"/>
            <w:vMerge/>
            <w:vAlign w:val="center"/>
          </w:tcPr>
          <w:p w:rsidR="0041031A" w:rsidRPr="00AA55C6" w:rsidRDefault="0041031A" w:rsidP="0041031A">
            <w:pPr>
              <w:pStyle w:val="Tabletext"/>
              <w:jc w:val="center"/>
            </w:pPr>
          </w:p>
        </w:tc>
        <w:tc>
          <w:tcPr>
            <w:tcW w:w="1403" w:type="dxa"/>
            <w:vMerge/>
            <w:vAlign w:val="center"/>
          </w:tcPr>
          <w:p w:rsidR="0041031A" w:rsidRPr="00AA55C6" w:rsidRDefault="0041031A" w:rsidP="0041031A">
            <w:pPr>
              <w:pStyle w:val="Tabletext"/>
              <w:jc w:val="center"/>
            </w:pPr>
          </w:p>
        </w:tc>
        <w:tc>
          <w:tcPr>
            <w:tcW w:w="1123" w:type="dxa"/>
          </w:tcPr>
          <w:p w:rsidR="0041031A" w:rsidRPr="00AA55C6" w:rsidRDefault="0041031A" w:rsidP="0041031A">
            <w:pPr>
              <w:pStyle w:val="Tabletext"/>
              <w:jc w:val="center"/>
              <w:rPr>
                <w:b/>
                <w:bCs/>
              </w:rPr>
            </w:pPr>
            <w:r w:rsidRPr="00AA55C6">
              <w:rPr>
                <w:b/>
                <w:bCs/>
              </w:rPr>
              <w:t>OFDMA</w:t>
            </w:r>
          </w:p>
        </w:tc>
        <w:tc>
          <w:tcPr>
            <w:tcW w:w="913" w:type="dxa"/>
            <w:vAlign w:val="center"/>
          </w:tcPr>
          <w:p w:rsidR="0041031A" w:rsidRPr="00AA55C6" w:rsidRDefault="0041031A" w:rsidP="0041031A">
            <w:pPr>
              <w:pStyle w:val="Tabletext"/>
              <w:jc w:val="center"/>
              <w:rPr>
                <w:b/>
                <w:bCs/>
              </w:rPr>
            </w:pPr>
            <w:r w:rsidRPr="00AA55C6">
              <w:rPr>
                <w:b/>
                <w:bCs/>
              </w:rPr>
              <w:t>2.35</w:t>
            </w:r>
          </w:p>
        </w:tc>
        <w:tc>
          <w:tcPr>
            <w:tcW w:w="973" w:type="dxa"/>
            <w:vAlign w:val="center"/>
          </w:tcPr>
          <w:p w:rsidR="0041031A" w:rsidRPr="00AA55C6" w:rsidRDefault="0041031A" w:rsidP="0041031A">
            <w:pPr>
              <w:pStyle w:val="Tabletext"/>
              <w:jc w:val="center"/>
              <w:rPr>
                <w:b/>
                <w:bCs/>
              </w:rPr>
            </w:pPr>
            <w:r w:rsidRPr="00AA55C6">
              <w:rPr>
                <w:b/>
                <w:bCs/>
              </w:rPr>
              <w:t>2.35</w:t>
            </w:r>
          </w:p>
        </w:tc>
      </w:tr>
      <w:tr w:rsidR="0041031A" w:rsidRPr="00AA55C6" w:rsidTr="004832D9">
        <w:tblPrEx>
          <w:tblCellMar>
            <w:top w:w="0" w:type="dxa"/>
            <w:bottom w:w="0" w:type="dxa"/>
          </w:tblCellMar>
        </w:tblPrEx>
        <w:trPr>
          <w:cantSplit/>
          <w:jc w:val="center"/>
        </w:trPr>
        <w:tc>
          <w:tcPr>
            <w:tcW w:w="1158" w:type="dxa"/>
            <w:vMerge/>
            <w:vAlign w:val="center"/>
          </w:tcPr>
          <w:p w:rsidR="0041031A" w:rsidRPr="00AA55C6" w:rsidRDefault="0041031A" w:rsidP="0041031A">
            <w:pPr>
              <w:pStyle w:val="Tabletext"/>
              <w:jc w:val="center"/>
            </w:pPr>
          </w:p>
        </w:tc>
        <w:tc>
          <w:tcPr>
            <w:tcW w:w="1403" w:type="dxa"/>
            <w:vMerge w:val="restart"/>
            <w:vAlign w:val="center"/>
          </w:tcPr>
          <w:p w:rsidR="0041031A" w:rsidRPr="00AA55C6" w:rsidRDefault="0041031A" w:rsidP="0041031A">
            <w:pPr>
              <w:pStyle w:val="Tabletext"/>
              <w:jc w:val="center"/>
            </w:pPr>
            <w:r w:rsidRPr="00AA55C6">
              <w:t>B</w:t>
            </w:r>
            <w:r w:rsidR="003C4625">
              <w:t>it/s</w:t>
            </w:r>
            <w:r w:rsidRPr="00AA55C6">
              <w:t>/Hz</w:t>
            </w:r>
          </w:p>
        </w:tc>
        <w:tc>
          <w:tcPr>
            <w:tcW w:w="1123" w:type="dxa"/>
          </w:tcPr>
          <w:p w:rsidR="0041031A" w:rsidRPr="00AA55C6" w:rsidRDefault="0041031A" w:rsidP="0041031A">
            <w:pPr>
              <w:pStyle w:val="Tabletext"/>
              <w:jc w:val="center"/>
            </w:pPr>
            <w:r w:rsidRPr="00AA55C6">
              <w:t>SC</w:t>
            </w:r>
          </w:p>
        </w:tc>
        <w:tc>
          <w:tcPr>
            <w:tcW w:w="913" w:type="dxa"/>
            <w:vAlign w:val="center"/>
          </w:tcPr>
          <w:p w:rsidR="0041031A" w:rsidRPr="00AA55C6" w:rsidRDefault="0041031A" w:rsidP="0041031A">
            <w:pPr>
              <w:pStyle w:val="Tabletext"/>
              <w:jc w:val="center"/>
            </w:pPr>
            <w:r w:rsidRPr="00AA55C6">
              <w:t>0</w:t>
            </w:r>
          </w:p>
        </w:tc>
        <w:tc>
          <w:tcPr>
            <w:tcW w:w="973" w:type="dxa"/>
            <w:vAlign w:val="center"/>
          </w:tcPr>
          <w:p w:rsidR="0041031A" w:rsidRPr="00AA55C6" w:rsidRDefault="0041031A" w:rsidP="0041031A">
            <w:pPr>
              <w:pStyle w:val="Tabletext"/>
              <w:jc w:val="center"/>
            </w:pPr>
            <w:r w:rsidRPr="00AA55C6">
              <w:t>0</w:t>
            </w:r>
          </w:p>
        </w:tc>
      </w:tr>
      <w:tr w:rsidR="0041031A" w:rsidRPr="00AA55C6" w:rsidTr="004832D9">
        <w:tblPrEx>
          <w:tblCellMar>
            <w:top w:w="0" w:type="dxa"/>
            <w:bottom w:w="0" w:type="dxa"/>
          </w:tblCellMar>
        </w:tblPrEx>
        <w:trPr>
          <w:cantSplit/>
          <w:jc w:val="center"/>
        </w:trPr>
        <w:tc>
          <w:tcPr>
            <w:tcW w:w="1158" w:type="dxa"/>
            <w:vMerge/>
            <w:vAlign w:val="center"/>
          </w:tcPr>
          <w:p w:rsidR="0041031A" w:rsidRPr="00AA55C6" w:rsidRDefault="0041031A" w:rsidP="0041031A">
            <w:pPr>
              <w:pStyle w:val="Tabletext"/>
              <w:jc w:val="center"/>
            </w:pPr>
          </w:p>
        </w:tc>
        <w:tc>
          <w:tcPr>
            <w:tcW w:w="1403" w:type="dxa"/>
            <w:vMerge/>
            <w:vAlign w:val="center"/>
          </w:tcPr>
          <w:p w:rsidR="0041031A" w:rsidRPr="00AA55C6" w:rsidRDefault="0041031A" w:rsidP="0041031A">
            <w:pPr>
              <w:pStyle w:val="Tabletext"/>
              <w:jc w:val="center"/>
            </w:pPr>
          </w:p>
        </w:tc>
        <w:tc>
          <w:tcPr>
            <w:tcW w:w="1123" w:type="dxa"/>
          </w:tcPr>
          <w:p w:rsidR="0041031A" w:rsidRPr="00AA55C6" w:rsidRDefault="0041031A" w:rsidP="0041031A">
            <w:pPr>
              <w:pStyle w:val="Tabletext"/>
              <w:jc w:val="center"/>
              <w:rPr>
                <w:b/>
                <w:bCs/>
              </w:rPr>
            </w:pPr>
            <w:r w:rsidRPr="00AA55C6">
              <w:rPr>
                <w:b/>
                <w:bCs/>
              </w:rPr>
              <w:t>OFDMA</w:t>
            </w:r>
          </w:p>
        </w:tc>
        <w:tc>
          <w:tcPr>
            <w:tcW w:w="913" w:type="dxa"/>
            <w:vAlign w:val="center"/>
          </w:tcPr>
          <w:p w:rsidR="0041031A" w:rsidRPr="00AA55C6" w:rsidRDefault="0041031A" w:rsidP="0041031A">
            <w:pPr>
              <w:pStyle w:val="Tabletext"/>
              <w:jc w:val="center"/>
              <w:rPr>
                <w:b/>
                <w:bCs/>
              </w:rPr>
            </w:pPr>
            <w:r w:rsidRPr="00AA55C6">
              <w:rPr>
                <w:b/>
                <w:bCs/>
              </w:rPr>
              <w:t>0.39</w:t>
            </w:r>
          </w:p>
        </w:tc>
        <w:tc>
          <w:tcPr>
            <w:tcW w:w="973" w:type="dxa"/>
            <w:vAlign w:val="center"/>
          </w:tcPr>
          <w:p w:rsidR="0041031A" w:rsidRPr="00AA55C6" w:rsidRDefault="0041031A" w:rsidP="0041031A">
            <w:pPr>
              <w:pStyle w:val="Tabletext"/>
              <w:jc w:val="center"/>
              <w:rPr>
                <w:b/>
                <w:bCs/>
              </w:rPr>
            </w:pPr>
            <w:r w:rsidRPr="00AA55C6">
              <w:rPr>
                <w:b/>
                <w:bCs/>
              </w:rPr>
              <w:t>0.39</w:t>
            </w:r>
          </w:p>
        </w:tc>
      </w:tr>
      <w:tr w:rsidR="0041031A" w:rsidRPr="00AA55C6" w:rsidTr="004832D9">
        <w:tblPrEx>
          <w:tblCellMar>
            <w:top w:w="0" w:type="dxa"/>
            <w:bottom w:w="0" w:type="dxa"/>
          </w:tblCellMar>
        </w:tblPrEx>
        <w:trPr>
          <w:cantSplit/>
          <w:jc w:val="center"/>
        </w:trPr>
        <w:tc>
          <w:tcPr>
            <w:tcW w:w="1158" w:type="dxa"/>
            <w:vMerge/>
            <w:vAlign w:val="center"/>
          </w:tcPr>
          <w:p w:rsidR="0041031A" w:rsidRPr="00AA55C6" w:rsidRDefault="0041031A" w:rsidP="0041031A">
            <w:pPr>
              <w:pStyle w:val="Tabletext"/>
              <w:jc w:val="center"/>
            </w:pPr>
          </w:p>
        </w:tc>
        <w:tc>
          <w:tcPr>
            <w:tcW w:w="1403" w:type="dxa"/>
            <w:vMerge w:val="restart"/>
            <w:vAlign w:val="center"/>
          </w:tcPr>
          <w:p w:rsidR="0041031A" w:rsidRPr="00AA55C6" w:rsidRDefault="0041031A" w:rsidP="0041031A">
            <w:pPr>
              <w:pStyle w:val="Tabletext"/>
              <w:jc w:val="center"/>
            </w:pPr>
            <w:r w:rsidRPr="00AA55C6">
              <w:t>B</w:t>
            </w:r>
            <w:r w:rsidR="003C4625">
              <w:t>it/s</w:t>
            </w:r>
            <w:r w:rsidRPr="00AA55C6">
              <w:t>/Hz/cell</w:t>
            </w:r>
          </w:p>
        </w:tc>
        <w:tc>
          <w:tcPr>
            <w:tcW w:w="1123" w:type="dxa"/>
          </w:tcPr>
          <w:p w:rsidR="0041031A" w:rsidRPr="00AA55C6" w:rsidRDefault="0041031A" w:rsidP="0041031A">
            <w:pPr>
              <w:pStyle w:val="Tabletext"/>
              <w:jc w:val="center"/>
            </w:pPr>
            <w:r w:rsidRPr="00AA55C6">
              <w:t>SC</w:t>
            </w:r>
          </w:p>
        </w:tc>
        <w:tc>
          <w:tcPr>
            <w:tcW w:w="913" w:type="dxa"/>
            <w:vAlign w:val="center"/>
          </w:tcPr>
          <w:p w:rsidR="0041031A" w:rsidRPr="00AA55C6" w:rsidRDefault="0041031A" w:rsidP="0041031A">
            <w:pPr>
              <w:pStyle w:val="Tabletext"/>
              <w:jc w:val="center"/>
            </w:pPr>
            <w:r w:rsidRPr="00AA55C6">
              <w:t>0</w:t>
            </w:r>
          </w:p>
        </w:tc>
        <w:tc>
          <w:tcPr>
            <w:tcW w:w="973" w:type="dxa"/>
            <w:vAlign w:val="center"/>
          </w:tcPr>
          <w:p w:rsidR="0041031A" w:rsidRPr="00AA55C6" w:rsidRDefault="0041031A" w:rsidP="0041031A">
            <w:pPr>
              <w:pStyle w:val="Tabletext"/>
              <w:jc w:val="center"/>
            </w:pPr>
            <w:r w:rsidRPr="00AA55C6">
              <w:t>0</w:t>
            </w:r>
          </w:p>
        </w:tc>
      </w:tr>
      <w:tr w:rsidR="0041031A" w:rsidRPr="00AA55C6" w:rsidTr="004832D9">
        <w:tblPrEx>
          <w:tblCellMar>
            <w:top w:w="0" w:type="dxa"/>
            <w:bottom w:w="0" w:type="dxa"/>
          </w:tblCellMar>
        </w:tblPrEx>
        <w:trPr>
          <w:cantSplit/>
          <w:jc w:val="center"/>
        </w:trPr>
        <w:tc>
          <w:tcPr>
            <w:tcW w:w="1158" w:type="dxa"/>
            <w:vMerge/>
            <w:vAlign w:val="center"/>
          </w:tcPr>
          <w:p w:rsidR="0041031A" w:rsidRPr="00AA55C6" w:rsidRDefault="0041031A" w:rsidP="0041031A">
            <w:pPr>
              <w:pStyle w:val="Tabletext"/>
              <w:jc w:val="center"/>
            </w:pPr>
          </w:p>
        </w:tc>
        <w:tc>
          <w:tcPr>
            <w:tcW w:w="1403" w:type="dxa"/>
            <w:vMerge/>
            <w:vAlign w:val="center"/>
          </w:tcPr>
          <w:p w:rsidR="0041031A" w:rsidRPr="00AA55C6" w:rsidRDefault="0041031A" w:rsidP="0041031A">
            <w:pPr>
              <w:pStyle w:val="Tabletext"/>
              <w:jc w:val="center"/>
            </w:pPr>
          </w:p>
        </w:tc>
        <w:tc>
          <w:tcPr>
            <w:tcW w:w="1123" w:type="dxa"/>
          </w:tcPr>
          <w:p w:rsidR="0041031A" w:rsidRPr="00AA55C6" w:rsidRDefault="0041031A" w:rsidP="0041031A">
            <w:pPr>
              <w:pStyle w:val="Tabletext"/>
              <w:jc w:val="center"/>
              <w:rPr>
                <w:b/>
                <w:bCs/>
              </w:rPr>
            </w:pPr>
            <w:r w:rsidRPr="00AA55C6">
              <w:rPr>
                <w:b/>
                <w:bCs/>
              </w:rPr>
              <w:t>OFDMA</w:t>
            </w:r>
          </w:p>
        </w:tc>
        <w:tc>
          <w:tcPr>
            <w:tcW w:w="913" w:type="dxa"/>
            <w:vAlign w:val="center"/>
          </w:tcPr>
          <w:p w:rsidR="0041031A" w:rsidRPr="00AA55C6" w:rsidRDefault="0041031A" w:rsidP="0041031A">
            <w:pPr>
              <w:pStyle w:val="Tabletext"/>
              <w:jc w:val="center"/>
              <w:rPr>
                <w:b/>
                <w:bCs/>
              </w:rPr>
            </w:pPr>
            <w:r w:rsidRPr="00AA55C6">
              <w:rPr>
                <w:b/>
                <w:bCs/>
              </w:rPr>
              <w:t>2.35</w:t>
            </w:r>
          </w:p>
        </w:tc>
        <w:tc>
          <w:tcPr>
            <w:tcW w:w="973" w:type="dxa"/>
            <w:vAlign w:val="center"/>
          </w:tcPr>
          <w:p w:rsidR="0041031A" w:rsidRPr="00AA55C6" w:rsidRDefault="0041031A" w:rsidP="0041031A">
            <w:pPr>
              <w:pStyle w:val="Tabletext"/>
              <w:jc w:val="center"/>
              <w:rPr>
                <w:b/>
                <w:bCs/>
              </w:rPr>
            </w:pPr>
            <w:r w:rsidRPr="00AA55C6">
              <w:rPr>
                <w:b/>
                <w:bCs/>
              </w:rPr>
              <w:t>2.35</w:t>
            </w:r>
          </w:p>
        </w:tc>
      </w:tr>
      <w:tr w:rsidR="0041031A" w:rsidRPr="00AA55C6" w:rsidTr="004832D9">
        <w:tblPrEx>
          <w:tblCellMar>
            <w:top w:w="0" w:type="dxa"/>
            <w:bottom w:w="0" w:type="dxa"/>
          </w:tblCellMar>
        </w:tblPrEx>
        <w:trPr>
          <w:cantSplit/>
          <w:jc w:val="center"/>
        </w:trPr>
        <w:tc>
          <w:tcPr>
            <w:tcW w:w="1158" w:type="dxa"/>
            <w:vMerge w:val="restart"/>
            <w:vAlign w:val="center"/>
          </w:tcPr>
          <w:p w:rsidR="0041031A" w:rsidRPr="00AA55C6" w:rsidRDefault="0041031A" w:rsidP="0041031A">
            <w:pPr>
              <w:pStyle w:val="Tabletext"/>
              <w:jc w:val="center"/>
            </w:pPr>
            <w:r w:rsidRPr="00AA55C6">
              <w:t>2</w:t>
            </w:r>
          </w:p>
        </w:tc>
        <w:tc>
          <w:tcPr>
            <w:tcW w:w="1403" w:type="dxa"/>
            <w:vMerge w:val="restart"/>
            <w:vAlign w:val="center"/>
          </w:tcPr>
          <w:p w:rsidR="0041031A" w:rsidRPr="00AA55C6" w:rsidRDefault="0041031A" w:rsidP="0041031A">
            <w:pPr>
              <w:pStyle w:val="Tabletext"/>
              <w:jc w:val="center"/>
            </w:pPr>
            <w:r w:rsidRPr="00AA55C6">
              <w:t>Mb</w:t>
            </w:r>
            <w:r w:rsidR="003C4625">
              <w:t>it/s</w:t>
            </w:r>
            <w:r w:rsidRPr="00AA55C6">
              <w:t>/sector</w:t>
            </w:r>
          </w:p>
        </w:tc>
        <w:tc>
          <w:tcPr>
            <w:tcW w:w="1123" w:type="dxa"/>
          </w:tcPr>
          <w:p w:rsidR="0041031A" w:rsidRPr="00AA55C6" w:rsidRDefault="0041031A" w:rsidP="0041031A">
            <w:pPr>
              <w:pStyle w:val="Tabletext"/>
              <w:jc w:val="center"/>
            </w:pPr>
            <w:r w:rsidRPr="00AA55C6">
              <w:t>SC</w:t>
            </w:r>
          </w:p>
        </w:tc>
        <w:tc>
          <w:tcPr>
            <w:tcW w:w="913" w:type="dxa"/>
            <w:vAlign w:val="center"/>
          </w:tcPr>
          <w:p w:rsidR="0041031A" w:rsidRPr="00AA55C6" w:rsidRDefault="0041031A" w:rsidP="0041031A">
            <w:pPr>
              <w:pStyle w:val="Tabletext"/>
              <w:jc w:val="center"/>
            </w:pPr>
            <w:r w:rsidRPr="00AA55C6">
              <w:t>7.4</w:t>
            </w:r>
          </w:p>
        </w:tc>
        <w:tc>
          <w:tcPr>
            <w:tcW w:w="973" w:type="dxa"/>
            <w:vAlign w:val="center"/>
          </w:tcPr>
          <w:p w:rsidR="0041031A" w:rsidRPr="00AA55C6" w:rsidRDefault="0041031A" w:rsidP="0041031A">
            <w:pPr>
              <w:pStyle w:val="Tabletext"/>
              <w:jc w:val="center"/>
            </w:pPr>
            <w:r w:rsidRPr="00AA55C6">
              <w:t>7.3</w:t>
            </w:r>
          </w:p>
        </w:tc>
      </w:tr>
      <w:tr w:rsidR="0041031A" w:rsidRPr="00AA55C6" w:rsidTr="004832D9">
        <w:tblPrEx>
          <w:tblCellMar>
            <w:top w:w="0" w:type="dxa"/>
            <w:bottom w:w="0" w:type="dxa"/>
          </w:tblCellMar>
        </w:tblPrEx>
        <w:trPr>
          <w:cantSplit/>
          <w:jc w:val="center"/>
        </w:trPr>
        <w:tc>
          <w:tcPr>
            <w:tcW w:w="1158" w:type="dxa"/>
            <w:vMerge/>
            <w:vAlign w:val="center"/>
          </w:tcPr>
          <w:p w:rsidR="0041031A" w:rsidRPr="00AA55C6" w:rsidRDefault="0041031A" w:rsidP="0041031A">
            <w:pPr>
              <w:pStyle w:val="Tabletext"/>
              <w:jc w:val="center"/>
            </w:pPr>
          </w:p>
        </w:tc>
        <w:tc>
          <w:tcPr>
            <w:tcW w:w="1403" w:type="dxa"/>
            <w:vMerge/>
            <w:vAlign w:val="center"/>
          </w:tcPr>
          <w:p w:rsidR="0041031A" w:rsidRPr="00AA55C6" w:rsidRDefault="0041031A" w:rsidP="0041031A">
            <w:pPr>
              <w:pStyle w:val="Tabletext"/>
              <w:jc w:val="center"/>
            </w:pPr>
          </w:p>
        </w:tc>
        <w:tc>
          <w:tcPr>
            <w:tcW w:w="1123" w:type="dxa"/>
          </w:tcPr>
          <w:p w:rsidR="0041031A" w:rsidRPr="00AA55C6" w:rsidRDefault="0041031A" w:rsidP="0041031A">
            <w:pPr>
              <w:pStyle w:val="Tabletext"/>
              <w:jc w:val="center"/>
              <w:rPr>
                <w:b/>
                <w:bCs/>
              </w:rPr>
            </w:pPr>
            <w:r w:rsidRPr="00AA55C6">
              <w:rPr>
                <w:b/>
                <w:bCs/>
              </w:rPr>
              <w:t>OFDMA</w:t>
            </w:r>
          </w:p>
        </w:tc>
        <w:tc>
          <w:tcPr>
            <w:tcW w:w="913" w:type="dxa"/>
            <w:vAlign w:val="center"/>
          </w:tcPr>
          <w:p w:rsidR="0041031A" w:rsidRPr="00AA55C6" w:rsidRDefault="0041031A" w:rsidP="0041031A">
            <w:pPr>
              <w:pStyle w:val="Tabletext"/>
              <w:jc w:val="center"/>
              <w:rPr>
                <w:b/>
                <w:bCs/>
              </w:rPr>
            </w:pPr>
            <w:r w:rsidRPr="00AA55C6">
              <w:rPr>
                <w:b/>
                <w:bCs/>
              </w:rPr>
              <w:t>8.96</w:t>
            </w:r>
          </w:p>
        </w:tc>
        <w:tc>
          <w:tcPr>
            <w:tcW w:w="973" w:type="dxa"/>
            <w:vAlign w:val="center"/>
          </w:tcPr>
          <w:p w:rsidR="0041031A" w:rsidRPr="00AA55C6" w:rsidRDefault="0041031A" w:rsidP="0041031A">
            <w:pPr>
              <w:pStyle w:val="Tabletext"/>
              <w:jc w:val="center"/>
              <w:rPr>
                <w:b/>
                <w:bCs/>
              </w:rPr>
            </w:pPr>
            <w:r w:rsidRPr="00AA55C6">
              <w:rPr>
                <w:b/>
                <w:bCs/>
              </w:rPr>
              <w:t>8.92</w:t>
            </w:r>
          </w:p>
        </w:tc>
      </w:tr>
      <w:tr w:rsidR="0041031A" w:rsidRPr="00AA55C6" w:rsidTr="004832D9">
        <w:tblPrEx>
          <w:tblCellMar>
            <w:top w:w="0" w:type="dxa"/>
            <w:bottom w:w="0" w:type="dxa"/>
          </w:tblCellMar>
        </w:tblPrEx>
        <w:trPr>
          <w:cantSplit/>
          <w:jc w:val="center"/>
        </w:trPr>
        <w:tc>
          <w:tcPr>
            <w:tcW w:w="1158" w:type="dxa"/>
            <w:vMerge/>
            <w:vAlign w:val="center"/>
          </w:tcPr>
          <w:p w:rsidR="0041031A" w:rsidRPr="00AA55C6" w:rsidRDefault="0041031A" w:rsidP="0041031A">
            <w:pPr>
              <w:pStyle w:val="Tabletext"/>
              <w:jc w:val="center"/>
            </w:pPr>
          </w:p>
        </w:tc>
        <w:tc>
          <w:tcPr>
            <w:tcW w:w="1403" w:type="dxa"/>
            <w:vMerge w:val="restart"/>
            <w:vAlign w:val="center"/>
          </w:tcPr>
          <w:p w:rsidR="0041031A" w:rsidRPr="00AA55C6" w:rsidRDefault="0041031A" w:rsidP="0041031A">
            <w:pPr>
              <w:pStyle w:val="Tabletext"/>
              <w:jc w:val="center"/>
            </w:pPr>
            <w:r w:rsidRPr="00AA55C6">
              <w:t>B</w:t>
            </w:r>
            <w:r w:rsidR="003C4625">
              <w:t>it/s</w:t>
            </w:r>
            <w:r w:rsidRPr="00AA55C6">
              <w:t>/Hz</w:t>
            </w:r>
          </w:p>
        </w:tc>
        <w:tc>
          <w:tcPr>
            <w:tcW w:w="1123" w:type="dxa"/>
          </w:tcPr>
          <w:p w:rsidR="0041031A" w:rsidRPr="00AA55C6" w:rsidRDefault="0041031A" w:rsidP="0041031A">
            <w:pPr>
              <w:pStyle w:val="Tabletext"/>
              <w:jc w:val="center"/>
            </w:pPr>
            <w:r w:rsidRPr="00AA55C6">
              <w:t>SC</w:t>
            </w:r>
          </w:p>
        </w:tc>
        <w:tc>
          <w:tcPr>
            <w:tcW w:w="913" w:type="dxa"/>
            <w:vAlign w:val="center"/>
          </w:tcPr>
          <w:p w:rsidR="0041031A" w:rsidRPr="00AA55C6" w:rsidRDefault="0041031A" w:rsidP="0041031A">
            <w:pPr>
              <w:pStyle w:val="Tabletext"/>
              <w:jc w:val="center"/>
            </w:pPr>
            <w:r w:rsidRPr="00AA55C6">
              <w:t>0.62</w:t>
            </w:r>
          </w:p>
        </w:tc>
        <w:tc>
          <w:tcPr>
            <w:tcW w:w="973" w:type="dxa"/>
            <w:vAlign w:val="center"/>
          </w:tcPr>
          <w:p w:rsidR="0041031A" w:rsidRPr="00AA55C6" w:rsidRDefault="0041031A" w:rsidP="0041031A">
            <w:pPr>
              <w:pStyle w:val="Tabletext"/>
              <w:jc w:val="center"/>
            </w:pPr>
            <w:r w:rsidRPr="00AA55C6">
              <w:t>0.61</w:t>
            </w:r>
          </w:p>
        </w:tc>
      </w:tr>
      <w:tr w:rsidR="0041031A" w:rsidRPr="00AA55C6" w:rsidTr="004832D9">
        <w:tblPrEx>
          <w:tblCellMar>
            <w:top w:w="0" w:type="dxa"/>
            <w:bottom w:w="0" w:type="dxa"/>
          </w:tblCellMar>
        </w:tblPrEx>
        <w:trPr>
          <w:cantSplit/>
          <w:jc w:val="center"/>
        </w:trPr>
        <w:tc>
          <w:tcPr>
            <w:tcW w:w="1158" w:type="dxa"/>
            <w:vMerge/>
            <w:vAlign w:val="center"/>
          </w:tcPr>
          <w:p w:rsidR="0041031A" w:rsidRPr="00AA55C6" w:rsidRDefault="0041031A" w:rsidP="0041031A">
            <w:pPr>
              <w:pStyle w:val="Tabletext"/>
              <w:jc w:val="center"/>
            </w:pPr>
          </w:p>
        </w:tc>
        <w:tc>
          <w:tcPr>
            <w:tcW w:w="1403" w:type="dxa"/>
            <w:vMerge/>
            <w:vAlign w:val="center"/>
          </w:tcPr>
          <w:p w:rsidR="0041031A" w:rsidRPr="00AA55C6" w:rsidRDefault="0041031A" w:rsidP="0041031A">
            <w:pPr>
              <w:pStyle w:val="Tabletext"/>
              <w:jc w:val="center"/>
            </w:pPr>
          </w:p>
        </w:tc>
        <w:tc>
          <w:tcPr>
            <w:tcW w:w="1123" w:type="dxa"/>
          </w:tcPr>
          <w:p w:rsidR="0041031A" w:rsidRPr="00AA55C6" w:rsidRDefault="0041031A" w:rsidP="0041031A">
            <w:pPr>
              <w:pStyle w:val="Tabletext"/>
              <w:jc w:val="center"/>
              <w:rPr>
                <w:b/>
                <w:bCs/>
              </w:rPr>
            </w:pPr>
            <w:r w:rsidRPr="00AA55C6">
              <w:rPr>
                <w:b/>
                <w:bCs/>
              </w:rPr>
              <w:t>OFDMA</w:t>
            </w:r>
          </w:p>
        </w:tc>
        <w:tc>
          <w:tcPr>
            <w:tcW w:w="913" w:type="dxa"/>
            <w:vAlign w:val="center"/>
          </w:tcPr>
          <w:p w:rsidR="0041031A" w:rsidRPr="00AA55C6" w:rsidRDefault="0041031A" w:rsidP="0041031A">
            <w:pPr>
              <w:pStyle w:val="Tabletext"/>
              <w:jc w:val="center"/>
              <w:rPr>
                <w:b/>
                <w:bCs/>
              </w:rPr>
            </w:pPr>
            <w:r w:rsidRPr="00AA55C6">
              <w:rPr>
                <w:b/>
                <w:bCs/>
              </w:rPr>
              <w:t>0.75</w:t>
            </w:r>
          </w:p>
        </w:tc>
        <w:tc>
          <w:tcPr>
            <w:tcW w:w="973" w:type="dxa"/>
            <w:vAlign w:val="center"/>
          </w:tcPr>
          <w:p w:rsidR="0041031A" w:rsidRPr="00AA55C6" w:rsidRDefault="0041031A" w:rsidP="0041031A">
            <w:pPr>
              <w:pStyle w:val="Tabletext"/>
              <w:jc w:val="center"/>
              <w:rPr>
                <w:b/>
                <w:bCs/>
              </w:rPr>
            </w:pPr>
            <w:r w:rsidRPr="00AA55C6">
              <w:rPr>
                <w:b/>
                <w:bCs/>
              </w:rPr>
              <w:t>0.74</w:t>
            </w:r>
          </w:p>
        </w:tc>
      </w:tr>
      <w:tr w:rsidR="0041031A" w:rsidRPr="00AA55C6" w:rsidTr="004832D9">
        <w:tblPrEx>
          <w:tblCellMar>
            <w:top w:w="0" w:type="dxa"/>
            <w:bottom w:w="0" w:type="dxa"/>
          </w:tblCellMar>
        </w:tblPrEx>
        <w:trPr>
          <w:cantSplit/>
          <w:jc w:val="center"/>
        </w:trPr>
        <w:tc>
          <w:tcPr>
            <w:tcW w:w="1158" w:type="dxa"/>
            <w:vMerge/>
            <w:vAlign w:val="center"/>
          </w:tcPr>
          <w:p w:rsidR="0041031A" w:rsidRPr="00AA55C6" w:rsidRDefault="0041031A" w:rsidP="0041031A">
            <w:pPr>
              <w:pStyle w:val="Tabletext"/>
              <w:jc w:val="center"/>
            </w:pPr>
          </w:p>
        </w:tc>
        <w:tc>
          <w:tcPr>
            <w:tcW w:w="1403" w:type="dxa"/>
            <w:vMerge w:val="restart"/>
            <w:vAlign w:val="center"/>
          </w:tcPr>
          <w:p w:rsidR="0041031A" w:rsidRPr="00AA55C6" w:rsidRDefault="0041031A" w:rsidP="0041031A">
            <w:pPr>
              <w:pStyle w:val="Tabletext"/>
              <w:jc w:val="center"/>
            </w:pPr>
            <w:r w:rsidRPr="00AA55C6">
              <w:t>B</w:t>
            </w:r>
            <w:r w:rsidR="003C4625">
              <w:t>it/s</w:t>
            </w:r>
            <w:r w:rsidRPr="00AA55C6">
              <w:t>/Hz/cell</w:t>
            </w:r>
          </w:p>
        </w:tc>
        <w:tc>
          <w:tcPr>
            <w:tcW w:w="1123" w:type="dxa"/>
          </w:tcPr>
          <w:p w:rsidR="0041031A" w:rsidRPr="00AA55C6" w:rsidRDefault="0041031A" w:rsidP="0041031A">
            <w:pPr>
              <w:pStyle w:val="Tabletext"/>
              <w:jc w:val="center"/>
            </w:pPr>
            <w:r w:rsidRPr="00AA55C6">
              <w:t>SC</w:t>
            </w:r>
          </w:p>
        </w:tc>
        <w:tc>
          <w:tcPr>
            <w:tcW w:w="913" w:type="dxa"/>
            <w:vAlign w:val="center"/>
          </w:tcPr>
          <w:p w:rsidR="0041031A" w:rsidRPr="00AA55C6" w:rsidRDefault="0041031A" w:rsidP="0041031A">
            <w:pPr>
              <w:pStyle w:val="Tabletext"/>
              <w:jc w:val="center"/>
            </w:pPr>
            <w:r w:rsidRPr="00AA55C6">
              <w:t>3.70</w:t>
            </w:r>
          </w:p>
        </w:tc>
        <w:tc>
          <w:tcPr>
            <w:tcW w:w="973" w:type="dxa"/>
            <w:vAlign w:val="center"/>
          </w:tcPr>
          <w:p w:rsidR="0041031A" w:rsidRPr="00AA55C6" w:rsidRDefault="0041031A" w:rsidP="0041031A">
            <w:pPr>
              <w:pStyle w:val="Tabletext"/>
              <w:jc w:val="center"/>
            </w:pPr>
            <w:r w:rsidRPr="00AA55C6">
              <w:t>3.65</w:t>
            </w:r>
          </w:p>
        </w:tc>
      </w:tr>
      <w:tr w:rsidR="0041031A" w:rsidRPr="00AA55C6" w:rsidTr="004832D9">
        <w:tblPrEx>
          <w:tblCellMar>
            <w:top w:w="0" w:type="dxa"/>
            <w:bottom w:w="0" w:type="dxa"/>
          </w:tblCellMar>
        </w:tblPrEx>
        <w:trPr>
          <w:cantSplit/>
          <w:jc w:val="center"/>
        </w:trPr>
        <w:tc>
          <w:tcPr>
            <w:tcW w:w="1158" w:type="dxa"/>
            <w:vMerge/>
            <w:vAlign w:val="center"/>
          </w:tcPr>
          <w:p w:rsidR="0041031A" w:rsidRPr="00AA55C6" w:rsidRDefault="0041031A" w:rsidP="0041031A">
            <w:pPr>
              <w:pStyle w:val="Tabletext"/>
              <w:jc w:val="center"/>
            </w:pPr>
          </w:p>
        </w:tc>
        <w:tc>
          <w:tcPr>
            <w:tcW w:w="1403" w:type="dxa"/>
            <w:vMerge/>
            <w:vAlign w:val="center"/>
          </w:tcPr>
          <w:p w:rsidR="0041031A" w:rsidRPr="00AA55C6" w:rsidRDefault="0041031A" w:rsidP="0041031A">
            <w:pPr>
              <w:pStyle w:val="Tabletext"/>
              <w:jc w:val="center"/>
            </w:pPr>
          </w:p>
        </w:tc>
        <w:tc>
          <w:tcPr>
            <w:tcW w:w="1123" w:type="dxa"/>
          </w:tcPr>
          <w:p w:rsidR="0041031A" w:rsidRPr="00AA55C6" w:rsidRDefault="0041031A" w:rsidP="0041031A">
            <w:pPr>
              <w:pStyle w:val="Tabletext"/>
              <w:jc w:val="center"/>
              <w:rPr>
                <w:b/>
                <w:bCs/>
              </w:rPr>
            </w:pPr>
            <w:r w:rsidRPr="00AA55C6">
              <w:rPr>
                <w:b/>
                <w:bCs/>
              </w:rPr>
              <w:t>OFDMA</w:t>
            </w:r>
          </w:p>
        </w:tc>
        <w:tc>
          <w:tcPr>
            <w:tcW w:w="913" w:type="dxa"/>
            <w:vAlign w:val="center"/>
          </w:tcPr>
          <w:p w:rsidR="0041031A" w:rsidRPr="00AA55C6" w:rsidRDefault="0041031A" w:rsidP="0041031A">
            <w:pPr>
              <w:pStyle w:val="Tabletext"/>
              <w:jc w:val="center"/>
              <w:rPr>
                <w:b/>
                <w:bCs/>
              </w:rPr>
            </w:pPr>
            <w:r w:rsidRPr="00AA55C6">
              <w:rPr>
                <w:b/>
                <w:bCs/>
              </w:rPr>
              <w:t>4.48</w:t>
            </w:r>
          </w:p>
        </w:tc>
        <w:tc>
          <w:tcPr>
            <w:tcW w:w="973" w:type="dxa"/>
            <w:vAlign w:val="center"/>
          </w:tcPr>
          <w:p w:rsidR="0041031A" w:rsidRPr="00AA55C6" w:rsidRDefault="0041031A" w:rsidP="0041031A">
            <w:pPr>
              <w:pStyle w:val="Tabletext"/>
              <w:jc w:val="center"/>
              <w:rPr>
                <w:b/>
                <w:bCs/>
              </w:rPr>
            </w:pPr>
            <w:r w:rsidRPr="00AA55C6">
              <w:rPr>
                <w:b/>
                <w:bCs/>
              </w:rPr>
              <w:t>4.46</w:t>
            </w:r>
          </w:p>
        </w:tc>
      </w:tr>
      <w:tr w:rsidR="0041031A" w:rsidRPr="00AA55C6" w:rsidTr="004832D9">
        <w:tblPrEx>
          <w:tblCellMar>
            <w:top w:w="0" w:type="dxa"/>
            <w:bottom w:w="0" w:type="dxa"/>
          </w:tblCellMar>
        </w:tblPrEx>
        <w:trPr>
          <w:cantSplit/>
          <w:jc w:val="center"/>
        </w:trPr>
        <w:tc>
          <w:tcPr>
            <w:tcW w:w="1158" w:type="dxa"/>
            <w:vMerge w:val="restart"/>
            <w:vAlign w:val="center"/>
          </w:tcPr>
          <w:p w:rsidR="0041031A" w:rsidRPr="00AA55C6" w:rsidRDefault="0041031A" w:rsidP="0041031A">
            <w:pPr>
              <w:pStyle w:val="Tabletext"/>
              <w:jc w:val="center"/>
            </w:pPr>
            <w:r w:rsidRPr="00AA55C6">
              <w:t>3</w:t>
            </w:r>
          </w:p>
        </w:tc>
        <w:tc>
          <w:tcPr>
            <w:tcW w:w="1403" w:type="dxa"/>
            <w:vMerge w:val="restart"/>
            <w:vAlign w:val="center"/>
          </w:tcPr>
          <w:p w:rsidR="0041031A" w:rsidRPr="00AA55C6" w:rsidRDefault="0041031A" w:rsidP="0041031A">
            <w:pPr>
              <w:pStyle w:val="Tabletext"/>
              <w:jc w:val="center"/>
            </w:pPr>
            <w:r w:rsidRPr="00AA55C6">
              <w:t>Mb</w:t>
            </w:r>
            <w:r w:rsidR="003C4625">
              <w:t>it/s</w:t>
            </w:r>
            <w:r w:rsidRPr="00AA55C6">
              <w:t>/sector</w:t>
            </w:r>
          </w:p>
        </w:tc>
        <w:tc>
          <w:tcPr>
            <w:tcW w:w="1123" w:type="dxa"/>
          </w:tcPr>
          <w:p w:rsidR="0041031A" w:rsidRPr="00AA55C6" w:rsidRDefault="0041031A" w:rsidP="0041031A">
            <w:pPr>
              <w:pStyle w:val="Tabletext"/>
              <w:jc w:val="center"/>
            </w:pPr>
            <w:r w:rsidRPr="00AA55C6">
              <w:t>SC</w:t>
            </w:r>
          </w:p>
        </w:tc>
        <w:tc>
          <w:tcPr>
            <w:tcW w:w="913" w:type="dxa"/>
          </w:tcPr>
          <w:p w:rsidR="0041031A" w:rsidRPr="00AA55C6" w:rsidRDefault="0041031A" w:rsidP="0041031A">
            <w:pPr>
              <w:pStyle w:val="Tabletext"/>
              <w:jc w:val="center"/>
            </w:pPr>
            <w:r w:rsidRPr="00AA55C6">
              <w:t>11.2</w:t>
            </w:r>
          </w:p>
        </w:tc>
        <w:tc>
          <w:tcPr>
            <w:tcW w:w="973" w:type="dxa"/>
          </w:tcPr>
          <w:p w:rsidR="0041031A" w:rsidRPr="00AA55C6" w:rsidRDefault="0041031A" w:rsidP="0041031A">
            <w:pPr>
              <w:pStyle w:val="Tabletext"/>
              <w:jc w:val="center"/>
            </w:pPr>
            <w:r w:rsidRPr="00AA55C6">
              <w:t>11.8</w:t>
            </w:r>
          </w:p>
        </w:tc>
      </w:tr>
      <w:tr w:rsidR="0041031A" w:rsidRPr="00AA55C6" w:rsidTr="004832D9">
        <w:tblPrEx>
          <w:tblCellMar>
            <w:top w:w="0" w:type="dxa"/>
            <w:bottom w:w="0" w:type="dxa"/>
          </w:tblCellMar>
        </w:tblPrEx>
        <w:trPr>
          <w:cantSplit/>
          <w:jc w:val="center"/>
        </w:trPr>
        <w:tc>
          <w:tcPr>
            <w:tcW w:w="1158" w:type="dxa"/>
            <w:vMerge/>
            <w:vAlign w:val="center"/>
          </w:tcPr>
          <w:p w:rsidR="0041031A" w:rsidRPr="00AA55C6" w:rsidRDefault="0041031A" w:rsidP="0041031A">
            <w:pPr>
              <w:pStyle w:val="Tabletext"/>
              <w:jc w:val="center"/>
            </w:pPr>
          </w:p>
        </w:tc>
        <w:tc>
          <w:tcPr>
            <w:tcW w:w="1403" w:type="dxa"/>
            <w:vMerge/>
            <w:vAlign w:val="center"/>
          </w:tcPr>
          <w:p w:rsidR="0041031A" w:rsidRPr="00AA55C6" w:rsidRDefault="0041031A" w:rsidP="0041031A">
            <w:pPr>
              <w:pStyle w:val="Tabletext"/>
              <w:jc w:val="center"/>
            </w:pPr>
          </w:p>
        </w:tc>
        <w:tc>
          <w:tcPr>
            <w:tcW w:w="1123" w:type="dxa"/>
          </w:tcPr>
          <w:p w:rsidR="0041031A" w:rsidRPr="00AA55C6" w:rsidRDefault="0041031A" w:rsidP="0041031A">
            <w:pPr>
              <w:pStyle w:val="Tabletext"/>
              <w:jc w:val="center"/>
              <w:rPr>
                <w:b/>
                <w:bCs/>
              </w:rPr>
            </w:pPr>
            <w:r w:rsidRPr="00AA55C6">
              <w:rPr>
                <w:b/>
                <w:bCs/>
              </w:rPr>
              <w:t>OFDMA</w:t>
            </w:r>
          </w:p>
        </w:tc>
        <w:tc>
          <w:tcPr>
            <w:tcW w:w="913" w:type="dxa"/>
          </w:tcPr>
          <w:p w:rsidR="0041031A" w:rsidRPr="00AA55C6" w:rsidRDefault="0041031A" w:rsidP="0041031A">
            <w:pPr>
              <w:pStyle w:val="Tabletext"/>
              <w:jc w:val="center"/>
              <w:rPr>
                <w:b/>
                <w:bCs/>
              </w:rPr>
            </w:pPr>
            <w:r w:rsidRPr="00AA55C6">
              <w:rPr>
                <w:b/>
                <w:bCs/>
              </w:rPr>
              <w:t>13.3</w:t>
            </w:r>
          </w:p>
        </w:tc>
        <w:tc>
          <w:tcPr>
            <w:tcW w:w="973" w:type="dxa"/>
          </w:tcPr>
          <w:p w:rsidR="0041031A" w:rsidRPr="00AA55C6" w:rsidRDefault="0041031A" w:rsidP="0041031A">
            <w:pPr>
              <w:pStyle w:val="Tabletext"/>
              <w:jc w:val="center"/>
              <w:rPr>
                <w:b/>
                <w:bCs/>
              </w:rPr>
            </w:pPr>
            <w:r w:rsidRPr="00AA55C6">
              <w:rPr>
                <w:b/>
                <w:bCs/>
              </w:rPr>
              <w:t>13.44</w:t>
            </w:r>
          </w:p>
        </w:tc>
      </w:tr>
      <w:tr w:rsidR="0041031A" w:rsidRPr="00AA55C6" w:rsidTr="004832D9">
        <w:tblPrEx>
          <w:tblCellMar>
            <w:top w:w="0" w:type="dxa"/>
            <w:bottom w:w="0" w:type="dxa"/>
          </w:tblCellMar>
        </w:tblPrEx>
        <w:trPr>
          <w:cantSplit/>
          <w:jc w:val="center"/>
        </w:trPr>
        <w:tc>
          <w:tcPr>
            <w:tcW w:w="1158" w:type="dxa"/>
            <w:vMerge/>
            <w:vAlign w:val="center"/>
          </w:tcPr>
          <w:p w:rsidR="0041031A" w:rsidRPr="00AA55C6" w:rsidRDefault="0041031A" w:rsidP="0041031A">
            <w:pPr>
              <w:pStyle w:val="Tabletext"/>
              <w:jc w:val="center"/>
            </w:pPr>
          </w:p>
        </w:tc>
        <w:tc>
          <w:tcPr>
            <w:tcW w:w="1403" w:type="dxa"/>
            <w:vMerge w:val="restart"/>
            <w:vAlign w:val="center"/>
          </w:tcPr>
          <w:p w:rsidR="0041031A" w:rsidRPr="00AA55C6" w:rsidRDefault="0041031A" w:rsidP="0041031A">
            <w:pPr>
              <w:pStyle w:val="Tabletext"/>
              <w:jc w:val="center"/>
            </w:pPr>
            <w:r w:rsidRPr="00AA55C6">
              <w:t>B</w:t>
            </w:r>
            <w:r w:rsidR="003C4625">
              <w:t>it/s</w:t>
            </w:r>
            <w:r w:rsidRPr="00AA55C6">
              <w:t>/Hz</w:t>
            </w:r>
          </w:p>
        </w:tc>
        <w:tc>
          <w:tcPr>
            <w:tcW w:w="1123" w:type="dxa"/>
          </w:tcPr>
          <w:p w:rsidR="0041031A" w:rsidRPr="00AA55C6" w:rsidRDefault="0041031A" w:rsidP="0041031A">
            <w:pPr>
              <w:pStyle w:val="Tabletext"/>
              <w:jc w:val="center"/>
            </w:pPr>
            <w:r w:rsidRPr="00AA55C6">
              <w:t>SC</w:t>
            </w:r>
          </w:p>
        </w:tc>
        <w:tc>
          <w:tcPr>
            <w:tcW w:w="913" w:type="dxa"/>
            <w:vAlign w:val="center"/>
          </w:tcPr>
          <w:p w:rsidR="0041031A" w:rsidRPr="00AA55C6" w:rsidRDefault="0041031A" w:rsidP="0041031A">
            <w:pPr>
              <w:pStyle w:val="Tabletext"/>
              <w:jc w:val="center"/>
            </w:pPr>
            <w:r w:rsidRPr="00AA55C6">
              <w:t>0.62</w:t>
            </w:r>
          </w:p>
        </w:tc>
        <w:tc>
          <w:tcPr>
            <w:tcW w:w="973" w:type="dxa"/>
            <w:vAlign w:val="center"/>
          </w:tcPr>
          <w:p w:rsidR="0041031A" w:rsidRPr="00AA55C6" w:rsidRDefault="0041031A" w:rsidP="0041031A">
            <w:pPr>
              <w:pStyle w:val="Tabletext"/>
              <w:jc w:val="center"/>
            </w:pPr>
            <w:r w:rsidRPr="00AA55C6">
              <w:t>0.66</w:t>
            </w:r>
          </w:p>
        </w:tc>
      </w:tr>
      <w:tr w:rsidR="0041031A" w:rsidRPr="00AA55C6" w:rsidTr="004832D9">
        <w:tblPrEx>
          <w:tblCellMar>
            <w:top w:w="0" w:type="dxa"/>
            <w:bottom w:w="0" w:type="dxa"/>
          </w:tblCellMar>
        </w:tblPrEx>
        <w:trPr>
          <w:cantSplit/>
          <w:jc w:val="center"/>
        </w:trPr>
        <w:tc>
          <w:tcPr>
            <w:tcW w:w="1158" w:type="dxa"/>
            <w:vMerge/>
            <w:vAlign w:val="center"/>
          </w:tcPr>
          <w:p w:rsidR="0041031A" w:rsidRPr="00AA55C6" w:rsidRDefault="0041031A" w:rsidP="0041031A">
            <w:pPr>
              <w:pStyle w:val="Tabletext"/>
              <w:jc w:val="center"/>
            </w:pPr>
          </w:p>
        </w:tc>
        <w:tc>
          <w:tcPr>
            <w:tcW w:w="1403" w:type="dxa"/>
            <w:vMerge/>
            <w:vAlign w:val="center"/>
          </w:tcPr>
          <w:p w:rsidR="0041031A" w:rsidRPr="00AA55C6" w:rsidRDefault="0041031A" w:rsidP="0041031A">
            <w:pPr>
              <w:pStyle w:val="Tabletext"/>
              <w:jc w:val="center"/>
            </w:pPr>
          </w:p>
        </w:tc>
        <w:tc>
          <w:tcPr>
            <w:tcW w:w="1123" w:type="dxa"/>
          </w:tcPr>
          <w:p w:rsidR="0041031A" w:rsidRPr="00AA55C6" w:rsidRDefault="0041031A" w:rsidP="0041031A">
            <w:pPr>
              <w:pStyle w:val="Tabletext"/>
              <w:jc w:val="center"/>
              <w:rPr>
                <w:b/>
                <w:bCs/>
              </w:rPr>
            </w:pPr>
            <w:r w:rsidRPr="00AA55C6">
              <w:rPr>
                <w:b/>
                <w:bCs/>
              </w:rPr>
              <w:t>OFDMA</w:t>
            </w:r>
          </w:p>
        </w:tc>
        <w:tc>
          <w:tcPr>
            <w:tcW w:w="913" w:type="dxa"/>
            <w:vAlign w:val="center"/>
          </w:tcPr>
          <w:p w:rsidR="0041031A" w:rsidRPr="00AA55C6" w:rsidRDefault="0041031A" w:rsidP="0041031A">
            <w:pPr>
              <w:pStyle w:val="Tabletext"/>
              <w:jc w:val="center"/>
              <w:rPr>
                <w:b/>
                <w:bCs/>
              </w:rPr>
            </w:pPr>
            <w:r w:rsidRPr="00AA55C6">
              <w:rPr>
                <w:b/>
                <w:bCs/>
              </w:rPr>
              <w:t>0.74</w:t>
            </w:r>
          </w:p>
        </w:tc>
        <w:tc>
          <w:tcPr>
            <w:tcW w:w="973" w:type="dxa"/>
            <w:vAlign w:val="center"/>
          </w:tcPr>
          <w:p w:rsidR="0041031A" w:rsidRPr="00AA55C6" w:rsidRDefault="0041031A" w:rsidP="0041031A">
            <w:pPr>
              <w:pStyle w:val="Tabletext"/>
              <w:jc w:val="center"/>
              <w:rPr>
                <w:b/>
                <w:bCs/>
              </w:rPr>
            </w:pPr>
            <w:r w:rsidRPr="00AA55C6">
              <w:rPr>
                <w:b/>
                <w:bCs/>
              </w:rPr>
              <w:t>0.75</w:t>
            </w:r>
          </w:p>
        </w:tc>
      </w:tr>
      <w:tr w:rsidR="0041031A" w:rsidRPr="00AA55C6" w:rsidTr="004832D9">
        <w:tblPrEx>
          <w:tblCellMar>
            <w:top w:w="0" w:type="dxa"/>
            <w:bottom w:w="0" w:type="dxa"/>
          </w:tblCellMar>
        </w:tblPrEx>
        <w:trPr>
          <w:cantSplit/>
          <w:jc w:val="center"/>
        </w:trPr>
        <w:tc>
          <w:tcPr>
            <w:tcW w:w="1158" w:type="dxa"/>
            <w:vMerge/>
            <w:vAlign w:val="center"/>
          </w:tcPr>
          <w:p w:rsidR="0041031A" w:rsidRPr="00AA55C6" w:rsidRDefault="0041031A" w:rsidP="0041031A">
            <w:pPr>
              <w:pStyle w:val="Tabletext"/>
              <w:jc w:val="center"/>
            </w:pPr>
          </w:p>
        </w:tc>
        <w:tc>
          <w:tcPr>
            <w:tcW w:w="1403" w:type="dxa"/>
            <w:vMerge w:val="restart"/>
            <w:vAlign w:val="center"/>
          </w:tcPr>
          <w:p w:rsidR="0041031A" w:rsidRPr="00AA55C6" w:rsidRDefault="0041031A" w:rsidP="0041031A">
            <w:pPr>
              <w:pStyle w:val="Tabletext"/>
              <w:jc w:val="center"/>
            </w:pPr>
            <w:r w:rsidRPr="00AA55C6">
              <w:t>B</w:t>
            </w:r>
            <w:r w:rsidR="003C4625">
              <w:t>it/s</w:t>
            </w:r>
            <w:r w:rsidRPr="00AA55C6">
              <w:t>/Hz/cell</w:t>
            </w:r>
          </w:p>
        </w:tc>
        <w:tc>
          <w:tcPr>
            <w:tcW w:w="1123" w:type="dxa"/>
          </w:tcPr>
          <w:p w:rsidR="0041031A" w:rsidRPr="00AA55C6" w:rsidRDefault="0041031A" w:rsidP="0041031A">
            <w:pPr>
              <w:pStyle w:val="Tabletext"/>
              <w:jc w:val="center"/>
            </w:pPr>
            <w:r w:rsidRPr="00AA55C6">
              <w:t>SC</w:t>
            </w:r>
          </w:p>
        </w:tc>
        <w:tc>
          <w:tcPr>
            <w:tcW w:w="913" w:type="dxa"/>
            <w:vAlign w:val="center"/>
          </w:tcPr>
          <w:p w:rsidR="0041031A" w:rsidRPr="00AA55C6" w:rsidRDefault="0041031A" w:rsidP="0041031A">
            <w:pPr>
              <w:pStyle w:val="Tabletext"/>
              <w:jc w:val="center"/>
            </w:pPr>
            <w:r w:rsidRPr="00AA55C6">
              <w:t>3.73</w:t>
            </w:r>
          </w:p>
        </w:tc>
        <w:tc>
          <w:tcPr>
            <w:tcW w:w="973" w:type="dxa"/>
            <w:vAlign w:val="center"/>
          </w:tcPr>
          <w:p w:rsidR="0041031A" w:rsidRPr="00AA55C6" w:rsidRDefault="0041031A" w:rsidP="0041031A">
            <w:pPr>
              <w:pStyle w:val="Tabletext"/>
              <w:jc w:val="center"/>
            </w:pPr>
            <w:r w:rsidRPr="00AA55C6">
              <w:t>3.93</w:t>
            </w:r>
          </w:p>
        </w:tc>
      </w:tr>
      <w:tr w:rsidR="0041031A" w:rsidRPr="00AA55C6" w:rsidTr="004832D9">
        <w:tblPrEx>
          <w:tblCellMar>
            <w:top w:w="0" w:type="dxa"/>
            <w:bottom w:w="0" w:type="dxa"/>
          </w:tblCellMar>
        </w:tblPrEx>
        <w:trPr>
          <w:cantSplit/>
          <w:jc w:val="center"/>
        </w:trPr>
        <w:tc>
          <w:tcPr>
            <w:tcW w:w="1158" w:type="dxa"/>
            <w:vMerge/>
            <w:vAlign w:val="center"/>
          </w:tcPr>
          <w:p w:rsidR="0041031A" w:rsidRPr="00AA55C6" w:rsidRDefault="0041031A" w:rsidP="0041031A">
            <w:pPr>
              <w:pStyle w:val="Tabletext"/>
              <w:jc w:val="center"/>
            </w:pPr>
          </w:p>
        </w:tc>
        <w:tc>
          <w:tcPr>
            <w:tcW w:w="1403" w:type="dxa"/>
            <w:vMerge/>
            <w:vAlign w:val="center"/>
          </w:tcPr>
          <w:p w:rsidR="0041031A" w:rsidRPr="00AA55C6" w:rsidRDefault="0041031A" w:rsidP="0041031A">
            <w:pPr>
              <w:pStyle w:val="Tabletext"/>
              <w:jc w:val="center"/>
            </w:pPr>
          </w:p>
        </w:tc>
        <w:tc>
          <w:tcPr>
            <w:tcW w:w="1123" w:type="dxa"/>
          </w:tcPr>
          <w:p w:rsidR="0041031A" w:rsidRPr="00AA55C6" w:rsidRDefault="0041031A" w:rsidP="0041031A">
            <w:pPr>
              <w:pStyle w:val="Tabletext"/>
              <w:jc w:val="center"/>
              <w:rPr>
                <w:b/>
                <w:bCs/>
              </w:rPr>
            </w:pPr>
            <w:r w:rsidRPr="00AA55C6">
              <w:rPr>
                <w:b/>
                <w:bCs/>
              </w:rPr>
              <w:t>OFDMA</w:t>
            </w:r>
          </w:p>
        </w:tc>
        <w:tc>
          <w:tcPr>
            <w:tcW w:w="913" w:type="dxa"/>
            <w:vAlign w:val="center"/>
          </w:tcPr>
          <w:p w:rsidR="0041031A" w:rsidRPr="00AA55C6" w:rsidRDefault="0041031A" w:rsidP="0041031A">
            <w:pPr>
              <w:pStyle w:val="Tabletext"/>
              <w:jc w:val="center"/>
              <w:rPr>
                <w:b/>
                <w:bCs/>
              </w:rPr>
            </w:pPr>
            <w:r w:rsidRPr="00AA55C6">
              <w:rPr>
                <w:b/>
                <w:bCs/>
              </w:rPr>
              <w:t>4.43</w:t>
            </w:r>
          </w:p>
        </w:tc>
        <w:tc>
          <w:tcPr>
            <w:tcW w:w="973" w:type="dxa"/>
            <w:vAlign w:val="center"/>
          </w:tcPr>
          <w:p w:rsidR="0041031A" w:rsidRPr="00AA55C6" w:rsidRDefault="0041031A" w:rsidP="0041031A">
            <w:pPr>
              <w:pStyle w:val="Tabletext"/>
              <w:jc w:val="center"/>
              <w:rPr>
                <w:b/>
                <w:bCs/>
              </w:rPr>
            </w:pPr>
            <w:r w:rsidRPr="00AA55C6">
              <w:rPr>
                <w:b/>
                <w:bCs/>
              </w:rPr>
              <w:t>4.48</w:t>
            </w:r>
          </w:p>
        </w:tc>
      </w:tr>
      <w:tr w:rsidR="0041031A" w:rsidRPr="00AA55C6" w:rsidTr="004832D9">
        <w:tblPrEx>
          <w:tblCellMar>
            <w:top w:w="0" w:type="dxa"/>
            <w:bottom w:w="0" w:type="dxa"/>
          </w:tblCellMar>
        </w:tblPrEx>
        <w:trPr>
          <w:cantSplit/>
          <w:jc w:val="center"/>
        </w:trPr>
        <w:tc>
          <w:tcPr>
            <w:tcW w:w="1158" w:type="dxa"/>
            <w:vMerge w:val="restart"/>
            <w:vAlign w:val="center"/>
          </w:tcPr>
          <w:p w:rsidR="0041031A" w:rsidRPr="00AA55C6" w:rsidRDefault="0041031A" w:rsidP="0041031A">
            <w:pPr>
              <w:pStyle w:val="Tabletext"/>
              <w:jc w:val="center"/>
            </w:pPr>
            <w:r w:rsidRPr="00AA55C6">
              <w:t>6</w:t>
            </w:r>
          </w:p>
        </w:tc>
        <w:tc>
          <w:tcPr>
            <w:tcW w:w="1403" w:type="dxa"/>
            <w:vMerge w:val="restart"/>
            <w:vAlign w:val="center"/>
          </w:tcPr>
          <w:p w:rsidR="0041031A" w:rsidRPr="00AA55C6" w:rsidRDefault="0041031A" w:rsidP="0041031A">
            <w:pPr>
              <w:pStyle w:val="Tabletext"/>
              <w:jc w:val="center"/>
            </w:pPr>
            <w:r w:rsidRPr="00AA55C6">
              <w:t>Mb</w:t>
            </w:r>
            <w:r w:rsidR="003C4625">
              <w:t>it/s</w:t>
            </w:r>
            <w:r w:rsidRPr="00AA55C6">
              <w:t>/sector</w:t>
            </w:r>
          </w:p>
        </w:tc>
        <w:tc>
          <w:tcPr>
            <w:tcW w:w="1123" w:type="dxa"/>
          </w:tcPr>
          <w:p w:rsidR="0041031A" w:rsidRPr="00AA55C6" w:rsidRDefault="0041031A" w:rsidP="0041031A">
            <w:pPr>
              <w:pStyle w:val="Tabletext"/>
              <w:jc w:val="center"/>
            </w:pPr>
            <w:r w:rsidRPr="00AA55C6">
              <w:t>SC</w:t>
            </w:r>
          </w:p>
        </w:tc>
        <w:tc>
          <w:tcPr>
            <w:tcW w:w="913" w:type="dxa"/>
          </w:tcPr>
          <w:p w:rsidR="0041031A" w:rsidRPr="00AA55C6" w:rsidRDefault="0041031A" w:rsidP="0041031A">
            <w:pPr>
              <w:pStyle w:val="Tabletext"/>
              <w:jc w:val="center"/>
            </w:pPr>
            <w:r w:rsidRPr="00AA55C6">
              <w:t>13.6</w:t>
            </w:r>
          </w:p>
        </w:tc>
        <w:tc>
          <w:tcPr>
            <w:tcW w:w="973" w:type="dxa"/>
          </w:tcPr>
          <w:p w:rsidR="0041031A" w:rsidRPr="00AA55C6" w:rsidRDefault="0041031A" w:rsidP="0041031A">
            <w:pPr>
              <w:pStyle w:val="Tabletext"/>
              <w:jc w:val="center"/>
            </w:pPr>
            <w:r w:rsidRPr="00AA55C6">
              <w:t>12.4</w:t>
            </w:r>
          </w:p>
        </w:tc>
      </w:tr>
      <w:tr w:rsidR="0041031A" w:rsidRPr="00AA55C6" w:rsidTr="004832D9">
        <w:tblPrEx>
          <w:tblCellMar>
            <w:top w:w="0" w:type="dxa"/>
            <w:bottom w:w="0" w:type="dxa"/>
          </w:tblCellMar>
        </w:tblPrEx>
        <w:trPr>
          <w:cantSplit/>
          <w:jc w:val="center"/>
        </w:trPr>
        <w:tc>
          <w:tcPr>
            <w:tcW w:w="1158" w:type="dxa"/>
            <w:vMerge/>
          </w:tcPr>
          <w:p w:rsidR="0041031A" w:rsidRPr="00AA55C6" w:rsidRDefault="0041031A" w:rsidP="0041031A">
            <w:pPr>
              <w:pStyle w:val="Tabletext"/>
              <w:jc w:val="center"/>
            </w:pPr>
          </w:p>
        </w:tc>
        <w:tc>
          <w:tcPr>
            <w:tcW w:w="1403" w:type="dxa"/>
            <w:vMerge/>
            <w:vAlign w:val="center"/>
          </w:tcPr>
          <w:p w:rsidR="0041031A" w:rsidRPr="00AA55C6" w:rsidRDefault="0041031A" w:rsidP="0041031A">
            <w:pPr>
              <w:pStyle w:val="Tabletext"/>
              <w:jc w:val="center"/>
            </w:pPr>
          </w:p>
        </w:tc>
        <w:tc>
          <w:tcPr>
            <w:tcW w:w="1123" w:type="dxa"/>
          </w:tcPr>
          <w:p w:rsidR="0041031A" w:rsidRPr="00AA55C6" w:rsidRDefault="0041031A" w:rsidP="0041031A">
            <w:pPr>
              <w:pStyle w:val="Tabletext"/>
              <w:jc w:val="center"/>
              <w:rPr>
                <w:b/>
                <w:bCs/>
              </w:rPr>
            </w:pPr>
            <w:r w:rsidRPr="00AA55C6">
              <w:rPr>
                <w:b/>
                <w:bCs/>
              </w:rPr>
              <w:t>OFDMA</w:t>
            </w:r>
          </w:p>
        </w:tc>
        <w:tc>
          <w:tcPr>
            <w:tcW w:w="913" w:type="dxa"/>
          </w:tcPr>
          <w:p w:rsidR="0041031A" w:rsidRPr="00AA55C6" w:rsidRDefault="0041031A" w:rsidP="0041031A">
            <w:pPr>
              <w:pStyle w:val="Tabletext"/>
              <w:jc w:val="center"/>
              <w:rPr>
                <w:b/>
                <w:bCs/>
              </w:rPr>
            </w:pPr>
            <w:r w:rsidRPr="00AA55C6">
              <w:rPr>
                <w:b/>
                <w:bCs/>
              </w:rPr>
              <w:t>15</w:t>
            </w:r>
          </w:p>
        </w:tc>
        <w:tc>
          <w:tcPr>
            <w:tcW w:w="973" w:type="dxa"/>
          </w:tcPr>
          <w:p w:rsidR="0041031A" w:rsidRPr="00AA55C6" w:rsidRDefault="0041031A" w:rsidP="0041031A">
            <w:pPr>
              <w:pStyle w:val="Tabletext"/>
              <w:jc w:val="center"/>
              <w:rPr>
                <w:b/>
                <w:bCs/>
              </w:rPr>
            </w:pPr>
            <w:r w:rsidRPr="00AA55C6">
              <w:rPr>
                <w:b/>
                <w:bCs/>
              </w:rPr>
              <w:t>15</w:t>
            </w:r>
          </w:p>
        </w:tc>
      </w:tr>
      <w:tr w:rsidR="0041031A" w:rsidRPr="00AA55C6" w:rsidTr="004832D9">
        <w:tblPrEx>
          <w:tblCellMar>
            <w:top w:w="0" w:type="dxa"/>
            <w:bottom w:w="0" w:type="dxa"/>
          </w:tblCellMar>
        </w:tblPrEx>
        <w:trPr>
          <w:cantSplit/>
          <w:jc w:val="center"/>
        </w:trPr>
        <w:tc>
          <w:tcPr>
            <w:tcW w:w="1158" w:type="dxa"/>
            <w:vMerge/>
          </w:tcPr>
          <w:p w:rsidR="0041031A" w:rsidRPr="00AA55C6" w:rsidRDefault="0041031A" w:rsidP="0041031A">
            <w:pPr>
              <w:pStyle w:val="Tabletext"/>
              <w:jc w:val="center"/>
            </w:pPr>
          </w:p>
        </w:tc>
        <w:tc>
          <w:tcPr>
            <w:tcW w:w="1403" w:type="dxa"/>
            <w:vMerge w:val="restart"/>
            <w:vAlign w:val="center"/>
          </w:tcPr>
          <w:p w:rsidR="0041031A" w:rsidRPr="00AA55C6" w:rsidRDefault="0041031A" w:rsidP="0041031A">
            <w:pPr>
              <w:pStyle w:val="Tabletext"/>
              <w:jc w:val="center"/>
            </w:pPr>
            <w:r w:rsidRPr="00AA55C6">
              <w:t>B</w:t>
            </w:r>
            <w:r w:rsidR="003C4625">
              <w:t>it/s</w:t>
            </w:r>
            <w:r w:rsidRPr="00AA55C6">
              <w:t>/Hz</w:t>
            </w:r>
          </w:p>
        </w:tc>
        <w:tc>
          <w:tcPr>
            <w:tcW w:w="1123" w:type="dxa"/>
          </w:tcPr>
          <w:p w:rsidR="0041031A" w:rsidRPr="00AA55C6" w:rsidRDefault="0041031A" w:rsidP="0041031A">
            <w:pPr>
              <w:pStyle w:val="Tabletext"/>
              <w:jc w:val="center"/>
            </w:pPr>
            <w:r w:rsidRPr="00AA55C6">
              <w:t>SC</w:t>
            </w:r>
          </w:p>
        </w:tc>
        <w:tc>
          <w:tcPr>
            <w:tcW w:w="913" w:type="dxa"/>
            <w:vAlign w:val="center"/>
          </w:tcPr>
          <w:p w:rsidR="0041031A" w:rsidRPr="00AA55C6" w:rsidRDefault="0041031A" w:rsidP="0041031A">
            <w:pPr>
              <w:pStyle w:val="Tabletext"/>
              <w:jc w:val="center"/>
            </w:pPr>
            <w:r w:rsidRPr="00AA55C6">
              <w:t>0.38</w:t>
            </w:r>
          </w:p>
        </w:tc>
        <w:tc>
          <w:tcPr>
            <w:tcW w:w="973" w:type="dxa"/>
            <w:vAlign w:val="center"/>
          </w:tcPr>
          <w:p w:rsidR="0041031A" w:rsidRPr="00AA55C6" w:rsidRDefault="0041031A" w:rsidP="0041031A">
            <w:pPr>
              <w:pStyle w:val="Tabletext"/>
              <w:jc w:val="center"/>
            </w:pPr>
            <w:r w:rsidRPr="00AA55C6">
              <w:t>0.34</w:t>
            </w:r>
          </w:p>
        </w:tc>
      </w:tr>
      <w:tr w:rsidR="0041031A" w:rsidRPr="00AA55C6" w:rsidTr="004832D9">
        <w:tblPrEx>
          <w:tblCellMar>
            <w:top w:w="0" w:type="dxa"/>
            <w:bottom w:w="0" w:type="dxa"/>
          </w:tblCellMar>
        </w:tblPrEx>
        <w:trPr>
          <w:cantSplit/>
          <w:jc w:val="center"/>
        </w:trPr>
        <w:tc>
          <w:tcPr>
            <w:tcW w:w="1158" w:type="dxa"/>
            <w:vMerge/>
          </w:tcPr>
          <w:p w:rsidR="0041031A" w:rsidRPr="00AA55C6" w:rsidRDefault="0041031A" w:rsidP="0041031A">
            <w:pPr>
              <w:pStyle w:val="Tabletext"/>
              <w:jc w:val="center"/>
            </w:pPr>
          </w:p>
        </w:tc>
        <w:tc>
          <w:tcPr>
            <w:tcW w:w="1403" w:type="dxa"/>
            <w:vMerge/>
            <w:vAlign w:val="center"/>
          </w:tcPr>
          <w:p w:rsidR="0041031A" w:rsidRPr="00AA55C6" w:rsidRDefault="0041031A" w:rsidP="0041031A">
            <w:pPr>
              <w:pStyle w:val="Tabletext"/>
              <w:jc w:val="center"/>
            </w:pPr>
          </w:p>
        </w:tc>
        <w:tc>
          <w:tcPr>
            <w:tcW w:w="1123" w:type="dxa"/>
          </w:tcPr>
          <w:p w:rsidR="0041031A" w:rsidRPr="00AA55C6" w:rsidRDefault="0041031A" w:rsidP="0041031A">
            <w:pPr>
              <w:pStyle w:val="Tabletext"/>
              <w:jc w:val="center"/>
              <w:rPr>
                <w:b/>
                <w:bCs/>
              </w:rPr>
            </w:pPr>
            <w:r w:rsidRPr="00AA55C6">
              <w:rPr>
                <w:b/>
                <w:bCs/>
              </w:rPr>
              <w:t>OFDMA</w:t>
            </w:r>
          </w:p>
        </w:tc>
        <w:tc>
          <w:tcPr>
            <w:tcW w:w="913" w:type="dxa"/>
            <w:vAlign w:val="center"/>
          </w:tcPr>
          <w:p w:rsidR="0041031A" w:rsidRPr="00AA55C6" w:rsidRDefault="0041031A" w:rsidP="0041031A">
            <w:pPr>
              <w:pStyle w:val="Tabletext"/>
              <w:jc w:val="center"/>
              <w:rPr>
                <w:b/>
                <w:bCs/>
              </w:rPr>
            </w:pPr>
            <w:r w:rsidRPr="00AA55C6">
              <w:rPr>
                <w:b/>
                <w:bCs/>
              </w:rPr>
              <w:t>0.42</w:t>
            </w:r>
          </w:p>
        </w:tc>
        <w:tc>
          <w:tcPr>
            <w:tcW w:w="973" w:type="dxa"/>
            <w:vAlign w:val="center"/>
          </w:tcPr>
          <w:p w:rsidR="0041031A" w:rsidRPr="00AA55C6" w:rsidRDefault="0041031A" w:rsidP="0041031A">
            <w:pPr>
              <w:pStyle w:val="Tabletext"/>
              <w:jc w:val="center"/>
              <w:rPr>
                <w:b/>
                <w:bCs/>
              </w:rPr>
            </w:pPr>
            <w:r w:rsidRPr="00AA55C6">
              <w:rPr>
                <w:b/>
                <w:bCs/>
              </w:rPr>
              <w:t>0.42</w:t>
            </w:r>
          </w:p>
        </w:tc>
      </w:tr>
      <w:tr w:rsidR="0041031A" w:rsidRPr="00AA55C6" w:rsidTr="004832D9">
        <w:tblPrEx>
          <w:tblCellMar>
            <w:top w:w="0" w:type="dxa"/>
            <w:bottom w:w="0" w:type="dxa"/>
          </w:tblCellMar>
        </w:tblPrEx>
        <w:trPr>
          <w:cantSplit/>
          <w:jc w:val="center"/>
        </w:trPr>
        <w:tc>
          <w:tcPr>
            <w:tcW w:w="1158" w:type="dxa"/>
            <w:vMerge/>
          </w:tcPr>
          <w:p w:rsidR="0041031A" w:rsidRPr="00AA55C6" w:rsidRDefault="0041031A" w:rsidP="0041031A">
            <w:pPr>
              <w:pStyle w:val="Tabletext"/>
              <w:jc w:val="center"/>
            </w:pPr>
          </w:p>
        </w:tc>
        <w:tc>
          <w:tcPr>
            <w:tcW w:w="1403" w:type="dxa"/>
            <w:vMerge w:val="restart"/>
            <w:vAlign w:val="center"/>
          </w:tcPr>
          <w:p w:rsidR="0041031A" w:rsidRPr="00AA55C6" w:rsidRDefault="0041031A" w:rsidP="0041031A">
            <w:pPr>
              <w:pStyle w:val="Tabletext"/>
              <w:jc w:val="center"/>
            </w:pPr>
            <w:r w:rsidRPr="00AA55C6">
              <w:t>B</w:t>
            </w:r>
            <w:r w:rsidR="003C4625">
              <w:t>it/s</w:t>
            </w:r>
            <w:r w:rsidRPr="00AA55C6">
              <w:t>/Hz/cell</w:t>
            </w:r>
          </w:p>
        </w:tc>
        <w:tc>
          <w:tcPr>
            <w:tcW w:w="1123" w:type="dxa"/>
          </w:tcPr>
          <w:p w:rsidR="0041031A" w:rsidRPr="00AA55C6" w:rsidRDefault="0041031A" w:rsidP="0041031A">
            <w:pPr>
              <w:pStyle w:val="Tabletext"/>
              <w:jc w:val="center"/>
            </w:pPr>
            <w:r w:rsidRPr="00AA55C6">
              <w:t>SC</w:t>
            </w:r>
          </w:p>
        </w:tc>
        <w:tc>
          <w:tcPr>
            <w:tcW w:w="913" w:type="dxa"/>
            <w:vAlign w:val="center"/>
          </w:tcPr>
          <w:p w:rsidR="0041031A" w:rsidRPr="00AA55C6" w:rsidRDefault="0041031A" w:rsidP="0041031A">
            <w:pPr>
              <w:pStyle w:val="Tabletext"/>
              <w:jc w:val="center"/>
            </w:pPr>
            <w:r w:rsidRPr="00AA55C6">
              <w:t>2.27</w:t>
            </w:r>
          </w:p>
        </w:tc>
        <w:tc>
          <w:tcPr>
            <w:tcW w:w="973" w:type="dxa"/>
            <w:vAlign w:val="center"/>
          </w:tcPr>
          <w:p w:rsidR="0041031A" w:rsidRPr="00AA55C6" w:rsidRDefault="0041031A" w:rsidP="0041031A">
            <w:pPr>
              <w:pStyle w:val="Tabletext"/>
              <w:jc w:val="center"/>
            </w:pPr>
            <w:r w:rsidRPr="00AA55C6">
              <w:t>2.07</w:t>
            </w:r>
          </w:p>
        </w:tc>
      </w:tr>
      <w:tr w:rsidR="0041031A" w:rsidRPr="00AA55C6" w:rsidTr="004832D9">
        <w:tblPrEx>
          <w:tblCellMar>
            <w:top w:w="0" w:type="dxa"/>
            <w:bottom w:w="0" w:type="dxa"/>
          </w:tblCellMar>
        </w:tblPrEx>
        <w:trPr>
          <w:cantSplit/>
          <w:jc w:val="center"/>
        </w:trPr>
        <w:tc>
          <w:tcPr>
            <w:tcW w:w="1158" w:type="dxa"/>
            <w:vMerge/>
          </w:tcPr>
          <w:p w:rsidR="0041031A" w:rsidRPr="00AA55C6" w:rsidRDefault="0041031A" w:rsidP="0041031A">
            <w:pPr>
              <w:pStyle w:val="Tabletext"/>
              <w:jc w:val="center"/>
            </w:pPr>
          </w:p>
        </w:tc>
        <w:tc>
          <w:tcPr>
            <w:tcW w:w="1403" w:type="dxa"/>
            <w:vMerge/>
          </w:tcPr>
          <w:p w:rsidR="0041031A" w:rsidRPr="00AA55C6" w:rsidRDefault="0041031A" w:rsidP="0041031A">
            <w:pPr>
              <w:pStyle w:val="Tabletext"/>
              <w:jc w:val="center"/>
            </w:pPr>
          </w:p>
        </w:tc>
        <w:tc>
          <w:tcPr>
            <w:tcW w:w="1123" w:type="dxa"/>
          </w:tcPr>
          <w:p w:rsidR="0041031A" w:rsidRPr="00AA55C6" w:rsidRDefault="0041031A" w:rsidP="0041031A">
            <w:pPr>
              <w:pStyle w:val="Tabletext"/>
              <w:jc w:val="center"/>
              <w:rPr>
                <w:b/>
                <w:bCs/>
              </w:rPr>
            </w:pPr>
            <w:r w:rsidRPr="00AA55C6">
              <w:rPr>
                <w:b/>
                <w:bCs/>
              </w:rPr>
              <w:t>OFDMA</w:t>
            </w:r>
          </w:p>
        </w:tc>
        <w:tc>
          <w:tcPr>
            <w:tcW w:w="913" w:type="dxa"/>
            <w:vAlign w:val="center"/>
          </w:tcPr>
          <w:p w:rsidR="0041031A" w:rsidRPr="00AA55C6" w:rsidRDefault="0041031A" w:rsidP="0041031A">
            <w:pPr>
              <w:pStyle w:val="Tabletext"/>
              <w:jc w:val="center"/>
              <w:rPr>
                <w:b/>
                <w:bCs/>
              </w:rPr>
            </w:pPr>
            <w:r w:rsidRPr="00AA55C6">
              <w:rPr>
                <w:b/>
                <w:bCs/>
              </w:rPr>
              <w:t>2.50</w:t>
            </w:r>
          </w:p>
        </w:tc>
        <w:tc>
          <w:tcPr>
            <w:tcW w:w="973" w:type="dxa"/>
            <w:vAlign w:val="center"/>
          </w:tcPr>
          <w:p w:rsidR="0041031A" w:rsidRPr="00AA55C6" w:rsidRDefault="0041031A" w:rsidP="0041031A">
            <w:pPr>
              <w:pStyle w:val="Tabletext"/>
              <w:jc w:val="center"/>
              <w:rPr>
                <w:b/>
                <w:bCs/>
              </w:rPr>
            </w:pPr>
            <w:r w:rsidRPr="00AA55C6">
              <w:rPr>
                <w:b/>
                <w:bCs/>
              </w:rPr>
              <w:t>2.50</w:t>
            </w:r>
          </w:p>
        </w:tc>
      </w:tr>
    </w:tbl>
    <w:p w:rsidR="003C4625" w:rsidRDefault="003C4625" w:rsidP="003C4625">
      <w:pPr>
        <w:pStyle w:val="Tablefin"/>
      </w:pPr>
    </w:p>
    <w:p w:rsidR="0041031A" w:rsidRPr="00AA55C6" w:rsidRDefault="0041031A" w:rsidP="0041031A">
      <w:r w:rsidRPr="00AA55C6">
        <w:t xml:space="preserve">Table 4 shows a consistent advantage of OFDMA between 5% and 25% of higher efficiency. </w:t>
      </w:r>
    </w:p>
    <w:p w:rsidR="0041031A" w:rsidRPr="00AA55C6" w:rsidRDefault="0041031A" w:rsidP="0041031A">
      <w:pPr>
        <w:pStyle w:val="Heading2"/>
      </w:pPr>
      <w:r w:rsidRPr="00AA55C6">
        <w:t>2.3</w:t>
      </w:r>
      <w:r w:rsidRPr="00AA55C6">
        <w:tab/>
        <w:t>Antenna deployment</w:t>
      </w:r>
    </w:p>
    <w:p w:rsidR="00165E7E" w:rsidRDefault="0041031A" w:rsidP="0041031A">
      <w:pPr>
        <w:rPr>
          <w:lang w:val="en-US"/>
        </w:rPr>
      </w:pPr>
      <w:r w:rsidRPr="00AA55C6">
        <w:t>The RCT standard envisages two antenna deployment scenarios, indoor and outdoor. The RCT antenna can share the downstream DVB-T antenna (which can also be an outdoor or an indoor antenna) using either a switch or a duplexer. Alternatively the two antennas can be separated. Those possibilities are given in the standard and shown here in Fig. 3. Note that BIM is an abbreviation of broadcast interface module (DVB-T), while IIM stands for the interactive interface module (RCT). Dx means duplexer. It is to be noted that the switch options do not enable simultaneous operation of TV reception and DVB-RCT transmissions, therefore it is expected that most deployments would not use them.</w:t>
      </w:r>
    </w:p>
    <w:p w:rsidR="0002407A" w:rsidRPr="00AA55C6" w:rsidRDefault="0002407A" w:rsidP="0002407A">
      <w:pPr>
        <w:pStyle w:val="FigureNo"/>
        <w:keepNext w:val="0"/>
        <w:keepLines w:val="0"/>
      </w:pPr>
      <w:r w:rsidRPr="00AA55C6">
        <w:lastRenderedPageBreak/>
        <w:t>Figure 3</w:t>
      </w:r>
    </w:p>
    <w:p w:rsidR="0002407A" w:rsidRPr="00AA55C6" w:rsidRDefault="0002407A" w:rsidP="003C4625">
      <w:pPr>
        <w:pStyle w:val="Figuretitle"/>
      </w:pPr>
      <w:r w:rsidRPr="00AA55C6">
        <w:t>Antenna deployment</w:t>
      </w:r>
    </w:p>
    <w:p w:rsidR="00165E7E" w:rsidRDefault="00FC2184" w:rsidP="00FC2184">
      <w:pPr>
        <w:pStyle w:val="Figure"/>
      </w:pPr>
      <w:r>
        <w:object w:dxaOrig="7625" w:dyaOrig="9391">
          <v:shape id="_x0000_i1033" type="#_x0000_t75" style="width:381.5pt;height:469.6pt" o:ole="" o:allowoverlap="f">
            <v:imagedata r:id="rId20" o:title=""/>
          </v:shape>
          <o:OLEObject Type="Embed" ProgID="CorelDRAW.Graphic.12" ShapeID="_x0000_i1033" DrawAspect="Content" ObjectID="_1556629203" r:id="rId21"/>
        </w:object>
      </w:r>
    </w:p>
    <w:p w:rsidR="0002407A" w:rsidRDefault="0002407A" w:rsidP="0002407A">
      <w:pPr>
        <w:rPr>
          <w:lang w:val="en-US"/>
        </w:rPr>
      </w:pPr>
    </w:p>
    <w:p w:rsidR="003C4625" w:rsidRPr="00A6617B" w:rsidRDefault="003C4625" w:rsidP="003C4625">
      <w:pPr>
        <w:pStyle w:val="Line"/>
        <w:rPr>
          <w:lang w:val="en-US"/>
        </w:rPr>
      </w:pPr>
    </w:p>
    <w:sectPr w:rsidR="003C4625" w:rsidRPr="00A6617B">
      <w:headerReference w:type="even" r:id="rId22"/>
      <w:headerReference w:type="default" r:id="rId23"/>
      <w:pgSz w:w="11907" w:h="16834" w:code="9"/>
      <w:pgMar w:top="1418" w:right="1134" w:bottom="1134" w:left="1134" w:header="720" w:footer="482"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A9D" w:rsidRDefault="005D7A9D">
      <w:r>
        <w:separator/>
      </w:r>
    </w:p>
  </w:endnote>
  <w:endnote w:type="continuationSeparator" w:id="0">
    <w:p w:rsidR="005D7A9D" w:rsidRDefault="005D7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A9D" w:rsidRDefault="005D7A9D">
      <w:r>
        <w:separator/>
      </w:r>
    </w:p>
  </w:footnote>
  <w:footnote w:type="continuationSeparator" w:id="0">
    <w:p w:rsidR="005D7A9D" w:rsidRDefault="005D7A9D">
      <w:r>
        <w:continuationSeparator/>
      </w:r>
    </w:p>
  </w:footnote>
  <w:footnote w:id="1">
    <w:p w:rsidR="00B76D48" w:rsidRPr="00B76D48" w:rsidRDefault="00B76D48">
      <w:pPr>
        <w:pStyle w:val="FootnoteText"/>
        <w:rPr>
          <w:lang w:val="fr-CH"/>
        </w:rPr>
      </w:pPr>
      <w:r>
        <w:rPr>
          <w:rStyle w:val="FootnoteReference"/>
        </w:rPr>
        <w:t>*</w:t>
      </w:r>
      <w:r>
        <w:t xml:space="preserve"> </w:t>
      </w:r>
      <w:r>
        <w:rPr>
          <w:lang w:val="fr-CH"/>
        </w:rPr>
        <w:tab/>
      </w:r>
      <w:r w:rsidRPr="001D530D">
        <w:rPr>
          <w:rFonts w:ascii="TimesNewRoman" w:hAnsi="TimesNewRoman"/>
          <w:szCs w:val="24"/>
          <w:lang w:val="en-US" w:eastAsia="ja-JP"/>
        </w:rPr>
        <w:t xml:space="preserve">Radiocommunication Study Group 6 made editorial amendments to this Recommendation in </w:t>
      </w:r>
      <w:r>
        <w:rPr>
          <w:rFonts w:ascii="TimesNewRoman" w:hAnsi="TimesNewRoman"/>
          <w:szCs w:val="24"/>
          <w:lang w:val="en-US" w:eastAsia="ja-JP"/>
        </w:rPr>
        <w:t xml:space="preserve">March </w:t>
      </w:r>
      <w:r w:rsidRPr="001D530D">
        <w:rPr>
          <w:rFonts w:ascii="TimesNewRoman" w:hAnsi="TimesNewRoman"/>
          <w:szCs w:val="24"/>
          <w:lang w:val="en-US" w:eastAsia="ja-JP"/>
        </w:rPr>
        <w:t>201</w:t>
      </w:r>
      <w:r>
        <w:rPr>
          <w:rFonts w:ascii="TimesNewRoman" w:hAnsi="TimesNewRoman"/>
          <w:szCs w:val="24"/>
          <w:lang w:val="en-US" w:eastAsia="ja-JP"/>
        </w:rPr>
        <w:t>7</w:t>
      </w:r>
      <w:r w:rsidRPr="001D530D">
        <w:rPr>
          <w:rFonts w:ascii="TimesNewRoman" w:hAnsi="TimesNewRoman"/>
          <w:szCs w:val="24"/>
          <w:lang w:val="en-US" w:eastAsia="ja-JP"/>
        </w:rPr>
        <w:t xml:space="preserve"> in accordance with Resolution ITU-R 1</w:t>
      </w:r>
      <w:r>
        <w:rPr>
          <w:rFonts w:ascii="TimesNewRoman" w:hAnsi="TimesNewRoman"/>
          <w:szCs w:val="24"/>
          <w:lang w:val="en-US" w:eastAsia="ja-JP"/>
        </w:rPr>
        <w:t>.</w:t>
      </w:r>
    </w:p>
  </w:footnote>
  <w:footnote w:id="2">
    <w:p w:rsidR="00B76D48" w:rsidRPr="00B76D48" w:rsidRDefault="00B76D48">
      <w:pPr>
        <w:pStyle w:val="FootnoteText"/>
        <w:rPr>
          <w:lang w:val="fr-CH"/>
        </w:rPr>
      </w:pPr>
      <w:r>
        <w:rPr>
          <w:rStyle w:val="FootnoteReference"/>
        </w:rPr>
        <w:footnoteRef/>
      </w:r>
      <w:r>
        <w:t xml:space="preserve"> </w:t>
      </w:r>
      <w:r>
        <w:rPr>
          <w:lang w:val="fr-CH"/>
        </w:rPr>
        <w:tab/>
      </w:r>
      <w:r>
        <w:rPr>
          <w:lang w:eastAsia="zh-CN"/>
        </w:rPr>
        <w:t>The term “digital divide” is defined as “</w:t>
      </w:r>
      <w:r w:rsidRPr="0086779F">
        <w:rPr>
          <w:lang w:val="en-US" w:eastAsia="zh-CN"/>
        </w:rPr>
        <w:t>The disparity of conditions between those populations that have widespread, easy and affordable access to digital broadcasting services and those that have difficult or no access</w:t>
      </w:r>
      <w:r>
        <w:rPr>
          <w:lang w:val="en-US" w:eastAsia="ja-JP"/>
        </w:rPr>
        <w:t>”</w:t>
      </w:r>
      <w:r w:rsidRPr="0086779F">
        <w:rPr>
          <w:lang w:val="en-US"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A9D" w:rsidRDefault="005D7A9D">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00AA1C73">
      <w:rPr>
        <w:rStyle w:val="PageNumber"/>
        <w:b/>
        <w:bCs/>
        <w:noProof/>
        <w:lang w:val="en-US"/>
      </w:rPr>
      <w:t>8</w:t>
    </w:r>
    <w:r>
      <w:rPr>
        <w:rStyle w:val="PageNumber"/>
        <w:b/>
        <w:bCs/>
      </w:rPr>
      <w:fldChar w:fldCharType="end"/>
    </w:r>
    <w:r>
      <w:rPr>
        <w:lang w:val="en-US"/>
      </w:rPr>
      <w:tab/>
    </w:r>
    <w:r>
      <w:rPr>
        <w:b/>
        <w:bCs/>
      </w:rPr>
      <w:fldChar w:fldCharType="begin"/>
    </w:r>
    <w:r>
      <w:rPr>
        <w:b/>
        <w:bCs/>
        <w:lang w:val="en-US"/>
      </w:rPr>
      <w:instrText xml:space="preserve"> DOCPROPERTY "Header" \* MERGEFORMAT </w:instrText>
    </w:r>
    <w:r>
      <w:rPr>
        <w:b/>
        <w:bCs/>
      </w:rPr>
      <w:fldChar w:fldCharType="separate"/>
    </w:r>
    <w:r w:rsidR="00AA1C73">
      <w:rPr>
        <w:b/>
        <w:bCs/>
        <w:lang w:val="en-US"/>
      </w:rPr>
      <w:t xml:space="preserve">Rec. </w:t>
    </w:r>
    <w:r>
      <w:rPr>
        <w:b/>
        <w:bCs/>
      </w:rPr>
      <w:fldChar w:fldCharType="end"/>
    </w:r>
    <w:r w:rsidRPr="001F6099">
      <w:rPr>
        <w:b/>
        <w:bCs/>
        <w:lang w:val="en-US"/>
      </w:rPr>
      <w:t xml:space="preserve"> </w:t>
    </w:r>
    <w:r>
      <w:rPr>
        <w:b/>
        <w:bCs/>
      </w:rPr>
      <w:fldChar w:fldCharType="begin"/>
    </w:r>
    <w:r>
      <w:rPr>
        <w:b/>
        <w:bCs/>
        <w:lang w:val="en-US"/>
      </w:rPr>
      <w:instrText>styleref href</w:instrText>
    </w:r>
    <w:r>
      <w:rPr>
        <w:b/>
        <w:bCs/>
      </w:rPr>
      <w:fldChar w:fldCharType="separate"/>
    </w:r>
    <w:r w:rsidR="00AA1C73">
      <w:rPr>
        <w:b/>
        <w:bCs/>
        <w:noProof/>
      </w:rPr>
      <w:t>ITU-R  BT.1832</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A9D" w:rsidRPr="001F6099" w:rsidRDefault="005D7A9D">
    <w:pPr>
      <w:pStyle w:val="Header"/>
      <w:rPr>
        <w:lang w:val="en-US"/>
      </w:rPr>
    </w:pPr>
    <w:r>
      <w:tab/>
    </w:r>
    <w:r>
      <w:rPr>
        <w:b/>
        <w:bCs/>
      </w:rPr>
      <w:fldChar w:fldCharType="begin"/>
    </w:r>
    <w:r w:rsidRPr="001F6099">
      <w:rPr>
        <w:b/>
        <w:bCs/>
        <w:lang w:val="en-US"/>
      </w:rPr>
      <w:instrText xml:space="preserve"> DOCPROPERTY "Header" \* MERGEFORMAT </w:instrText>
    </w:r>
    <w:r>
      <w:rPr>
        <w:b/>
        <w:bCs/>
      </w:rPr>
      <w:fldChar w:fldCharType="separate"/>
    </w:r>
    <w:r w:rsidR="00AA1C73">
      <w:rPr>
        <w:b/>
        <w:bCs/>
        <w:lang w:val="en-US"/>
      </w:rPr>
      <w:t xml:space="preserve">Rec. </w:t>
    </w:r>
    <w:r>
      <w:rPr>
        <w:b/>
        <w:bCs/>
      </w:rPr>
      <w:fldChar w:fldCharType="end"/>
    </w:r>
    <w:r w:rsidRPr="001F6099">
      <w:rPr>
        <w:b/>
        <w:bCs/>
        <w:lang w:val="en-US"/>
      </w:rPr>
      <w:t xml:space="preserve"> </w:t>
    </w:r>
    <w:r>
      <w:rPr>
        <w:b/>
        <w:bCs/>
      </w:rPr>
      <w:fldChar w:fldCharType="begin"/>
    </w:r>
    <w:r w:rsidRPr="001F6099">
      <w:rPr>
        <w:b/>
        <w:bCs/>
        <w:lang w:val="en-US"/>
      </w:rPr>
      <w:instrText>styleref href</w:instrText>
    </w:r>
    <w:r>
      <w:rPr>
        <w:b/>
        <w:bCs/>
      </w:rPr>
      <w:fldChar w:fldCharType="separate"/>
    </w:r>
    <w:r w:rsidR="00AA1C73">
      <w:rPr>
        <w:b/>
        <w:bCs/>
        <w:noProof/>
      </w:rPr>
      <w:t>ITU-R  BT.1832</w:t>
    </w:r>
    <w:r>
      <w:rPr>
        <w:b/>
        <w:bCs/>
      </w:rPr>
      <w:fldChar w:fldCharType="end"/>
    </w:r>
    <w:r w:rsidRPr="001F6099">
      <w:rPr>
        <w:lang w:val="en-US"/>
      </w:rPr>
      <w:tab/>
    </w:r>
    <w:r>
      <w:rPr>
        <w:rStyle w:val="PageNumber"/>
        <w:b/>
        <w:bCs/>
      </w:rPr>
      <w:fldChar w:fldCharType="begin"/>
    </w:r>
    <w:r w:rsidRPr="001F6099">
      <w:rPr>
        <w:rStyle w:val="PageNumber"/>
        <w:b/>
        <w:bCs/>
        <w:lang w:val="en-US"/>
      </w:rPr>
      <w:instrText xml:space="preserve"> PAGE </w:instrText>
    </w:r>
    <w:r>
      <w:rPr>
        <w:rStyle w:val="PageNumber"/>
        <w:b/>
        <w:bCs/>
      </w:rPr>
      <w:fldChar w:fldCharType="separate"/>
    </w:r>
    <w:r w:rsidR="00AA1C73">
      <w:rPr>
        <w:rStyle w:val="PageNumber"/>
        <w:b/>
        <w:bCs/>
        <w:noProof/>
        <w:lang w:val="en-US"/>
      </w:rPr>
      <w:t>1</w:t>
    </w:r>
    <w:r>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B385D"/>
    <w:multiLevelType w:val="hybridMultilevel"/>
    <w:tmpl w:val="0E8EDEAE"/>
    <w:lvl w:ilvl="0" w:tplc="1FE6452C">
      <w:start w:val="2"/>
      <w:numFmt w:val="bullet"/>
      <w:lvlText w:val="–"/>
      <w:lvlJc w:val="left"/>
      <w:pPr>
        <w:tabs>
          <w:tab w:val="num" w:pos="1184"/>
        </w:tabs>
        <w:ind w:left="1184" w:hanging="390"/>
      </w:pPr>
      <w:rPr>
        <w:rFonts w:ascii="Times New Roman" w:eastAsia="Times New Roman" w:hAnsi="Times New Roman" w:cs="Times New Roman" w:hint="default"/>
      </w:rPr>
    </w:lvl>
    <w:lvl w:ilvl="1" w:tplc="040D0003" w:tentative="1">
      <w:start w:val="1"/>
      <w:numFmt w:val="bullet"/>
      <w:lvlText w:val="o"/>
      <w:lvlJc w:val="left"/>
      <w:pPr>
        <w:tabs>
          <w:tab w:val="num" w:pos="1874"/>
        </w:tabs>
        <w:ind w:left="1874" w:hanging="360"/>
      </w:pPr>
      <w:rPr>
        <w:rFonts w:ascii="Courier New" w:hAnsi="Courier New" w:hint="default"/>
      </w:rPr>
    </w:lvl>
    <w:lvl w:ilvl="2" w:tplc="040D0005" w:tentative="1">
      <w:start w:val="1"/>
      <w:numFmt w:val="bullet"/>
      <w:lvlText w:val=""/>
      <w:lvlJc w:val="left"/>
      <w:pPr>
        <w:tabs>
          <w:tab w:val="num" w:pos="2594"/>
        </w:tabs>
        <w:ind w:left="2594" w:hanging="360"/>
      </w:pPr>
      <w:rPr>
        <w:rFonts w:ascii="Wingdings" w:hAnsi="Wingdings" w:hint="default"/>
      </w:rPr>
    </w:lvl>
    <w:lvl w:ilvl="3" w:tplc="040D0001" w:tentative="1">
      <w:start w:val="1"/>
      <w:numFmt w:val="bullet"/>
      <w:lvlText w:val=""/>
      <w:lvlJc w:val="left"/>
      <w:pPr>
        <w:tabs>
          <w:tab w:val="num" w:pos="3314"/>
        </w:tabs>
        <w:ind w:left="3314" w:hanging="360"/>
      </w:pPr>
      <w:rPr>
        <w:rFonts w:ascii="Symbol" w:hAnsi="Symbol" w:hint="default"/>
      </w:rPr>
    </w:lvl>
    <w:lvl w:ilvl="4" w:tplc="040D0003" w:tentative="1">
      <w:start w:val="1"/>
      <w:numFmt w:val="bullet"/>
      <w:lvlText w:val="o"/>
      <w:lvlJc w:val="left"/>
      <w:pPr>
        <w:tabs>
          <w:tab w:val="num" w:pos="4034"/>
        </w:tabs>
        <w:ind w:left="4034" w:hanging="360"/>
      </w:pPr>
      <w:rPr>
        <w:rFonts w:ascii="Courier New" w:hAnsi="Courier New" w:hint="default"/>
      </w:rPr>
    </w:lvl>
    <w:lvl w:ilvl="5" w:tplc="040D0005" w:tentative="1">
      <w:start w:val="1"/>
      <w:numFmt w:val="bullet"/>
      <w:lvlText w:val=""/>
      <w:lvlJc w:val="left"/>
      <w:pPr>
        <w:tabs>
          <w:tab w:val="num" w:pos="4754"/>
        </w:tabs>
        <w:ind w:left="4754" w:hanging="360"/>
      </w:pPr>
      <w:rPr>
        <w:rFonts w:ascii="Wingdings" w:hAnsi="Wingdings" w:hint="default"/>
      </w:rPr>
    </w:lvl>
    <w:lvl w:ilvl="6" w:tplc="040D0001" w:tentative="1">
      <w:start w:val="1"/>
      <w:numFmt w:val="bullet"/>
      <w:lvlText w:val=""/>
      <w:lvlJc w:val="left"/>
      <w:pPr>
        <w:tabs>
          <w:tab w:val="num" w:pos="5474"/>
        </w:tabs>
        <w:ind w:left="5474" w:hanging="360"/>
      </w:pPr>
      <w:rPr>
        <w:rFonts w:ascii="Symbol" w:hAnsi="Symbol" w:hint="default"/>
      </w:rPr>
    </w:lvl>
    <w:lvl w:ilvl="7" w:tplc="040D0003" w:tentative="1">
      <w:start w:val="1"/>
      <w:numFmt w:val="bullet"/>
      <w:lvlText w:val="o"/>
      <w:lvlJc w:val="left"/>
      <w:pPr>
        <w:tabs>
          <w:tab w:val="num" w:pos="6194"/>
        </w:tabs>
        <w:ind w:left="6194" w:hanging="360"/>
      </w:pPr>
      <w:rPr>
        <w:rFonts w:ascii="Courier New" w:hAnsi="Courier New" w:hint="default"/>
      </w:rPr>
    </w:lvl>
    <w:lvl w:ilvl="8" w:tplc="040D0005" w:tentative="1">
      <w:start w:val="1"/>
      <w:numFmt w:val="bullet"/>
      <w:lvlText w:val=""/>
      <w:lvlJc w:val="left"/>
      <w:pPr>
        <w:tabs>
          <w:tab w:val="num" w:pos="6914"/>
        </w:tabs>
        <w:ind w:left="691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mirrorMargins/>
  <w:hideSpellingErrors/>
  <w:hideGrammaticalErrors/>
  <w:activeWritingStyle w:appName="MSWord" w:lang="en-US" w:vendorID="64" w:dllVersion="131077"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s-ES_tradnl" w:vendorID="64" w:dllVersion="131078"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099"/>
    <w:rsid w:val="0002407A"/>
    <w:rsid w:val="000927F8"/>
    <w:rsid w:val="00165E7E"/>
    <w:rsid w:val="001741FB"/>
    <w:rsid w:val="001F6099"/>
    <w:rsid w:val="00231A79"/>
    <w:rsid w:val="00276782"/>
    <w:rsid w:val="002D76C4"/>
    <w:rsid w:val="003A31E5"/>
    <w:rsid w:val="003C4625"/>
    <w:rsid w:val="0041031A"/>
    <w:rsid w:val="004832D9"/>
    <w:rsid w:val="00564502"/>
    <w:rsid w:val="005D7A9D"/>
    <w:rsid w:val="00607D68"/>
    <w:rsid w:val="006C2B87"/>
    <w:rsid w:val="00841029"/>
    <w:rsid w:val="0086301D"/>
    <w:rsid w:val="00976F79"/>
    <w:rsid w:val="00A109FB"/>
    <w:rsid w:val="00A6617B"/>
    <w:rsid w:val="00AA1C73"/>
    <w:rsid w:val="00AB0DC8"/>
    <w:rsid w:val="00B44E24"/>
    <w:rsid w:val="00B62FA8"/>
    <w:rsid w:val="00B76D48"/>
    <w:rsid w:val="00CC03C0"/>
    <w:rsid w:val="00DA4D7A"/>
    <w:rsid w:val="00DE0ED3"/>
    <w:rsid w:val="00DF4176"/>
    <w:rsid w:val="00E36FF1"/>
    <w:rsid w:val="00E57E5C"/>
    <w:rsid w:val="00F66B0B"/>
    <w:rsid w:val="00FC218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EF17783"/>
  <w15:chartTrackingRefBased/>
  <w15:docId w15:val="{12F4FDC1-C021-4E5E-A31D-74548640E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F79"/>
    <w:pPr>
      <w:tabs>
        <w:tab w:val="left" w:pos="794"/>
        <w:tab w:val="left" w:pos="1191"/>
        <w:tab w:val="left" w:pos="1588"/>
        <w:tab w:val="left" w:pos="1985"/>
      </w:tabs>
      <w:overflowPunct w:val="0"/>
      <w:autoSpaceDE w:val="0"/>
      <w:autoSpaceDN w:val="0"/>
      <w:adjustRightInd w:val="0"/>
      <w:spacing w:before="120"/>
      <w:jc w:val="both"/>
      <w:textAlignment w:val="baseline"/>
    </w:pPr>
    <w:rPr>
      <w:sz w:val="24"/>
      <w:lang w:eastAsia="en-US"/>
    </w:rPr>
  </w:style>
  <w:style w:type="paragraph" w:styleId="Heading1">
    <w:name w:val="heading 1"/>
    <w:basedOn w:val="Normal"/>
    <w:next w:val="Normal"/>
    <w:qFormat/>
    <w:pPr>
      <w:keepNext/>
      <w:keepLine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992"/>
      </w:tabs>
      <w:ind w:left="992" w:hanging="992"/>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992"/>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jc w:val="left"/>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lear" w:pos="794"/>
        <w:tab w:val="clear" w:pos="1191"/>
        <w:tab w:val="clear" w:pos="1588"/>
        <w:tab w:val="clear" w:pos="1985"/>
        <w:tab w:val="center" w:pos="4848"/>
        <w:tab w:val="right" w:pos="9696"/>
      </w:tabs>
      <w:spacing w:before="0"/>
      <w:jc w:val="center"/>
    </w:pPr>
    <w:rPr>
      <w:lang w:val="fr-FR"/>
    </w:rPr>
  </w:style>
  <w:style w:type="paragraph" w:styleId="Footer">
    <w:name w:val="footer"/>
    <w:basedOn w:val="Normal"/>
    <w:pPr>
      <w:tabs>
        <w:tab w:val="clear" w:pos="794"/>
        <w:tab w:val="clear" w:pos="1191"/>
        <w:tab w:val="clear" w:pos="1588"/>
        <w:tab w:val="clear" w:pos="1985"/>
      </w:tabs>
      <w:spacing w:before="0"/>
    </w:pPr>
    <w:rPr>
      <w:noProof/>
      <w:sz w:val="18"/>
    </w:rPr>
  </w:style>
  <w:style w:type="character" w:styleId="PageNumber">
    <w:name w:val="page number"/>
    <w:basedOn w:val="DefaultParagraphFont"/>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pPr>
    <w:rPr>
      <w:b w:val="0"/>
      <w:i/>
    </w:rPr>
  </w:style>
  <w:style w:type="character" w:customStyle="1" w:styleId="href">
    <w:name w:val="href"/>
    <w:basedOn w:val="DefaultParagraphFont"/>
    <w:uiPriority w:val="99"/>
  </w:style>
  <w:style w:type="paragraph" w:customStyle="1" w:styleId="enumlev1">
    <w:name w:val="enumlev1"/>
    <w:basedOn w:val="Normal"/>
    <w:pPr>
      <w:spacing w:before="80"/>
      <w:ind w:left="794" w:hanging="794"/>
    </w:pPr>
    <w:rPr>
      <w:lang w:val="fr-FR"/>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_after_title"/>
    <w:basedOn w:val="Normal"/>
    <w:next w:val="Normal"/>
    <w:pPr>
      <w:spacing w:before="320"/>
    </w:pPr>
  </w:style>
  <w:style w:type="paragraph" w:customStyle="1" w:styleId="Note">
    <w:name w:val="Note"/>
    <w:basedOn w:val="Normal"/>
    <w:pPr>
      <w:tabs>
        <w:tab w:val="clear" w:pos="794"/>
        <w:tab w:val="clear" w:pos="1191"/>
        <w:tab w:val="clear" w:pos="1588"/>
        <w:tab w:val="clear" w:pos="1985"/>
      </w:tabs>
      <w:spacing w:before="80"/>
    </w:pPr>
    <w:rPr>
      <w:sz w:val="22"/>
    </w:rPr>
  </w:style>
  <w:style w:type="paragraph" w:customStyle="1" w:styleId="RecNo">
    <w:name w:val="Rec_No"/>
    <w:basedOn w:val="Normal"/>
    <w:next w:val="Rectitle"/>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pPr>
      <w:spacing w:before="240"/>
    </w:pPr>
    <w:rPr>
      <w:sz w:val="22"/>
      <w:lang w:val="es-ES_tradnl"/>
    </w:rPr>
  </w:style>
  <w:style w:type="paragraph" w:customStyle="1" w:styleId="Recref">
    <w:name w:val="Rec_ref"/>
    <w:basedOn w:val="Normal"/>
    <w:next w:val="Recdate"/>
    <w:pPr>
      <w:jc w:val="center"/>
    </w:pPr>
  </w:style>
  <w:style w:type="paragraph" w:customStyle="1" w:styleId="Recdate">
    <w:name w:val="Rec_date"/>
    <w:basedOn w:val="Recref"/>
    <w:next w:val="Normalaftertitle"/>
    <w:pPr>
      <w:jc w:val="right"/>
    </w:pPr>
  </w:style>
  <w:style w:type="paragraph" w:customStyle="1" w:styleId="AnnexNoTitle">
    <w:name w:val="Annex_NoTitle"/>
    <w:basedOn w:val="Normal"/>
    <w:next w:val="Normalaftertitle"/>
    <w:pPr>
      <w:keepNext/>
      <w:keepLines/>
      <w:spacing w:before="480" w:after="80"/>
      <w:jc w:val="center"/>
    </w:pPr>
    <w:rPr>
      <w:b/>
      <w:sz w:val="28"/>
    </w:rPr>
  </w:style>
  <w:style w:type="paragraph" w:customStyle="1" w:styleId="AppendixNoTitle">
    <w:name w:val="Appendix_NoTitle"/>
    <w:basedOn w:val="AnnexNoTitle"/>
    <w:next w:val="Normal"/>
  </w:style>
  <w:style w:type="paragraph" w:customStyle="1" w:styleId="Tablefin">
    <w:name w:val="Table_fin"/>
    <w:basedOn w:val="Normal"/>
    <w:next w:val="Normal"/>
    <w:pPr>
      <w:spacing w:before="0"/>
    </w:pPr>
    <w:rPr>
      <w:sz w:val="20"/>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pPr>
      <w:keepNext/>
      <w:spacing w:before="36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Indent"/>
    <w:pPr>
      <w:tabs>
        <w:tab w:val="clear" w:pos="794"/>
        <w:tab w:val="clear" w:pos="1191"/>
        <w:tab w:val="clear" w:pos="1588"/>
        <w:tab w:val="right" w:pos="1701"/>
        <w:tab w:val="left" w:pos="1985"/>
      </w:tabs>
      <w:spacing w:before="80"/>
      <w:ind w:left="1985" w:hanging="1985"/>
    </w:pPr>
    <w:rPr>
      <w:lang w:val="en-US"/>
    </w:rPr>
  </w:style>
  <w:style w:type="paragraph" w:styleId="NormalIndent">
    <w:name w:val="Normal Indent"/>
    <w:basedOn w:val="Normal"/>
    <w:pPr>
      <w:ind w:left="794"/>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DF4176"/>
    <w:pPr>
      <w:keepNext/>
      <w:keepLines/>
      <w:spacing w:before="480" w:after="80"/>
      <w:jc w:val="center"/>
    </w:pPr>
    <w:rPr>
      <w:caps/>
      <w:sz w:val="18"/>
    </w:rPr>
  </w:style>
  <w:style w:type="paragraph" w:customStyle="1" w:styleId="tocpart">
    <w:name w:val="tocpart"/>
    <w:basedOn w:val="Normal"/>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pPr>
      <w:keepNext/>
      <w:keepLines/>
      <w:spacing w:before="480"/>
      <w:jc w:val="center"/>
    </w:pPr>
    <w:rPr>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rPr>
  </w:style>
  <w:style w:type="paragraph" w:customStyle="1" w:styleId="ASN1">
    <w:name w:val="ASN.1"/>
    <w:basedOn w:val="Normal"/>
    <w:next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ArtNo"/>
    <w:next w:val="Chaptitle"/>
    <w:rPr>
      <w:b/>
    </w:rPr>
  </w:style>
  <w:style w:type="paragraph" w:customStyle="1" w:styleId="Chaptitle">
    <w:name w:val="Chap_title"/>
    <w:basedOn w:val="Arttitle"/>
    <w:next w:val="Normalaftertitle"/>
  </w:style>
  <w:style w:type="character" w:styleId="FootnoteReference">
    <w:name w:val="footnote reference"/>
    <w:basedOn w:val="DefaultParagraphFont"/>
    <w:semiHidden/>
    <w:rPr>
      <w:position w:val="6"/>
      <w:sz w:val="18"/>
    </w:rPr>
  </w:style>
  <w:style w:type="paragraph" w:styleId="FootnoteText">
    <w:name w:val="footnote text"/>
    <w:basedOn w:val="Normal"/>
    <w:semiHidden/>
    <w:pPr>
      <w:keepLines/>
      <w:tabs>
        <w:tab w:val="left" w:pos="255"/>
      </w:tabs>
      <w:ind w:left="255" w:hanging="255"/>
    </w:pPr>
    <w:rPr>
      <w:sz w:val="22"/>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Heading">
    <w:name w:val="index heading"/>
    <w:basedOn w:val="Normal"/>
    <w:next w:val="Index1"/>
    <w:semiHidden/>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rPr>
      <w:sz w:val="20"/>
    </w:rPr>
  </w:style>
  <w:style w:type="paragraph" w:customStyle="1" w:styleId="toctemp">
    <w:name w:val="toctemp"/>
    <w:basedOn w:val="Normal"/>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style>
  <w:style w:type="paragraph" w:customStyle="1" w:styleId="Partref">
    <w:name w:val="Part_ref"/>
    <w:basedOn w:val="Normal"/>
    <w:next w:val="Normal"/>
    <w:pPr>
      <w:keepNext/>
      <w:keepLines/>
      <w:spacing w:after="280"/>
      <w:jc w:val="center"/>
    </w:pPr>
  </w:style>
  <w:style w:type="paragraph" w:customStyle="1" w:styleId="Parttitle">
    <w:name w:val="Part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style>
  <w:style w:type="paragraph" w:customStyle="1" w:styleId="QuestionNo">
    <w:name w:val="Question_No"/>
    <w:basedOn w:val="RecNo"/>
    <w:next w:val="Normal"/>
  </w:style>
  <w:style w:type="paragraph" w:customStyle="1" w:styleId="Questionref">
    <w:name w:val="Question_ref"/>
    <w:basedOn w:val="Recref"/>
    <w:next w:val="Questiondate"/>
  </w:style>
  <w:style w:type="paragraph" w:customStyle="1" w:styleId="Questiontitle">
    <w:name w:val="Question_title"/>
    <w:basedOn w:val="Normal"/>
    <w:next w:val="Questionref"/>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ref">
    <w:name w:val="Res_ref"/>
    <w:basedOn w:val="Recref"/>
    <w:next w:val="Resdate"/>
  </w:style>
  <w:style w:type="paragraph" w:customStyle="1" w:styleId="Restitle">
    <w:name w:val="Res_title"/>
    <w:basedOn w:val="Normal"/>
    <w:next w:val="Resref"/>
    <w:rsid w:val="00AB0DC8"/>
    <w:pPr>
      <w:spacing w:before="240"/>
      <w:jc w:val="center"/>
    </w:pPr>
    <w:rPr>
      <w:b/>
      <w:sz w:val="28"/>
    </w:rPr>
  </w:style>
  <w:style w:type="paragraph" w:customStyle="1" w:styleId="SectionNo">
    <w:name w:val="Section_No"/>
    <w:basedOn w:val="Normal"/>
    <w:next w:val="Normal"/>
  </w:style>
  <w:style w:type="paragraph" w:customStyle="1" w:styleId="Sectiontitle">
    <w:name w:val="Section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pPr>
      <w:tabs>
        <w:tab w:val="clear" w:pos="794"/>
        <w:tab w:val="clear" w:pos="1191"/>
        <w:tab w:val="clear" w:pos="1588"/>
        <w:tab w:val="clear" w:pos="1985"/>
        <w:tab w:val="right" w:pos="9611"/>
      </w:tabs>
    </w:pPr>
    <w:rPr>
      <w:i/>
    </w:rPr>
  </w:style>
  <w:style w:type="paragraph" w:styleId="TOC1">
    <w:name w:val="toc 1"/>
    <w:basedOn w:val="Normal"/>
    <w:semiHidden/>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pPr>
      <w:tabs>
        <w:tab w:val="clear" w:pos="567"/>
        <w:tab w:val="left" w:pos="1276"/>
      </w:tabs>
      <w:spacing w:before="160"/>
      <w:ind w:left="1276" w:hanging="709"/>
    </w:pPr>
  </w:style>
  <w:style w:type="paragraph" w:styleId="TOC3">
    <w:name w:val="toc 3"/>
    <w:basedOn w:val="TOC2"/>
    <w:semiHidden/>
    <w:pPr>
      <w:tabs>
        <w:tab w:val="clear" w:pos="1276"/>
        <w:tab w:val="left" w:pos="2155"/>
      </w:tabs>
      <w:ind w:left="2155" w:hanging="879"/>
    </w:pPr>
  </w:style>
  <w:style w:type="paragraph" w:styleId="TOC4">
    <w:name w:val="toc 4"/>
    <w:basedOn w:val="TOC3"/>
    <w:semiHidden/>
    <w:pPr>
      <w:tabs>
        <w:tab w:val="left" w:pos="3261"/>
      </w:tabs>
      <w:spacing w:before="80"/>
      <w:ind w:left="3261" w:hanging="993"/>
    </w:pPr>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Rectitle">
    <w:name w:val="Rec_title"/>
    <w:basedOn w:val="Normal"/>
    <w:next w:val="Recref"/>
    <w:pPr>
      <w:keepNext/>
      <w:keepLines/>
      <w:spacing w:before="240"/>
      <w:jc w:val="center"/>
    </w:pPr>
    <w:rPr>
      <w:b/>
      <w:sz w:val="28"/>
    </w:rPr>
  </w:style>
  <w:style w:type="paragraph" w:customStyle="1" w:styleId="Annexref">
    <w:name w:val="Annex_ref"/>
    <w:basedOn w:val="Normal"/>
    <w:next w:val="Normalaftertitle"/>
    <w:pPr>
      <w:keepNext/>
      <w:keepLines/>
      <w:spacing w:after="280"/>
      <w:jc w:val="center"/>
    </w:pPr>
  </w:style>
  <w:style w:type="paragraph" w:customStyle="1" w:styleId="Appendixref">
    <w:name w:val="Appendix_ref"/>
    <w:basedOn w:val="Annexref"/>
    <w:next w:val="Normalaftertitle"/>
  </w:style>
  <w:style w:type="paragraph" w:customStyle="1" w:styleId="Figuretitle">
    <w:name w:val="Figure_title"/>
    <w:basedOn w:val="Normal"/>
    <w:next w:val="Figure"/>
    <w:pPr>
      <w:keepNext/>
      <w:spacing w:before="0" w:after="120"/>
      <w:jc w:val="center"/>
    </w:pPr>
    <w:rPr>
      <w:rFonts w:ascii="Times New Roman Bold" w:hAnsi="Times New Roman Bold"/>
      <w:b/>
      <w:sz w:val="18"/>
    </w:rPr>
  </w:style>
  <w:style w:type="paragraph" w:customStyle="1" w:styleId="Tabletitle">
    <w:name w:val="Table_title"/>
    <w:basedOn w:val="Normal"/>
    <w:next w:val="Tablehead"/>
    <w:pPr>
      <w:keepNext/>
      <w:spacing w:before="0" w:after="120"/>
      <w:jc w:val="center"/>
    </w:pPr>
    <w:rPr>
      <w:b/>
    </w:rPr>
  </w:style>
  <w:style w:type="paragraph" w:customStyle="1" w:styleId="Summary">
    <w:name w:val="Summary"/>
    <w:basedOn w:val="Normal"/>
    <w:next w:val="Normalaftertitle"/>
    <w:pPr>
      <w:spacing w:after="480"/>
    </w:pPr>
    <w:rPr>
      <w:sz w:val="22"/>
      <w:lang w:val="es-ES_tradnl"/>
    </w:rPr>
  </w:style>
  <w:style w:type="paragraph" w:customStyle="1" w:styleId="FiguretitleBR">
    <w:name w:val="Figure_title_BR"/>
    <w:basedOn w:val="Normal"/>
    <w:next w:val="Normal"/>
    <w:rsid w:val="0002407A"/>
    <w:pPr>
      <w:keepLines/>
      <w:spacing w:before="0" w:after="480"/>
      <w:jc w:val="center"/>
    </w:pPr>
    <w:rPr>
      <w:b/>
    </w:rPr>
  </w:style>
  <w:style w:type="paragraph" w:customStyle="1" w:styleId="Figure">
    <w:name w:val="Figure"/>
    <w:basedOn w:val="FigureNo"/>
    <w:next w:val="Normal"/>
    <w:rsid w:val="00A6617B"/>
    <w:pPr>
      <w:keepNext w:val="0"/>
      <w:spacing w:before="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header" Target="header2.xml"/><Relationship Id="rId10" Type="http://schemas.openxmlformats.org/officeDocument/2006/relationships/image" Target="media/image2.wmf"/><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bbaj\Application%20Data\Microsoft\Templates\QuickPub%20-%20ITU\BR_Rec_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5241B-2C28-4668-A19E-6D93EEB28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Template>
  <TotalTime>3</TotalTime>
  <Pages>9</Pages>
  <Words>1642</Words>
  <Characters>8725</Characters>
  <Application>Microsoft Office Word</Application>
  <DocSecurity>0</DocSecurity>
  <Lines>623</Lines>
  <Paragraphs>35</Paragraphs>
  <ScaleCrop>false</ScaleCrop>
  <HeadingPairs>
    <vt:vector size="2" baseType="variant">
      <vt:variant>
        <vt:lpstr>Title</vt:lpstr>
      </vt:variant>
      <vt:variant>
        <vt:i4>1</vt:i4>
      </vt:variant>
    </vt:vector>
  </HeadingPairs>
  <TitlesOfParts>
    <vt:vector size="1" baseType="lpstr">
      <vt:lpstr>Template BR_Rec_2005.dot</vt:lpstr>
    </vt:vector>
  </TitlesOfParts>
  <Manager/>
  <Company>ITU</Company>
  <LinksUpToDate>false</LinksUpToDate>
  <CharactersWithSpaces>10332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BR_Rec_2005.dot</dc:title>
  <dc:subject/>
  <dc:creator>ITU-R</dc:creator>
  <cp:keywords/>
  <dc:description>Edition: 22.10.07/KJ_x000d_
1ère épreuve                   6.12.07      SP</dc:description>
  <cp:lastModifiedBy>Gachet, Christelle</cp:lastModifiedBy>
  <cp:revision>5</cp:revision>
  <cp:lastPrinted>2017-05-18T14:06:00Z</cp:lastPrinted>
  <dcterms:created xsi:type="dcterms:W3CDTF">2017-05-18T14:04:00Z</dcterms:created>
  <dcterms:modified xsi:type="dcterms:W3CDTF">2017-05-18T14:07:00Z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