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666" w:rsidRPr="00575CB8" w:rsidRDefault="00EE0666" w:rsidP="00EE0666">
      <w:pPr>
        <w:rPr>
          <w:lang w:val="en-US"/>
        </w:rPr>
      </w:pPr>
      <w:bookmarkStart w:id="0" w:name="dbreak"/>
      <w:bookmarkEnd w:id="0"/>
    </w:p>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p w:rsidR="00EE0666" w:rsidRDefault="00EE0666" w:rsidP="00EE0666"/>
    <w:tbl>
      <w:tblPr>
        <w:tblW w:w="10089" w:type="dxa"/>
        <w:tblLook w:val="01E0"/>
      </w:tblPr>
      <w:tblGrid>
        <w:gridCol w:w="10089"/>
      </w:tblGrid>
      <w:tr w:rsidR="00EE0666" w:rsidRPr="0010336F" w:rsidTr="00AD1722">
        <w:tc>
          <w:tcPr>
            <w:tcW w:w="10089" w:type="dxa"/>
          </w:tcPr>
          <w:p w:rsidR="00EE0666" w:rsidRPr="0010336F" w:rsidRDefault="00EE0666" w:rsidP="00AD1722">
            <w:pPr>
              <w:spacing w:before="380" w:line="280" w:lineRule="exact"/>
              <w:jc w:val="right"/>
              <w:rPr>
                <w:rFonts w:ascii="Tahoma" w:hAnsi="Tahoma" w:cs="Tahoma"/>
                <w:b/>
                <w:bCs/>
                <w:iCs/>
                <w:color w:val="243285"/>
                <w:sz w:val="32"/>
                <w:szCs w:val="32"/>
                <w:lang w:val="en-US"/>
              </w:rPr>
            </w:pPr>
          </w:p>
          <w:p w:rsidR="00EE0666" w:rsidRPr="0010336F" w:rsidRDefault="00EE0666" w:rsidP="00AD17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1786</w:t>
            </w:r>
          </w:p>
          <w:p w:rsidR="00EE0666" w:rsidRPr="0010336F" w:rsidRDefault="00EE0666" w:rsidP="00AD172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EE0666" w:rsidRPr="0010336F" w:rsidTr="00AD1722">
        <w:tc>
          <w:tcPr>
            <w:tcW w:w="10089" w:type="dxa"/>
          </w:tcPr>
          <w:p w:rsidR="00EE0666" w:rsidRPr="0010336F" w:rsidRDefault="00EE0666" w:rsidP="00AD1722">
            <w:pPr>
              <w:spacing w:before="80" w:line="500" w:lineRule="exact"/>
              <w:jc w:val="right"/>
              <w:rPr>
                <w:rFonts w:ascii="Tahoma" w:hAnsi="Tahoma" w:cs="Tahoma"/>
                <w:b/>
                <w:bCs/>
                <w:iCs/>
                <w:color w:val="243285"/>
                <w:sz w:val="44"/>
                <w:szCs w:val="44"/>
                <w:lang w:val="es-ES_tradnl"/>
              </w:rPr>
            </w:pPr>
          </w:p>
          <w:p w:rsidR="00EE0666" w:rsidRPr="009E1F8B" w:rsidRDefault="00EE0666" w:rsidP="00AD172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Criterios para evaluar los efectos</w:t>
            </w:r>
            <w:r>
              <w:rPr>
                <w:rFonts w:ascii="Tahoma" w:hAnsi="Tahoma" w:cs="Tahoma"/>
                <w:b/>
                <w:bCs/>
                <w:color w:val="243285"/>
                <w:sz w:val="44"/>
                <w:szCs w:val="44"/>
                <w:lang w:val="es-ES_tradnl"/>
              </w:rPr>
              <w:br/>
              <w:t>de la interferencia al servicio de radiodifusión (SR) terrenal</w:t>
            </w:r>
          </w:p>
          <w:p w:rsidR="00EE0666" w:rsidRPr="0010336F" w:rsidRDefault="00EE0666" w:rsidP="00AD1722">
            <w:pPr>
              <w:spacing w:before="80" w:line="500" w:lineRule="exact"/>
              <w:jc w:val="right"/>
              <w:rPr>
                <w:rFonts w:ascii="Tahoma" w:hAnsi="Tahoma" w:cs="Tahoma"/>
                <w:b/>
                <w:bCs/>
                <w:iCs/>
                <w:color w:val="243285"/>
                <w:sz w:val="44"/>
                <w:szCs w:val="44"/>
                <w:lang w:val="es-ES_tradnl"/>
              </w:rPr>
            </w:pPr>
          </w:p>
        </w:tc>
      </w:tr>
      <w:tr w:rsidR="00EE0666" w:rsidRPr="0026666F" w:rsidTr="00AD1722">
        <w:tc>
          <w:tcPr>
            <w:tcW w:w="10089" w:type="dxa"/>
          </w:tcPr>
          <w:p w:rsidR="00EE0666" w:rsidRPr="0010336F" w:rsidRDefault="00EE0666" w:rsidP="00AD1722">
            <w:pPr>
              <w:spacing w:before="80" w:line="280" w:lineRule="exact"/>
              <w:ind w:right="640"/>
              <w:rPr>
                <w:rFonts w:ascii="Tahoma" w:hAnsi="Tahoma" w:cs="Tahoma"/>
                <w:b/>
                <w:bCs/>
                <w:iCs/>
                <w:color w:val="243285"/>
                <w:sz w:val="32"/>
                <w:szCs w:val="32"/>
                <w:lang w:val="es-ES_tradnl"/>
              </w:rPr>
            </w:pPr>
          </w:p>
          <w:p w:rsidR="00EE0666" w:rsidRPr="0010336F" w:rsidRDefault="00EE0666" w:rsidP="00AD1722">
            <w:pPr>
              <w:spacing w:before="80" w:line="280" w:lineRule="exact"/>
              <w:ind w:right="640"/>
              <w:rPr>
                <w:rFonts w:ascii="Tahoma" w:hAnsi="Tahoma" w:cs="Tahoma"/>
                <w:b/>
                <w:bCs/>
                <w:iCs/>
                <w:color w:val="243285"/>
                <w:sz w:val="32"/>
                <w:szCs w:val="32"/>
                <w:lang w:val="es-ES_tradnl"/>
              </w:rPr>
            </w:pPr>
          </w:p>
          <w:p w:rsidR="00EE0666" w:rsidRPr="0010336F" w:rsidRDefault="00EE0666" w:rsidP="00AD1722">
            <w:pPr>
              <w:spacing w:before="80" w:after="180" w:line="360" w:lineRule="exact"/>
              <w:ind w:right="720"/>
              <w:rPr>
                <w:rFonts w:ascii="Tahoma" w:hAnsi="Tahoma" w:cs="Tahoma"/>
                <w:b/>
                <w:bCs/>
                <w:iCs/>
                <w:color w:val="243285"/>
                <w:sz w:val="36"/>
                <w:szCs w:val="36"/>
                <w:lang w:val="es-ES_tradnl"/>
              </w:rPr>
            </w:pPr>
          </w:p>
          <w:p w:rsidR="00EE0666" w:rsidRPr="0010336F" w:rsidRDefault="00EE0666" w:rsidP="00AD172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E0666" w:rsidRPr="009E1F8B" w:rsidRDefault="00EE0666" w:rsidP="00AD1722">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EE0666" w:rsidRPr="0026666F" w:rsidRDefault="00EE0666" w:rsidP="00EE0666">
      <w:pPr>
        <w:spacing w:before="80"/>
        <w:rPr>
          <w:i/>
          <w:sz w:val="22"/>
          <w:lang w:val="es-ES_tradnl"/>
        </w:rPr>
      </w:pPr>
    </w:p>
    <w:p w:rsidR="00EE0666" w:rsidRPr="0026666F" w:rsidRDefault="00EE0666" w:rsidP="00EE0666">
      <w:pPr>
        <w:spacing w:before="80"/>
        <w:rPr>
          <w:i/>
          <w:sz w:val="22"/>
          <w:lang w:val="es-ES_tradnl"/>
        </w:rPr>
      </w:pPr>
    </w:p>
    <w:p w:rsidR="00EE0666" w:rsidRPr="0026666F" w:rsidRDefault="00EE0666" w:rsidP="00EE0666">
      <w:pPr>
        <w:spacing w:before="80"/>
        <w:rPr>
          <w:i/>
          <w:sz w:val="22"/>
          <w:lang w:val="es-ES_tradnl"/>
        </w:rPr>
      </w:pPr>
    </w:p>
    <w:p w:rsidR="00EE0666" w:rsidRPr="0026666F" w:rsidRDefault="00EE0666" w:rsidP="00EE0666">
      <w:pPr>
        <w:spacing w:before="80"/>
        <w:rPr>
          <w:i/>
          <w:sz w:val="22"/>
          <w:lang w:val="es-ES_tradnl"/>
        </w:rPr>
      </w:pPr>
    </w:p>
    <w:p w:rsidR="00EE0666" w:rsidRPr="0026666F" w:rsidRDefault="00EE0666" w:rsidP="00EE0666">
      <w:pPr>
        <w:spacing w:before="80"/>
        <w:rPr>
          <w:i/>
          <w:sz w:val="22"/>
          <w:lang w:val="es-ES_tradnl"/>
        </w:rPr>
      </w:pPr>
    </w:p>
    <w:p w:rsidR="00EE0666" w:rsidRPr="0026666F" w:rsidRDefault="00EE0666" w:rsidP="00EE0666">
      <w:pPr>
        <w:spacing w:before="80"/>
        <w:rPr>
          <w:i/>
          <w:sz w:val="22"/>
          <w:lang w:val="es-ES_tradnl"/>
        </w:rPr>
      </w:pPr>
    </w:p>
    <w:p w:rsidR="00EE0666" w:rsidRPr="0026666F" w:rsidRDefault="00EE0666" w:rsidP="00EE0666">
      <w:pPr>
        <w:pStyle w:val="Equation"/>
        <w:tabs>
          <w:tab w:val="clear" w:pos="4820"/>
          <w:tab w:val="clear" w:pos="9639"/>
          <w:tab w:val="left" w:pos="1191"/>
          <w:tab w:val="left" w:pos="1588"/>
          <w:tab w:val="left" w:pos="1985"/>
        </w:tabs>
        <w:rPr>
          <w:rFonts w:ascii="Palatino Linotype" w:hAnsi="Palatino Linotype"/>
          <w:lang w:val="es-ES_tradnl"/>
        </w:rPr>
        <w:sectPr w:rsidR="00EE0666"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EE0666" w:rsidRPr="006C718C" w:rsidRDefault="00EE0666" w:rsidP="00EE06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E0666" w:rsidRPr="006C718C" w:rsidRDefault="00EE0666" w:rsidP="00EE066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E0666" w:rsidRPr="006C718C" w:rsidRDefault="00EE0666" w:rsidP="00EE066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E0666" w:rsidRPr="00021E8A" w:rsidRDefault="00EE0666" w:rsidP="00EE066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E0666" w:rsidRPr="00021E8A" w:rsidRDefault="00EE0666" w:rsidP="00EE066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E0666" w:rsidRPr="007C36CA" w:rsidRDefault="00EE0666" w:rsidP="00EE0666">
      <w:pPr>
        <w:spacing w:before="0"/>
        <w:jc w:val="center"/>
        <w:rPr>
          <w:sz w:val="22"/>
          <w:lang w:val="es-ES_tradnl"/>
        </w:rPr>
      </w:pPr>
    </w:p>
    <w:p w:rsidR="00EE0666" w:rsidRPr="007C36CA" w:rsidRDefault="00EE0666" w:rsidP="00EE066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E0666" w:rsidRPr="00763D08" w:rsidTr="00AD1722">
        <w:tc>
          <w:tcPr>
            <w:tcW w:w="9360" w:type="dxa"/>
            <w:gridSpan w:val="2"/>
          </w:tcPr>
          <w:p w:rsidR="00EE0666" w:rsidRPr="00021E8A" w:rsidRDefault="00EE0666" w:rsidP="00AD17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E0666" w:rsidRPr="00763D08"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EE0666" w:rsidRPr="00036EE3" w:rsidTr="00AD1722">
        <w:tc>
          <w:tcPr>
            <w:tcW w:w="1140" w:type="dxa"/>
          </w:tcPr>
          <w:p w:rsidR="00EE0666" w:rsidRPr="00036EE3" w:rsidRDefault="00EE0666" w:rsidP="00AD1722">
            <w:pPr>
              <w:spacing w:before="180" w:after="100"/>
              <w:ind w:left="57"/>
              <w:rPr>
                <w:b/>
                <w:bCs/>
                <w:sz w:val="20"/>
                <w:lang w:val="en-US"/>
              </w:rPr>
            </w:pPr>
            <w:r w:rsidRPr="00036EE3">
              <w:rPr>
                <w:b/>
                <w:bCs/>
                <w:sz w:val="20"/>
                <w:lang w:val="en-US"/>
              </w:rPr>
              <w:t>Series</w:t>
            </w:r>
          </w:p>
        </w:tc>
        <w:tc>
          <w:tcPr>
            <w:tcW w:w="8220" w:type="dxa"/>
          </w:tcPr>
          <w:p w:rsidR="00EE0666" w:rsidRPr="00036EE3"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E0666" w:rsidRPr="00036EE3" w:rsidTr="00AD1722">
        <w:tc>
          <w:tcPr>
            <w:tcW w:w="1140" w:type="dxa"/>
            <w:tcBorders>
              <w:bottom w:val="nil"/>
            </w:tcBorders>
          </w:tcPr>
          <w:p w:rsidR="00EE0666" w:rsidRPr="00036EE3" w:rsidRDefault="00EE0666" w:rsidP="00AD1722">
            <w:pPr>
              <w:spacing w:before="30" w:after="30"/>
              <w:ind w:left="57"/>
              <w:jc w:val="left"/>
              <w:rPr>
                <w:b/>
                <w:bCs/>
                <w:sz w:val="20"/>
                <w:lang w:val="en-US"/>
              </w:rPr>
            </w:pPr>
            <w:r w:rsidRPr="00036EE3">
              <w:rPr>
                <w:b/>
                <w:bCs/>
                <w:sz w:val="20"/>
                <w:lang w:val="en-US"/>
              </w:rPr>
              <w:t>BO</w:t>
            </w:r>
          </w:p>
        </w:tc>
        <w:tc>
          <w:tcPr>
            <w:tcW w:w="8220" w:type="dxa"/>
            <w:tcBorders>
              <w:bottom w:val="nil"/>
            </w:tcBorders>
          </w:tcPr>
          <w:p w:rsidR="00EE0666" w:rsidRPr="00021E8A"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E0666" w:rsidRPr="006C718C" w:rsidTr="00AD1722">
        <w:tc>
          <w:tcPr>
            <w:tcW w:w="1140" w:type="dxa"/>
            <w:tcBorders>
              <w:top w:val="nil"/>
              <w:bottom w:val="nil"/>
            </w:tcBorders>
            <w:shd w:val="clear" w:color="auto" w:fill="auto"/>
          </w:tcPr>
          <w:p w:rsidR="00EE0666" w:rsidRPr="009E1F8B" w:rsidRDefault="00EE0666" w:rsidP="00AD172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E0666" w:rsidRPr="009E1F8B"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E0666" w:rsidRPr="00036EE3" w:rsidTr="00AD1722">
        <w:tc>
          <w:tcPr>
            <w:tcW w:w="1140" w:type="dxa"/>
            <w:tcBorders>
              <w:top w:val="nil"/>
              <w:bottom w:val="nil"/>
            </w:tcBorders>
          </w:tcPr>
          <w:p w:rsidR="00EE0666" w:rsidRPr="00036EE3" w:rsidRDefault="00EE0666" w:rsidP="00AD172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E0666" w:rsidRPr="00021E8A"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E0666" w:rsidRPr="009E1F8B" w:rsidTr="00AD1722">
        <w:tc>
          <w:tcPr>
            <w:tcW w:w="1140" w:type="dxa"/>
            <w:tcBorders>
              <w:top w:val="nil"/>
              <w:bottom w:val="nil"/>
            </w:tcBorders>
            <w:shd w:val="clear" w:color="auto" w:fill="F3F3F3"/>
          </w:tcPr>
          <w:p w:rsidR="00EE0666" w:rsidRPr="009E1F8B" w:rsidRDefault="00EE0666" w:rsidP="00AD172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E0666" w:rsidRPr="009E1F8B"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E0666" w:rsidRPr="00036EE3" w:rsidTr="00AD1722">
        <w:tc>
          <w:tcPr>
            <w:tcW w:w="1140" w:type="dxa"/>
            <w:tcBorders>
              <w:top w:val="nil"/>
              <w:bottom w:val="nil"/>
            </w:tcBorders>
            <w:shd w:val="clear" w:color="auto" w:fill="auto"/>
          </w:tcPr>
          <w:p w:rsidR="00EE0666" w:rsidRPr="00036EE3" w:rsidRDefault="00EE0666" w:rsidP="00AD172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E0666" w:rsidRPr="00021E8A" w:rsidRDefault="00EE06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E0666" w:rsidRPr="00447DAB" w:rsidTr="00AD1722">
        <w:tc>
          <w:tcPr>
            <w:tcW w:w="1140" w:type="dxa"/>
            <w:tcBorders>
              <w:top w:val="nil"/>
              <w:bottom w:val="nil"/>
            </w:tcBorders>
            <w:shd w:val="clear" w:color="auto" w:fill="auto"/>
          </w:tcPr>
          <w:p w:rsidR="00EE0666" w:rsidRPr="0010336F" w:rsidRDefault="00EE0666" w:rsidP="00AD172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E0666" w:rsidRPr="0010336F" w:rsidRDefault="00EE06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E0666" w:rsidRPr="006C718C" w:rsidTr="00AD1722">
        <w:tc>
          <w:tcPr>
            <w:tcW w:w="1140" w:type="dxa"/>
            <w:tcBorders>
              <w:top w:val="nil"/>
            </w:tcBorders>
          </w:tcPr>
          <w:p w:rsidR="00EE0666" w:rsidRPr="00036EE3" w:rsidRDefault="00EE0666" w:rsidP="00AD1722">
            <w:pPr>
              <w:spacing w:before="30" w:after="30"/>
              <w:ind w:left="57"/>
              <w:jc w:val="left"/>
              <w:rPr>
                <w:b/>
                <w:bCs/>
                <w:sz w:val="20"/>
                <w:lang w:val="fr-CH"/>
              </w:rPr>
            </w:pPr>
            <w:r w:rsidRPr="00036EE3">
              <w:rPr>
                <w:b/>
                <w:bCs/>
                <w:sz w:val="20"/>
                <w:lang w:val="fr-CH"/>
              </w:rPr>
              <w:t>P</w:t>
            </w:r>
          </w:p>
        </w:tc>
        <w:tc>
          <w:tcPr>
            <w:tcW w:w="8220" w:type="dxa"/>
            <w:tcBorders>
              <w:top w:val="nil"/>
            </w:tcBorders>
          </w:tcPr>
          <w:p w:rsidR="00EE0666" w:rsidRPr="00021E8A" w:rsidRDefault="00EE0666" w:rsidP="00AD1722">
            <w:pPr>
              <w:spacing w:before="30" w:after="30"/>
              <w:jc w:val="left"/>
              <w:rPr>
                <w:bCs/>
                <w:sz w:val="20"/>
                <w:lang w:val="es-ES_tradnl"/>
              </w:rPr>
            </w:pPr>
            <w:r w:rsidRPr="00021E8A">
              <w:rPr>
                <w:bCs/>
                <w:sz w:val="20"/>
                <w:lang w:val="es-ES_tradnl"/>
              </w:rPr>
              <w:t>Propagación de las ondas radioeléctricas</w:t>
            </w:r>
          </w:p>
        </w:tc>
      </w:tr>
      <w:tr w:rsidR="00EE0666" w:rsidRPr="00036EE3"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RA</w:t>
            </w:r>
          </w:p>
        </w:tc>
        <w:tc>
          <w:tcPr>
            <w:tcW w:w="8220" w:type="dxa"/>
          </w:tcPr>
          <w:p w:rsidR="00EE0666" w:rsidRPr="00021E8A" w:rsidRDefault="00EE06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E0666" w:rsidRPr="00021E8A"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RS</w:t>
            </w:r>
          </w:p>
        </w:tc>
        <w:tc>
          <w:tcPr>
            <w:tcW w:w="8220" w:type="dxa"/>
          </w:tcPr>
          <w:p w:rsidR="00EE0666" w:rsidRPr="00021E8A" w:rsidRDefault="00EE06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E0666" w:rsidRPr="00036EE3"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S</w:t>
            </w:r>
          </w:p>
        </w:tc>
        <w:tc>
          <w:tcPr>
            <w:tcW w:w="8220" w:type="dxa"/>
          </w:tcPr>
          <w:p w:rsidR="00EE0666" w:rsidRPr="00021E8A" w:rsidRDefault="00EE0666" w:rsidP="00AD1722">
            <w:pPr>
              <w:spacing w:before="30" w:after="30"/>
              <w:jc w:val="left"/>
              <w:rPr>
                <w:bCs/>
                <w:sz w:val="20"/>
                <w:lang w:val="en-US"/>
              </w:rPr>
            </w:pPr>
            <w:r w:rsidRPr="00021E8A">
              <w:rPr>
                <w:bCs/>
                <w:sz w:val="20"/>
              </w:rPr>
              <w:t>Servicio fijo por satélite</w:t>
            </w:r>
          </w:p>
        </w:tc>
      </w:tr>
      <w:tr w:rsidR="00EE0666" w:rsidRPr="00036EE3"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SA</w:t>
            </w:r>
          </w:p>
        </w:tc>
        <w:tc>
          <w:tcPr>
            <w:tcW w:w="8220" w:type="dxa"/>
          </w:tcPr>
          <w:p w:rsidR="00EE0666" w:rsidRPr="00021E8A" w:rsidRDefault="00EE0666" w:rsidP="00AD1722">
            <w:pPr>
              <w:spacing w:before="30" w:after="30"/>
              <w:jc w:val="left"/>
              <w:rPr>
                <w:bCs/>
                <w:sz w:val="20"/>
                <w:lang w:val="en-US"/>
              </w:rPr>
            </w:pPr>
            <w:r w:rsidRPr="00021E8A">
              <w:rPr>
                <w:bCs/>
                <w:sz w:val="20"/>
              </w:rPr>
              <w:t>Aplicaciones espaciales y meteorología</w:t>
            </w:r>
          </w:p>
        </w:tc>
      </w:tr>
      <w:tr w:rsidR="00EE0666" w:rsidRPr="00021E8A"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SF</w:t>
            </w:r>
          </w:p>
        </w:tc>
        <w:tc>
          <w:tcPr>
            <w:tcW w:w="8220" w:type="dxa"/>
          </w:tcPr>
          <w:p w:rsidR="00EE0666" w:rsidRPr="00021E8A" w:rsidRDefault="00EE0666" w:rsidP="00AD172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E0666" w:rsidRPr="00036EE3" w:rsidTr="00AD1722">
        <w:tc>
          <w:tcPr>
            <w:tcW w:w="1140" w:type="dxa"/>
            <w:shd w:val="clear" w:color="auto" w:fill="auto"/>
          </w:tcPr>
          <w:p w:rsidR="00EE0666" w:rsidRPr="001240BC" w:rsidRDefault="00EE0666" w:rsidP="00AD1722">
            <w:pPr>
              <w:spacing w:before="30" w:after="30"/>
              <w:ind w:left="57"/>
              <w:jc w:val="left"/>
              <w:rPr>
                <w:b/>
                <w:bCs/>
                <w:sz w:val="20"/>
                <w:lang w:val="en-US"/>
              </w:rPr>
            </w:pPr>
            <w:r w:rsidRPr="001240BC">
              <w:rPr>
                <w:b/>
                <w:bCs/>
                <w:sz w:val="20"/>
                <w:lang w:val="en-US"/>
              </w:rPr>
              <w:t>SM</w:t>
            </w:r>
          </w:p>
        </w:tc>
        <w:tc>
          <w:tcPr>
            <w:tcW w:w="8220" w:type="dxa"/>
            <w:shd w:val="clear" w:color="auto" w:fill="auto"/>
          </w:tcPr>
          <w:p w:rsidR="00EE0666" w:rsidRPr="001240BC" w:rsidRDefault="00EE0666" w:rsidP="00AD1722">
            <w:pPr>
              <w:spacing w:before="30" w:after="30"/>
              <w:jc w:val="left"/>
              <w:rPr>
                <w:sz w:val="20"/>
                <w:lang w:val="en-US"/>
              </w:rPr>
            </w:pPr>
            <w:r w:rsidRPr="001240BC">
              <w:rPr>
                <w:sz w:val="20"/>
              </w:rPr>
              <w:t>Gestión del espectro</w:t>
            </w:r>
          </w:p>
        </w:tc>
      </w:tr>
      <w:tr w:rsidR="00EE0666" w:rsidRPr="00036EE3"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SNG</w:t>
            </w:r>
          </w:p>
        </w:tc>
        <w:tc>
          <w:tcPr>
            <w:tcW w:w="8220" w:type="dxa"/>
          </w:tcPr>
          <w:p w:rsidR="00EE0666" w:rsidRPr="00021E8A" w:rsidRDefault="00EE0666" w:rsidP="00AD1722">
            <w:pPr>
              <w:spacing w:before="30" w:after="30"/>
              <w:jc w:val="left"/>
              <w:rPr>
                <w:bCs/>
                <w:sz w:val="20"/>
                <w:lang w:val="en-US"/>
              </w:rPr>
            </w:pPr>
            <w:r w:rsidRPr="00021E8A">
              <w:rPr>
                <w:bCs/>
                <w:sz w:val="20"/>
              </w:rPr>
              <w:t>Periodismo electrónico por satélite</w:t>
            </w:r>
          </w:p>
        </w:tc>
      </w:tr>
      <w:tr w:rsidR="00EE0666" w:rsidRPr="00021E8A"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TF</w:t>
            </w:r>
          </w:p>
        </w:tc>
        <w:tc>
          <w:tcPr>
            <w:tcW w:w="8220" w:type="dxa"/>
          </w:tcPr>
          <w:p w:rsidR="00EE0666" w:rsidRPr="00021E8A" w:rsidRDefault="00EE0666" w:rsidP="00AD1722">
            <w:pPr>
              <w:spacing w:before="30" w:after="30"/>
              <w:jc w:val="left"/>
              <w:rPr>
                <w:bCs/>
                <w:sz w:val="20"/>
                <w:lang w:val="es-ES_tradnl"/>
              </w:rPr>
            </w:pPr>
            <w:r w:rsidRPr="00021E8A">
              <w:rPr>
                <w:bCs/>
                <w:sz w:val="20"/>
                <w:lang w:val="es-ES_tradnl"/>
              </w:rPr>
              <w:t>Emisiones de frecuencias patrón y señales horarias</w:t>
            </w:r>
          </w:p>
        </w:tc>
      </w:tr>
      <w:tr w:rsidR="00EE0666" w:rsidRPr="00036EE3" w:rsidTr="00AD1722">
        <w:tc>
          <w:tcPr>
            <w:tcW w:w="1140" w:type="dxa"/>
          </w:tcPr>
          <w:p w:rsidR="00EE0666" w:rsidRPr="00036EE3" w:rsidRDefault="00EE0666" w:rsidP="00AD1722">
            <w:pPr>
              <w:spacing w:before="30" w:after="30"/>
              <w:ind w:left="57"/>
              <w:jc w:val="left"/>
              <w:rPr>
                <w:b/>
                <w:bCs/>
                <w:sz w:val="20"/>
                <w:lang w:val="en-US"/>
              </w:rPr>
            </w:pPr>
            <w:r w:rsidRPr="00036EE3">
              <w:rPr>
                <w:b/>
                <w:bCs/>
                <w:sz w:val="20"/>
                <w:lang w:val="en-US"/>
              </w:rPr>
              <w:t>V</w:t>
            </w:r>
          </w:p>
        </w:tc>
        <w:tc>
          <w:tcPr>
            <w:tcW w:w="8220" w:type="dxa"/>
          </w:tcPr>
          <w:p w:rsidR="00EE0666" w:rsidRPr="00021E8A" w:rsidRDefault="00EE0666" w:rsidP="00AD1722">
            <w:pPr>
              <w:spacing w:before="30" w:after="140"/>
              <w:jc w:val="left"/>
              <w:rPr>
                <w:bCs/>
                <w:sz w:val="20"/>
                <w:lang w:val="en-US"/>
              </w:rPr>
            </w:pPr>
            <w:r w:rsidRPr="00021E8A">
              <w:rPr>
                <w:bCs/>
                <w:sz w:val="20"/>
              </w:rPr>
              <w:t>Vocabulario y cuestiones afines</w:t>
            </w:r>
          </w:p>
        </w:tc>
      </w:tr>
    </w:tbl>
    <w:p w:rsidR="00EE0666" w:rsidRPr="00036EE3" w:rsidRDefault="00EE0666" w:rsidP="00EE0666">
      <w:pPr>
        <w:spacing w:before="0" w:after="140"/>
        <w:jc w:val="center"/>
        <w:rPr>
          <w:sz w:val="20"/>
          <w:lang w:val="en-US"/>
        </w:rPr>
      </w:pPr>
    </w:p>
    <w:tbl>
      <w:tblPr>
        <w:tblpPr w:leftFromText="180" w:rightFromText="180" w:vertAnchor="text" w:tblpX="-5771" w:tblpY="-4031"/>
        <w:tblW w:w="0" w:type="auto"/>
        <w:tblLook w:val="0000"/>
      </w:tblPr>
      <w:tblGrid>
        <w:gridCol w:w="720"/>
      </w:tblGrid>
      <w:tr w:rsidR="00EE0666" w:rsidTr="00AD1722">
        <w:tc>
          <w:tcPr>
            <w:tcW w:w="720" w:type="dxa"/>
          </w:tcPr>
          <w:p w:rsidR="00EE0666" w:rsidRDefault="00EE0666" w:rsidP="00AD172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E0666" w:rsidRPr="00763D08" w:rsidTr="00AD1722">
        <w:tc>
          <w:tcPr>
            <w:tcW w:w="9360" w:type="dxa"/>
          </w:tcPr>
          <w:p w:rsidR="00EE0666" w:rsidRPr="00763D08" w:rsidRDefault="00EE0666" w:rsidP="00AD1722">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E0666" w:rsidRPr="00763D08" w:rsidRDefault="00EE0666" w:rsidP="00EE0666">
      <w:pPr>
        <w:spacing w:before="0"/>
        <w:jc w:val="center"/>
        <w:rPr>
          <w:sz w:val="22"/>
          <w:lang w:val="es-ES_tradnl"/>
        </w:rPr>
      </w:pPr>
    </w:p>
    <w:p w:rsidR="00EE0666" w:rsidRPr="00763D08" w:rsidRDefault="00EE0666" w:rsidP="00EE0666">
      <w:pPr>
        <w:spacing w:before="60"/>
        <w:jc w:val="right"/>
        <w:rPr>
          <w:i/>
          <w:iCs/>
          <w:sz w:val="20"/>
          <w:lang w:val="es-ES_tradnl"/>
        </w:rPr>
      </w:pPr>
      <w:r w:rsidRPr="00763D08">
        <w:rPr>
          <w:i/>
          <w:iCs/>
          <w:sz w:val="20"/>
          <w:lang w:val="es-ES_tradnl"/>
        </w:rPr>
        <w:t>Publicación electrónica</w:t>
      </w:r>
    </w:p>
    <w:p w:rsidR="00EE0666" w:rsidRPr="00763D08" w:rsidRDefault="00EE0666" w:rsidP="00EE0666">
      <w:pPr>
        <w:spacing w:before="0" w:after="40"/>
        <w:jc w:val="right"/>
        <w:rPr>
          <w:sz w:val="20"/>
          <w:lang w:val="es-ES_tradnl"/>
        </w:rPr>
      </w:pPr>
      <w:r w:rsidRPr="00763D08">
        <w:rPr>
          <w:sz w:val="20"/>
          <w:lang w:val="es-ES_tradnl"/>
        </w:rPr>
        <w:t>Ginebra, 20</w:t>
      </w:r>
      <w:r>
        <w:rPr>
          <w:sz w:val="20"/>
          <w:lang w:val="es-ES_tradnl"/>
        </w:rPr>
        <w:t>10</w:t>
      </w:r>
    </w:p>
    <w:p w:rsidR="00EE0666" w:rsidRPr="00763D08" w:rsidRDefault="00EE0666" w:rsidP="00EE0666">
      <w:pPr>
        <w:spacing w:before="0"/>
        <w:jc w:val="center"/>
        <w:rPr>
          <w:sz w:val="22"/>
          <w:lang w:val="es-ES_tradnl"/>
        </w:rPr>
      </w:pPr>
    </w:p>
    <w:p w:rsidR="00EE0666" w:rsidRPr="00763D08" w:rsidRDefault="00EE0666" w:rsidP="00EE066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EE0666" w:rsidRPr="006C718C" w:rsidRDefault="00EE0666" w:rsidP="00EE066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E0666" w:rsidRPr="006C718C" w:rsidRDefault="00EE0666" w:rsidP="00EE0666">
      <w:pPr>
        <w:spacing w:before="160"/>
        <w:rPr>
          <w:i/>
          <w:sz w:val="20"/>
          <w:highlight w:val="yellow"/>
          <w:lang w:val="es-ES_tradnl"/>
        </w:rPr>
        <w:sectPr w:rsidR="00EE0666"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F43988" w:rsidRPr="00F43988" w:rsidRDefault="00F43988" w:rsidP="00F43988">
      <w:pPr>
        <w:pStyle w:val="RecNo"/>
        <w:spacing w:before="0"/>
        <w:rPr>
          <w:lang w:val="es-ES_tradnl"/>
        </w:rPr>
      </w:pPr>
      <w:r w:rsidRPr="00F43988">
        <w:rPr>
          <w:lang w:val="es-ES_tradnl"/>
        </w:rPr>
        <w:lastRenderedPageBreak/>
        <w:t xml:space="preserve">RECOMENDACIÓN </w:t>
      </w:r>
      <w:r>
        <w:rPr>
          <w:lang w:val="es-ES_tradnl"/>
        </w:rPr>
        <w:t xml:space="preserve"> </w:t>
      </w:r>
      <w:r w:rsidRPr="00292C3E">
        <w:rPr>
          <w:rStyle w:val="href"/>
          <w:lang w:val="es-ES_tradnl"/>
        </w:rPr>
        <w:t>UIT-R  BT</w:t>
      </w:r>
      <w:r w:rsidRPr="00F43988">
        <w:rPr>
          <w:rStyle w:val="href"/>
          <w:lang w:val="es-ES_tradnl"/>
        </w:rPr>
        <w:t>.1786</w:t>
      </w:r>
      <w:r w:rsidRPr="00F43988">
        <w:rPr>
          <w:rStyle w:val="FootnoteReference"/>
          <w:lang w:val="es-ES_tradnl"/>
        </w:rPr>
        <w:footnoteReference w:customMarkFollows="1" w:id="1"/>
        <w:t>*</w:t>
      </w:r>
    </w:p>
    <w:p w:rsidR="00F43988" w:rsidRPr="00F43988" w:rsidRDefault="00F43988" w:rsidP="00292C3E">
      <w:pPr>
        <w:pStyle w:val="Rectitle"/>
        <w:rPr>
          <w:lang w:val="es-ES_tradnl"/>
        </w:rPr>
      </w:pPr>
      <w:r w:rsidRPr="00F43988">
        <w:rPr>
          <w:lang w:val="es-ES_tradnl"/>
        </w:rPr>
        <w:t>Criterios para evaluar los efectos de la interferencia</w:t>
      </w:r>
      <w:r w:rsidR="00292C3E">
        <w:rPr>
          <w:lang w:val="es-ES_tradnl"/>
        </w:rPr>
        <w:br/>
      </w:r>
      <w:r w:rsidRPr="00F43988">
        <w:rPr>
          <w:lang w:val="es-ES_tradnl"/>
        </w:rPr>
        <w:t>al</w:t>
      </w:r>
      <w:r w:rsidR="00292C3E">
        <w:rPr>
          <w:lang w:val="es-ES_tradnl"/>
        </w:rPr>
        <w:t xml:space="preserve"> </w:t>
      </w:r>
      <w:r w:rsidRPr="00F43988">
        <w:rPr>
          <w:lang w:val="es-ES_tradnl"/>
        </w:rPr>
        <w:t>servicio de radiodifusión (SR) terrenal</w:t>
      </w:r>
    </w:p>
    <w:p w:rsidR="00F43988" w:rsidRPr="00F43988" w:rsidRDefault="00F43988" w:rsidP="00467BEF">
      <w:pPr>
        <w:pStyle w:val="Recref"/>
        <w:rPr>
          <w:lang w:val="es-ES_tradnl"/>
        </w:rPr>
      </w:pPr>
      <w:r w:rsidRPr="00F43988">
        <w:rPr>
          <w:lang w:val="es-ES_tradnl"/>
        </w:rPr>
        <w:t>(Cuestión UIT-R 32/6)</w:t>
      </w:r>
    </w:p>
    <w:p w:rsidR="00467BEF" w:rsidRDefault="00467BEF" w:rsidP="00467BEF">
      <w:pPr>
        <w:pStyle w:val="Recdate"/>
        <w:rPr>
          <w:lang w:val="es-ES_tradnl"/>
        </w:rPr>
      </w:pPr>
    </w:p>
    <w:p w:rsidR="00F43988" w:rsidRPr="00F43988" w:rsidRDefault="00F43988" w:rsidP="00467BEF">
      <w:pPr>
        <w:pStyle w:val="Recdate"/>
        <w:rPr>
          <w:lang w:val="es-ES_tradnl"/>
        </w:rPr>
      </w:pPr>
      <w:r w:rsidRPr="00F43988">
        <w:rPr>
          <w:lang w:val="es-ES_tradnl"/>
        </w:rPr>
        <w:t>(2007)</w:t>
      </w:r>
    </w:p>
    <w:p w:rsidR="00F43988" w:rsidRPr="00F43988" w:rsidRDefault="00F43988" w:rsidP="00467BEF">
      <w:pPr>
        <w:pStyle w:val="HeadingSum"/>
      </w:pPr>
      <w:r w:rsidRPr="00F43988">
        <w:t>Alcance</w:t>
      </w:r>
    </w:p>
    <w:p w:rsidR="00F43988" w:rsidRDefault="00F43988" w:rsidP="00467BEF">
      <w:pPr>
        <w:pStyle w:val="Summary"/>
      </w:pPr>
      <w:r>
        <w:t>El Reglamento de Radiocomunicaciones ha establecido criterios con respecto al volumen de interferencia autorizada entre el servicio de radiodifusión y otros servicios con una asignación de frecuencia. La presente Recomendación describe un límite aceptable para la interferencia total a los servicios de radiodifusión terrenales que pueden causar las emisiones de dispositivos radioeléctricos.</w:t>
      </w:r>
    </w:p>
    <w:p w:rsidR="00F43988" w:rsidRPr="00F43988" w:rsidRDefault="00F43988" w:rsidP="00F43988">
      <w:pPr>
        <w:pStyle w:val="Normalaftertitle"/>
        <w:rPr>
          <w:lang w:val="es-ES_tradnl"/>
        </w:rPr>
      </w:pPr>
      <w:r w:rsidRPr="00F43988">
        <w:rPr>
          <w:lang w:val="es-ES_tradnl"/>
        </w:rPr>
        <w:t>La Asamblea de Radiocomunicaciones de la UIT,</w:t>
      </w:r>
    </w:p>
    <w:p w:rsidR="00F43988" w:rsidRPr="00F43988" w:rsidRDefault="00F43988" w:rsidP="00F43988">
      <w:pPr>
        <w:pStyle w:val="Call"/>
        <w:rPr>
          <w:lang w:val="es-ES_tradnl"/>
        </w:rPr>
      </w:pPr>
      <w:r w:rsidRPr="00F43988">
        <w:rPr>
          <w:lang w:val="es-ES_tradnl"/>
        </w:rPr>
        <w:t>considerando</w:t>
      </w:r>
    </w:p>
    <w:p w:rsidR="00F43988" w:rsidRDefault="00F43988" w:rsidP="00F43988">
      <w:r>
        <w:t>a)</w:t>
      </w:r>
      <w:r>
        <w:tab/>
        <w:t>que los servicios de radiodifusión terrenales son servicios protegidos;</w:t>
      </w:r>
    </w:p>
    <w:p w:rsidR="00F43988" w:rsidRDefault="00F43988" w:rsidP="00F43988">
      <w:r>
        <w:t>b)</w:t>
      </w:r>
      <w:r>
        <w:tab/>
        <w:t>que en el Reglamento de Radiocomunicaciones hay criterios bien definidos para determinar el volumen de interferencia autorizada entre el servicio de radiodifusión y otros servicios que poseen una asignación de frecuencia en dicho Reglamento;</w:t>
      </w:r>
    </w:p>
    <w:p w:rsidR="00F43988" w:rsidRDefault="00F43988" w:rsidP="00F43988">
      <w:r>
        <w:t>c)</w:t>
      </w:r>
      <w:r>
        <w:tab/>
        <w:t>que pueden existir dispositivos de radiocomunicaciones que no pertenecen al servicio de radiodifusión cuyas emisiones procedentes de aplicaciones sin la correspondiente asignación de frecuencia en el Reglamento de Radiocomunicaciones pueden producirse en bandas de frecuencias atribuidas al servicio de radiodifusión (como, por ejemplo, dispositivos UWB, moduladores de FM de corto alcance, etc.);</w:t>
      </w:r>
    </w:p>
    <w:p w:rsidR="00F43988" w:rsidRDefault="00F43988" w:rsidP="00A06D52">
      <w:r>
        <w:t>d)</w:t>
      </w:r>
      <w:r>
        <w:tab/>
        <w:t>que en la Recomendación UIT-R SM.1757 y en el Informe UIT</w:t>
      </w:r>
      <w:r>
        <w:noBreakHyphen/>
        <w:t>R SM.20</w:t>
      </w:r>
      <w:r w:rsidR="00A06D52">
        <w:t>57</w:t>
      </w:r>
      <w:r>
        <w:t xml:space="preserve"> figura un criterio de protección establecido para limitar la interferencia causada por emisiones de dispositivos de banda ultraancha a los servicios de radiodifusión terrenales;</w:t>
      </w:r>
    </w:p>
    <w:p w:rsidR="00F43988" w:rsidRDefault="00F43988" w:rsidP="00F43988">
      <w:r>
        <w:t>e)</w:t>
      </w:r>
      <w:r>
        <w:tab/>
        <w:t>que deben establecerse límites para las emisiones de dispositivos con objeto de que no se violen los criterios de protección contra interferencias establecidos para los servicios de radiodifusión terrenales,</w:t>
      </w:r>
    </w:p>
    <w:p w:rsidR="00F43988" w:rsidRDefault="00F43988" w:rsidP="00F43988">
      <w:pPr>
        <w:pStyle w:val="Call"/>
      </w:pPr>
      <w:r>
        <w:t>recomienda</w:t>
      </w:r>
    </w:p>
    <w:p w:rsidR="00A6617B" w:rsidRPr="00F43988" w:rsidRDefault="00F43988" w:rsidP="00F43988">
      <w:r>
        <w:rPr>
          <w:b/>
        </w:rPr>
        <w:t>1</w:t>
      </w:r>
      <w:r>
        <w:tab/>
        <w:t xml:space="preserve">que la interferencia total a los sistemas que funcionan en el servicio de radiodifusión causada por todas las fuentes de interferencia, como se indica en la Recomendación citada en el </w:t>
      </w:r>
      <w:r>
        <w:rPr>
          <w:i/>
        </w:rPr>
        <w:t>considerando</w:t>
      </w:r>
      <w:r>
        <w:t> d), no rebase en ningún momento el uno por ciento de la potencia de ruido total del sistema receptor.</w:t>
      </w:r>
    </w:p>
    <w:p w:rsidR="00F43988" w:rsidRPr="00F43988" w:rsidRDefault="00F43988" w:rsidP="00A6617B"/>
    <w:p w:rsidR="00F43988" w:rsidRPr="00F43988" w:rsidRDefault="00F43988" w:rsidP="00A6617B"/>
    <w:p w:rsidR="00F43988" w:rsidRPr="00F43988" w:rsidRDefault="00F43988" w:rsidP="00F43988">
      <w:pPr>
        <w:pStyle w:val="Line"/>
        <w:rPr>
          <w:lang w:val="es-ES_tradnl"/>
        </w:rPr>
      </w:pPr>
    </w:p>
    <w:sectPr w:rsidR="00F43988" w:rsidRPr="00F43988" w:rsidSect="00EE066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BEF" w:rsidRDefault="00467BEF">
      <w:r>
        <w:separator/>
      </w:r>
    </w:p>
  </w:endnote>
  <w:endnote w:type="continuationSeparator" w:id="0">
    <w:p w:rsidR="00467BEF" w:rsidRDefault="00467B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BEF" w:rsidRDefault="00467BEF">
      <w:r>
        <w:separator/>
      </w:r>
    </w:p>
  </w:footnote>
  <w:footnote w:type="continuationSeparator" w:id="0">
    <w:p w:rsidR="00467BEF" w:rsidRDefault="00467BEF">
      <w:r>
        <w:continuationSeparator/>
      </w:r>
    </w:p>
  </w:footnote>
  <w:footnote w:id="1">
    <w:p w:rsidR="00467BEF" w:rsidRPr="00F43988" w:rsidRDefault="00467BEF" w:rsidP="00F43988">
      <w:pPr>
        <w:pStyle w:val="FootnoteText"/>
        <w:rPr>
          <w:lang w:val="es-ES_tradnl"/>
        </w:rPr>
      </w:pPr>
      <w:r w:rsidRPr="00F43988">
        <w:rPr>
          <w:rStyle w:val="FootnoteReference"/>
          <w:lang w:val="es-ES_tradnl"/>
        </w:rPr>
        <w:t>*</w:t>
      </w:r>
      <w:r w:rsidRPr="00F43988">
        <w:rPr>
          <w:lang w:val="es-ES_tradnl"/>
        </w:rPr>
        <w:tab/>
        <w:t>La Comisión de Estudio 6 de Radiocomunicaciones ha introducido modificaciones redaccionales a esta Recomendación en 2007 de conformidad con la Resolución UIT</w:t>
      </w:r>
      <w:r w:rsidRPr="00F43988">
        <w:rPr>
          <w:lang w:val="es-ES_tradnl"/>
        </w:rPr>
        <w:noBreakHyphen/>
        <w: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66" w:rsidRDefault="00EE066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66" w:rsidRDefault="00EE0666" w:rsidP="009E1F8B">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5"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66" w:rsidRDefault="00EE0666"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1A19B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BT.1786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66" w:rsidRDefault="00EE0666">
    <w:pPr>
      <w:pStyle w:val="Header"/>
    </w:pPr>
    <w:r>
      <w:tab/>
    </w:r>
    <w:fldSimple w:instr=" DOCPROPERTY &quot;Header&quot; \* MERGEFORMAT ">
      <w:r w:rsidRPr="001A19B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BT.709-5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BEF" w:rsidRDefault="00467B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00292C3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92C3E">
      <w:rPr>
        <w:b/>
        <w:bCs/>
        <w:noProof/>
      </w:rPr>
      <w:t>UIT-R  BT.1786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BEF" w:rsidRDefault="00467BEF">
    <w:pPr>
      <w:pStyle w:val="Header"/>
    </w:pPr>
    <w:r>
      <w:tab/>
    </w:r>
    <w:fldSimple w:instr=" DOCPROPERTY &quot;Header&quot; \* MERGEFORMAT ">
      <w:r w:rsidR="00292C3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666">
      <w:rPr>
        <w:b/>
        <w:bCs/>
        <w:noProof/>
      </w:rPr>
      <w:t>UIT-R  BT.1786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666">
      <w:rPr>
        <w:rStyle w:val="PageNumber"/>
        <w:b/>
        <w:bCs/>
        <w:noProof/>
      </w:rPr>
      <w:t>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F43988"/>
    <w:rsid w:val="00292C3E"/>
    <w:rsid w:val="002D76C4"/>
    <w:rsid w:val="00467BEF"/>
    <w:rsid w:val="00607D68"/>
    <w:rsid w:val="009D2AD1"/>
    <w:rsid w:val="00A06D52"/>
    <w:rsid w:val="00A6617B"/>
    <w:rsid w:val="00AB0DC8"/>
    <w:rsid w:val="00B44E24"/>
    <w:rsid w:val="00DF4176"/>
    <w:rsid w:val="00EE0666"/>
    <w:rsid w:val="00F4398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B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67BEF"/>
    <w:pPr>
      <w:keepNext/>
      <w:keepLines/>
      <w:spacing w:before="480"/>
      <w:ind w:left="794" w:hanging="794"/>
      <w:outlineLvl w:val="0"/>
    </w:pPr>
    <w:rPr>
      <w:b/>
    </w:rPr>
  </w:style>
  <w:style w:type="paragraph" w:styleId="Heading2">
    <w:name w:val="heading 2"/>
    <w:basedOn w:val="Heading1"/>
    <w:next w:val="Normal"/>
    <w:qFormat/>
    <w:rsid w:val="00467BEF"/>
    <w:pPr>
      <w:spacing w:before="320"/>
      <w:outlineLvl w:val="1"/>
    </w:pPr>
  </w:style>
  <w:style w:type="paragraph" w:styleId="Heading3">
    <w:name w:val="heading 3"/>
    <w:basedOn w:val="Heading1"/>
    <w:next w:val="Normal"/>
    <w:qFormat/>
    <w:rsid w:val="00467BEF"/>
    <w:pPr>
      <w:spacing w:before="200"/>
      <w:outlineLvl w:val="2"/>
    </w:pPr>
  </w:style>
  <w:style w:type="paragraph" w:styleId="Heading4">
    <w:name w:val="heading 4"/>
    <w:basedOn w:val="Heading3"/>
    <w:next w:val="Normal"/>
    <w:qFormat/>
    <w:rsid w:val="00467BEF"/>
    <w:pPr>
      <w:tabs>
        <w:tab w:val="clear" w:pos="794"/>
        <w:tab w:val="left" w:pos="992"/>
      </w:tabs>
      <w:ind w:left="992" w:hanging="992"/>
      <w:outlineLvl w:val="3"/>
    </w:pPr>
  </w:style>
  <w:style w:type="paragraph" w:styleId="Heading5">
    <w:name w:val="heading 5"/>
    <w:basedOn w:val="Heading4"/>
    <w:next w:val="Normal"/>
    <w:qFormat/>
    <w:rsid w:val="00467BEF"/>
    <w:pPr>
      <w:outlineLvl w:val="4"/>
    </w:pPr>
  </w:style>
  <w:style w:type="paragraph" w:styleId="Heading6">
    <w:name w:val="heading 6"/>
    <w:basedOn w:val="Heading4"/>
    <w:next w:val="Normal"/>
    <w:qFormat/>
    <w:rsid w:val="00467BEF"/>
    <w:pPr>
      <w:tabs>
        <w:tab w:val="clear" w:pos="992"/>
        <w:tab w:val="clear" w:pos="1191"/>
      </w:tabs>
      <w:ind w:left="1588" w:hanging="1588"/>
      <w:outlineLvl w:val="5"/>
    </w:pPr>
  </w:style>
  <w:style w:type="paragraph" w:styleId="Heading7">
    <w:name w:val="heading 7"/>
    <w:basedOn w:val="Heading6"/>
    <w:next w:val="Normal"/>
    <w:qFormat/>
    <w:rsid w:val="00467BEF"/>
    <w:pPr>
      <w:outlineLvl w:val="6"/>
    </w:pPr>
  </w:style>
  <w:style w:type="paragraph" w:styleId="Heading8">
    <w:name w:val="heading 8"/>
    <w:basedOn w:val="Heading6"/>
    <w:next w:val="Normal"/>
    <w:qFormat/>
    <w:rsid w:val="00467BEF"/>
    <w:pPr>
      <w:outlineLvl w:val="7"/>
    </w:pPr>
  </w:style>
  <w:style w:type="paragraph" w:styleId="Heading9">
    <w:name w:val="heading 9"/>
    <w:basedOn w:val="Heading6"/>
    <w:next w:val="Normal"/>
    <w:qFormat/>
    <w:rsid w:val="00467BEF"/>
    <w:pPr>
      <w:jc w:val="left"/>
      <w:outlineLvl w:val="8"/>
    </w:pPr>
  </w:style>
  <w:style w:type="character" w:default="1" w:styleId="DefaultParagraphFont">
    <w:name w:val="Default Paragraph Font"/>
    <w:semiHidden/>
    <w:rsid w:val="00467BE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467BEF"/>
  </w:style>
  <w:style w:type="paragraph" w:styleId="Header">
    <w:name w:val="header"/>
    <w:basedOn w:val="Normal"/>
    <w:rsid w:val="00467BE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67BE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67BEF"/>
  </w:style>
  <w:style w:type="paragraph" w:customStyle="1" w:styleId="Headingb">
    <w:name w:val="Heading_b"/>
    <w:basedOn w:val="Heading3"/>
    <w:next w:val="Normal"/>
    <w:rsid w:val="00467BEF"/>
    <w:pPr>
      <w:spacing w:before="160"/>
      <w:ind w:left="0" w:firstLine="0"/>
      <w:outlineLvl w:val="9"/>
    </w:pPr>
  </w:style>
  <w:style w:type="paragraph" w:customStyle="1" w:styleId="Headingi">
    <w:name w:val="Heading_i"/>
    <w:basedOn w:val="Heading3"/>
    <w:next w:val="Normal"/>
    <w:rsid w:val="00467BEF"/>
    <w:pPr>
      <w:spacing w:before="160"/>
      <w:ind w:left="0" w:firstLine="0"/>
    </w:pPr>
    <w:rPr>
      <w:b w:val="0"/>
      <w:i/>
    </w:rPr>
  </w:style>
  <w:style w:type="character" w:customStyle="1" w:styleId="href">
    <w:name w:val="href"/>
    <w:basedOn w:val="DefaultParagraphFont"/>
    <w:rsid w:val="00467BEF"/>
  </w:style>
  <w:style w:type="paragraph" w:customStyle="1" w:styleId="enumlev1">
    <w:name w:val="enumlev1"/>
    <w:basedOn w:val="Normal"/>
    <w:rsid w:val="00467BEF"/>
    <w:pPr>
      <w:spacing w:before="80"/>
      <w:ind w:left="794" w:hanging="794"/>
    </w:pPr>
  </w:style>
  <w:style w:type="paragraph" w:customStyle="1" w:styleId="enumlev2">
    <w:name w:val="enumlev2"/>
    <w:basedOn w:val="enumlev1"/>
    <w:rsid w:val="00467BEF"/>
    <w:pPr>
      <w:ind w:left="1191" w:hanging="397"/>
    </w:pPr>
  </w:style>
  <w:style w:type="paragraph" w:customStyle="1" w:styleId="enumlev3">
    <w:name w:val="enumlev3"/>
    <w:basedOn w:val="enumlev2"/>
    <w:rsid w:val="00467BEF"/>
    <w:pPr>
      <w:ind w:left="1588"/>
    </w:pPr>
  </w:style>
  <w:style w:type="paragraph" w:customStyle="1" w:styleId="Normalaftertitle">
    <w:name w:val="Normal_after_title"/>
    <w:basedOn w:val="Normal"/>
    <w:next w:val="Normal"/>
    <w:rsid w:val="00467BEF"/>
    <w:pPr>
      <w:spacing w:before="320"/>
    </w:pPr>
  </w:style>
  <w:style w:type="paragraph" w:customStyle="1" w:styleId="Note">
    <w:name w:val="Note"/>
    <w:basedOn w:val="Normal"/>
    <w:rsid w:val="00467BE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67BE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67BEF"/>
    <w:pPr>
      <w:spacing w:before="240"/>
    </w:pPr>
    <w:rPr>
      <w:sz w:val="22"/>
      <w:lang w:val="es-ES_tradnl"/>
    </w:rPr>
  </w:style>
  <w:style w:type="paragraph" w:customStyle="1" w:styleId="Recref">
    <w:name w:val="Rec_ref"/>
    <w:basedOn w:val="Normal"/>
    <w:next w:val="Recdate"/>
    <w:rsid w:val="00467BEF"/>
    <w:pPr>
      <w:jc w:val="center"/>
    </w:pPr>
  </w:style>
  <w:style w:type="paragraph" w:customStyle="1" w:styleId="Recdate">
    <w:name w:val="Rec_date"/>
    <w:basedOn w:val="Recref"/>
    <w:next w:val="Normalaftertitle"/>
    <w:rsid w:val="00467BEF"/>
    <w:pPr>
      <w:jc w:val="right"/>
    </w:pPr>
  </w:style>
  <w:style w:type="paragraph" w:customStyle="1" w:styleId="AnnexNoTitle">
    <w:name w:val="Annex_NoTitle"/>
    <w:basedOn w:val="Normal"/>
    <w:next w:val="Normalaftertitle"/>
    <w:rsid w:val="00467BEF"/>
    <w:pPr>
      <w:keepNext/>
      <w:keepLines/>
      <w:spacing w:before="480" w:after="80"/>
      <w:jc w:val="center"/>
    </w:pPr>
    <w:rPr>
      <w:b/>
      <w:sz w:val="28"/>
    </w:rPr>
  </w:style>
  <w:style w:type="paragraph" w:customStyle="1" w:styleId="AppendixNoTitle">
    <w:name w:val="Appendix_NoTitle"/>
    <w:basedOn w:val="AnnexNoTitle"/>
    <w:next w:val="Normal"/>
    <w:rsid w:val="00467BEF"/>
  </w:style>
  <w:style w:type="paragraph" w:customStyle="1" w:styleId="Tablefin">
    <w:name w:val="Table_fin"/>
    <w:basedOn w:val="Normal"/>
    <w:next w:val="Normal"/>
    <w:rsid w:val="00467BEF"/>
    <w:pPr>
      <w:spacing w:before="0"/>
    </w:pPr>
    <w:rPr>
      <w:sz w:val="20"/>
      <w:lang w:val="en-GB"/>
    </w:rPr>
  </w:style>
  <w:style w:type="paragraph" w:customStyle="1" w:styleId="Tablehead">
    <w:name w:val="Table_head"/>
    <w:basedOn w:val="Normal"/>
    <w:next w:val="Normal"/>
    <w:rsid w:val="00467BEF"/>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67BEF"/>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67BEF"/>
    <w:pPr>
      <w:keepNext/>
      <w:spacing w:before="360" w:after="120"/>
      <w:jc w:val="center"/>
    </w:pPr>
  </w:style>
  <w:style w:type="paragraph" w:customStyle="1" w:styleId="Tabletext">
    <w:name w:val="Table_text"/>
    <w:basedOn w:val="Normal"/>
    <w:rsid w:val="00467BEF"/>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67BEF"/>
    <w:pPr>
      <w:tabs>
        <w:tab w:val="clear" w:pos="1191"/>
        <w:tab w:val="clear" w:pos="1588"/>
        <w:tab w:val="clear" w:pos="1985"/>
        <w:tab w:val="center" w:pos="4820"/>
        <w:tab w:val="right" w:pos="9639"/>
      </w:tabs>
    </w:pPr>
  </w:style>
  <w:style w:type="paragraph" w:customStyle="1" w:styleId="Equationlegend">
    <w:name w:val="Equation_legend"/>
    <w:basedOn w:val="NormalIndent"/>
    <w:rsid w:val="00467BEF"/>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467BEF"/>
    <w:pPr>
      <w:ind w:left="794"/>
    </w:pPr>
  </w:style>
  <w:style w:type="paragraph" w:customStyle="1" w:styleId="Figurelegend">
    <w:name w:val="Figure_legend"/>
    <w:basedOn w:val="Normal"/>
    <w:rsid w:val="00467BE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67BEF"/>
    <w:pPr>
      <w:keepNext/>
      <w:keepLines/>
      <w:spacing w:before="480" w:after="80"/>
      <w:jc w:val="center"/>
    </w:pPr>
    <w:rPr>
      <w:caps/>
      <w:sz w:val="18"/>
    </w:rPr>
  </w:style>
  <w:style w:type="paragraph" w:customStyle="1" w:styleId="tocpart">
    <w:name w:val="tocpart"/>
    <w:basedOn w:val="Normal"/>
    <w:rsid w:val="00467BE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67BEF"/>
    <w:pPr>
      <w:keepNext/>
      <w:keepLines/>
      <w:spacing w:before="480"/>
      <w:jc w:val="center"/>
    </w:pPr>
    <w:rPr>
      <w:sz w:val="28"/>
    </w:rPr>
  </w:style>
  <w:style w:type="paragraph" w:customStyle="1" w:styleId="Arttitle">
    <w:name w:val="Art_title"/>
    <w:basedOn w:val="Normal"/>
    <w:next w:val="Normalaftertitle"/>
    <w:rsid w:val="00467BEF"/>
    <w:pPr>
      <w:keepNext/>
      <w:keepLines/>
      <w:spacing w:before="240"/>
      <w:jc w:val="center"/>
    </w:pPr>
    <w:rPr>
      <w:b/>
      <w:sz w:val="28"/>
    </w:rPr>
  </w:style>
  <w:style w:type="paragraph" w:customStyle="1" w:styleId="Blanc">
    <w:name w:val="Blanc"/>
    <w:basedOn w:val="Normal"/>
    <w:next w:val="Tabletext"/>
    <w:rsid w:val="00467BE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67BE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67BEF"/>
    <w:pPr>
      <w:keepNext/>
      <w:keepLines/>
      <w:spacing w:before="160"/>
      <w:ind w:left="794"/>
    </w:pPr>
    <w:rPr>
      <w:i/>
    </w:rPr>
  </w:style>
  <w:style w:type="paragraph" w:customStyle="1" w:styleId="ChapNo">
    <w:name w:val="Chap_No"/>
    <w:basedOn w:val="ArtNo"/>
    <w:next w:val="Chaptitle"/>
    <w:rsid w:val="00467BEF"/>
    <w:rPr>
      <w:b/>
    </w:rPr>
  </w:style>
  <w:style w:type="paragraph" w:customStyle="1" w:styleId="Chaptitle">
    <w:name w:val="Chap_title"/>
    <w:basedOn w:val="Arttitle"/>
    <w:next w:val="Normalaftertitle"/>
    <w:rsid w:val="00467BEF"/>
  </w:style>
  <w:style w:type="character" w:styleId="FootnoteReference">
    <w:name w:val="footnote reference"/>
    <w:basedOn w:val="DefaultParagraphFont"/>
    <w:semiHidden/>
    <w:rsid w:val="00467BEF"/>
    <w:rPr>
      <w:position w:val="6"/>
      <w:sz w:val="18"/>
    </w:rPr>
  </w:style>
  <w:style w:type="paragraph" w:styleId="FootnoteText">
    <w:name w:val="footnote text"/>
    <w:basedOn w:val="Normal"/>
    <w:semiHidden/>
    <w:rsid w:val="00467BEF"/>
    <w:pPr>
      <w:keepLines/>
      <w:tabs>
        <w:tab w:val="left" w:pos="255"/>
      </w:tabs>
      <w:ind w:left="255" w:hanging="255"/>
    </w:pPr>
    <w:rPr>
      <w:sz w:val="22"/>
    </w:rPr>
  </w:style>
  <w:style w:type="paragraph" w:styleId="Index1">
    <w:name w:val="index 1"/>
    <w:basedOn w:val="Normal"/>
    <w:next w:val="Normal"/>
    <w:semiHidden/>
    <w:rsid w:val="00467BEF"/>
  </w:style>
  <w:style w:type="paragraph" w:styleId="Index2">
    <w:name w:val="index 2"/>
    <w:basedOn w:val="Normal"/>
    <w:next w:val="Normal"/>
    <w:semiHidden/>
    <w:rsid w:val="00467BEF"/>
    <w:pPr>
      <w:ind w:left="283"/>
    </w:pPr>
  </w:style>
  <w:style w:type="paragraph" w:styleId="Index3">
    <w:name w:val="index 3"/>
    <w:basedOn w:val="Normal"/>
    <w:next w:val="Normal"/>
    <w:semiHidden/>
    <w:rsid w:val="00467BEF"/>
    <w:pPr>
      <w:ind w:left="566"/>
    </w:pPr>
  </w:style>
  <w:style w:type="paragraph" w:styleId="IndexHeading">
    <w:name w:val="index heading"/>
    <w:basedOn w:val="Normal"/>
    <w:next w:val="Index1"/>
    <w:semiHidden/>
    <w:rsid w:val="00467BEF"/>
  </w:style>
  <w:style w:type="paragraph" w:customStyle="1" w:styleId="Line">
    <w:name w:val="Line"/>
    <w:basedOn w:val="Normal"/>
    <w:next w:val="Normal"/>
    <w:rsid w:val="00467BE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67BE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67BEF"/>
  </w:style>
  <w:style w:type="paragraph" w:customStyle="1" w:styleId="Partref">
    <w:name w:val="Part_ref"/>
    <w:basedOn w:val="Normal"/>
    <w:next w:val="Normal"/>
    <w:rsid w:val="00467BEF"/>
    <w:pPr>
      <w:keepNext/>
      <w:keepLines/>
      <w:spacing w:after="280"/>
      <w:jc w:val="center"/>
    </w:pPr>
  </w:style>
  <w:style w:type="paragraph" w:customStyle="1" w:styleId="Parttitle">
    <w:name w:val="Part_title"/>
    <w:basedOn w:val="Normal"/>
    <w:next w:val="Normalaftertitle"/>
    <w:rsid w:val="00467BE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67BEF"/>
  </w:style>
  <w:style w:type="paragraph" w:customStyle="1" w:styleId="QuestionNo">
    <w:name w:val="Question_No"/>
    <w:basedOn w:val="RecNo"/>
    <w:next w:val="Normal"/>
    <w:rsid w:val="00467BEF"/>
  </w:style>
  <w:style w:type="paragraph" w:customStyle="1" w:styleId="Questionref">
    <w:name w:val="Question_ref"/>
    <w:basedOn w:val="Recref"/>
    <w:next w:val="Questiondate"/>
    <w:rsid w:val="00467BEF"/>
  </w:style>
  <w:style w:type="paragraph" w:customStyle="1" w:styleId="Questiontitle">
    <w:name w:val="Question_title"/>
    <w:basedOn w:val="Normal"/>
    <w:next w:val="Questionref"/>
    <w:rsid w:val="00467BEF"/>
  </w:style>
  <w:style w:type="paragraph" w:customStyle="1" w:styleId="Reftext">
    <w:name w:val="Ref_text"/>
    <w:basedOn w:val="Normal"/>
    <w:rsid w:val="00467BEF"/>
    <w:pPr>
      <w:ind w:left="794" w:hanging="794"/>
    </w:pPr>
    <w:rPr>
      <w:sz w:val="22"/>
    </w:rPr>
  </w:style>
  <w:style w:type="paragraph" w:customStyle="1" w:styleId="Reftitle">
    <w:name w:val="Ref_title"/>
    <w:basedOn w:val="Normal"/>
    <w:next w:val="Reftext"/>
    <w:rsid w:val="00467BE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67BEF"/>
  </w:style>
  <w:style w:type="paragraph" w:customStyle="1" w:styleId="RepNo">
    <w:name w:val="Rep_No"/>
    <w:basedOn w:val="RecNo"/>
    <w:next w:val="Reptitle"/>
    <w:rsid w:val="00467BEF"/>
  </w:style>
  <w:style w:type="paragraph" w:customStyle="1" w:styleId="Repref">
    <w:name w:val="Rep_ref"/>
    <w:basedOn w:val="Recref"/>
    <w:next w:val="Repdate"/>
    <w:rsid w:val="00467BEF"/>
  </w:style>
  <w:style w:type="paragraph" w:customStyle="1" w:styleId="Reptitle">
    <w:name w:val="Rep_title"/>
    <w:basedOn w:val="Rectitle"/>
    <w:next w:val="Repref"/>
    <w:rsid w:val="00467BEF"/>
  </w:style>
  <w:style w:type="paragraph" w:customStyle="1" w:styleId="Resdate">
    <w:name w:val="Res_date"/>
    <w:basedOn w:val="Recdate"/>
    <w:next w:val="Normalaftertitle"/>
    <w:rsid w:val="00467BEF"/>
  </w:style>
  <w:style w:type="paragraph" w:customStyle="1" w:styleId="ResNo">
    <w:name w:val="Res_No"/>
    <w:basedOn w:val="RecNo"/>
    <w:next w:val="Restitle"/>
    <w:rsid w:val="00467BEF"/>
  </w:style>
  <w:style w:type="paragraph" w:customStyle="1" w:styleId="Resref">
    <w:name w:val="Res_ref"/>
    <w:basedOn w:val="Recref"/>
    <w:next w:val="Resdate"/>
    <w:rsid w:val="00467BEF"/>
  </w:style>
  <w:style w:type="paragraph" w:customStyle="1" w:styleId="Restitle">
    <w:name w:val="Res_title"/>
    <w:basedOn w:val="Normal"/>
    <w:next w:val="Resref"/>
    <w:rsid w:val="00467BEF"/>
    <w:pPr>
      <w:spacing w:before="240"/>
      <w:jc w:val="center"/>
    </w:pPr>
    <w:rPr>
      <w:b/>
      <w:sz w:val="28"/>
    </w:rPr>
  </w:style>
  <w:style w:type="paragraph" w:customStyle="1" w:styleId="SectionNo">
    <w:name w:val="Section_No"/>
    <w:basedOn w:val="Normal"/>
    <w:next w:val="Normal"/>
    <w:rsid w:val="00467BEF"/>
  </w:style>
  <w:style w:type="paragraph" w:customStyle="1" w:styleId="Sectiontitle">
    <w:name w:val="Section_title"/>
    <w:basedOn w:val="Normal"/>
    <w:next w:val="Normalaftertitle"/>
    <w:rsid w:val="00467BE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67BEF"/>
    <w:pPr>
      <w:tabs>
        <w:tab w:val="clear" w:pos="794"/>
        <w:tab w:val="clear" w:pos="1191"/>
        <w:tab w:val="clear" w:pos="1588"/>
        <w:tab w:val="clear" w:pos="1985"/>
        <w:tab w:val="right" w:pos="9611"/>
      </w:tabs>
    </w:pPr>
    <w:rPr>
      <w:i/>
    </w:rPr>
  </w:style>
  <w:style w:type="paragraph" w:styleId="TOC1">
    <w:name w:val="toc 1"/>
    <w:basedOn w:val="Normal"/>
    <w:semiHidden/>
    <w:rsid w:val="00467BE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67BEF"/>
    <w:pPr>
      <w:tabs>
        <w:tab w:val="clear" w:pos="567"/>
        <w:tab w:val="left" w:pos="1276"/>
      </w:tabs>
      <w:spacing w:before="160"/>
      <w:ind w:left="1276" w:hanging="709"/>
    </w:pPr>
  </w:style>
  <w:style w:type="paragraph" w:styleId="TOC3">
    <w:name w:val="toc 3"/>
    <w:basedOn w:val="TOC2"/>
    <w:semiHidden/>
    <w:rsid w:val="00467BEF"/>
    <w:pPr>
      <w:tabs>
        <w:tab w:val="clear" w:pos="1276"/>
        <w:tab w:val="left" w:pos="2155"/>
      </w:tabs>
      <w:ind w:left="2155" w:hanging="879"/>
    </w:pPr>
  </w:style>
  <w:style w:type="paragraph" w:styleId="TOC4">
    <w:name w:val="toc 4"/>
    <w:basedOn w:val="TOC3"/>
    <w:semiHidden/>
    <w:rsid w:val="00467BEF"/>
    <w:pPr>
      <w:tabs>
        <w:tab w:val="left" w:pos="3261"/>
      </w:tabs>
      <w:spacing w:before="80"/>
      <w:ind w:left="3261" w:hanging="993"/>
    </w:pPr>
  </w:style>
  <w:style w:type="paragraph" w:styleId="TOC5">
    <w:name w:val="toc 5"/>
    <w:basedOn w:val="TOC4"/>
    <w:semiHidden/>
    <w:rsid w:val="00467BEF"/>
  </w:style>
  <w:style w:type="paragraph" w:styleId="TOC6">
    <w:name w:val="toc 6"/>
    <w:basedOn w:val="TOC4"/>
    <w:semiHidden/>
    <w:rsid w:val="00467BEF"/>
  </w:style>
  <w:style w:type="paragraph" w:styleId="TOC7">
    <w:name w:val="toc 7"/>
    <w:basedOn w:val="TOC4"/>
    <w:semiHidden/>
    <w:rsid w:val="00467BEF"/>
  </w:style>
  <w:style w:type="paragraph" w:styleId="TOC8">
    <w:name w:val="toc 8"/>
    <w:basedOn w:val="TOC4"/>
    <w:semiHidden/>
    <w:rsid w:val="00467BEF"/>
  </w:style>
  <w:style w:type="paragraph" w:customStyle="1" w:styleId="Rectitle">
    <w:name w:val="Rec_title"/>
    <w:basedOn w:val="Normal"/>
    <w:next w:val="Recref"/>
    <w:rsid w:val="00467BEF"/>
    <w:pPr>
      <w:keepNext/>
      <w:keepLines/>
      <w:spacing w:before="240"/>
      <w:jc w:val="center"/>
    </w:pPr>
    <w:rPr>
      <w:b/>
      <w:sz w:val="28"/>
    </w:rPr>
  </w:style>
  <w:style w:type="paragraph" w:customStyle="1" w:styleId="Annexref">
    <w:name w:val="Annex_ref"/>
    <w:basedOn w:val="Normal"/>
    <w:next w:val="Normalaftertitle"/>
    <w:rsid w:val="00467BEF"/>
    <w:pPr>
      <w:keepNext/>
      <w:keepLines/>
      <w:spacing w:after="280"/>
      <w:jc w:val="center"/>
    </w:pPr>
  </w:style>
  <w:style w:type="paragraph" w:customStyle="1" w:styleId="Appendixref">
    <w:name w:val="Appendix_ref"/>
    <w:basedOn w:val="Annexref"/>
    <w:next w:val="Normalaftertitle"/>
    <w:rsid w:val="00467BEF"/>
  </w:style>
  <w:style w:type="paragraph" w:customStyle="1" w:styleId="Figuretitle">
    <w:name w:val="Figure_title"/>
    <w:basedOn w:val="Normal"/>
    <w:next w:val="Figure"/>
    <w:rsid w:val="00467BE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67BEF"/>
    <w:pPr>
      <w:keepNext/>
      <w:spacing w:before="0" w:after="120"/>
      <w:jc w:val="center"/>
    </w:pPr>
    <w:rPr>
      <w:b/>
    </w:rPr>
  </w:style>
  <w:style w:type="paragraph" w:customStyle="1" w:styleId="Summary">
    <w:name w:val="Summary"/>
    <w:basedOn w:val="Normal"/>
    <w:next w:val="Normalaftertitle"/>
    <w:rsid w:val="00467BEF"/>
    <w:pPr>
      <w:spacing w:after="480"/>
    </w:pPr>
    <w:rPr>
      <w:sz w:val="22"/>
      <w:lang w:val="es-ES_tradnl"/>
    </w:rPr>
  </w:style>
  <w:style w:type="character" w:styleId="Hyperlink">
    <w:name w:val="Hyperlink"/>
    <w:basedOn w:val="DefaultParagraphFont"/>
    <w:rsid w:val="00EE0666"/>
    <w:rPr>
      <w:color w:val="0000FF"/>
      <w:u w:val="single"/>
    </w:rPr>
  </w:style>
  <w:style w:type="paragraph" w:customStyle="1" w:styleId="Figure">
    <w:name w:val="Figure"/>
    <w:basedOn w:val="FigureNo"/>
    <w:next w:val="Normal"/>
    <w:rsid w:val="00467BEF"/>
    <w:pPr>
      <w:keepNext w:val="0"/>
      <w:spacing w:before="0" w:after="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3</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5.2.08      SP</dc:description>
  <cp:lastModifiedBy>santosbo</cp:lastModifiedBy>
  <cp:revision>2</cp:revision>
  <cp:lastPrinted>2005-02-10T14:54:00Z</cp:lastPrinted>
  <dcterms:created xsi:type="dcterms:W3CDTF">2010-07-13T09:42:00Z</dcterms:created>
  <dcterms:modified xsi:type="dcterms:W3CDTF">2010-07-13T09:42:00Z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