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D1" w:rsidRDefault="00F625D1" w:rsidP="00F625D1"/>
    <w:p w:rsidR="00F625D1" w:rsidRDefault="00F625D1" w:rsidP="00F625D1"/>
    <w:p w:rsidR="00F625D1" w:rsidRDefault="00F625D1" w:rsidP="00F625D1"/>
    <w:p w:rsidR="00F625D1" w:rsidRDefault="00F625D1" w:rsidP="00F625D1"/>
    <w:p w:rsidR="00F625D1" w:rsidRDefault="00F625D1" w:rsidP="00F625D1"/>
    <w:p w:rsidR="00F625D1" w:rsidRDefault="00F625D1" w:rsidP="00F625D1"/>
    <w:p w:rsidR="00F625D1" w:rsidRDefault="00F625D1" w:rsidP="00F625D1"/>
    <w:p w:rsidR="00F625D1" w:rsidRDefault="00F625D1" w:rsidP="00F625D1"/>
    <w:p w:rsidR="00F625D1" w:rsidRDefault="00F625D1" w:rsidP="00F625D1"/>
    <w:p w:rsidR="00F625D1" w:rsidRDefault="00F625D1" w:rsidP="00F625D1"/>
    <w:p w:rsidR="00F625D1" w:rsidRDefault="00F625D1" w:rsidP="00F625D1"/>
    <w:p w:rsidR="00F625D1" w:rsidRDefault="00F625D1" w:rsidP="00F625D1"/>
    <w:tbl>
      <w:tblPr>
        <w:tblW w:w="10089" w:type="dxa"/>
        <w:tblLook w:val="01E0"/>
      </w:tblPr>
      <w:tblGrid>
        <w:gridCol w:w="10089"/>
      </w:tblGrid>
      <w:tr w:rsidR="00F625D1" w:rsidRPr="00A443C2" w:rsidTr="00AD1722">
        <w:tc>
          <w:tcPr>
            <w:tcW w:w="10089" w:type="dxa"/>
          </w:tcPr>
          <w:p w:rsidR="00F625D1" w:rsidRPr="00B033C8" w:rsidRDefault="00F625D1" w:rsidP="00AD1722">
            <w:pPr>
              <w:spacing w:before="380" w:line="280" w:lineRule="exact"/>
              <w:jc w:val="right"/>
              <w:rPr>
                <w:rFonts w:ascii="Tahoma" w:hAnsi="Tahoma" w:cs="Tahoma"/>
                <w:b/>
                <w:bCs/>
                <w:iCs/>
                <w:color w:val="243285"/>
                <w:sz w:val="32"/>
                <w:szCs w:val="32"/>
                <w:lang w:val="en-US"/>
              </w:rPr>
            </w:pPr>
          </w:p>
          <w:p w:rsidR="00F625D1" w:rsidRPr="00A443C2" w:rsidRDefault="00F625D1" w:rsidP="00AD172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1786</w:t>
            </w:r>
          </w:p>
          <w:p w:rsidR="00F625D1" w:rsidRPr="00A443C2" w:rsidRDefault="00F625D1" w:rsidP="00AD172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04</w:t>
            </w:r>
            <w:r w:rsidRPr="00A443C2">
              <w:rPr>
                <w:rFonts w:ascii="Tahoma" w:hAnsi="Tahoma" w:cs="Tahoma"/>
                <w:b/>
                <w:bCs/>
                <w:iCs/>
                <w:color w:val="243285"/>
                <w:szCs w:val="24"/>
              </w:rPr>
              <w:t>/</w:t>
            </w:r>
            <w:r>
              <w:rPr>
                <w:rFonts w:ascii="Tahoma" w:hAnsi="Tahoma" w:cs="Tahoma"/>
                <w:b/>
                <w:bCs/>
                <w:iCs/>
                <w:color w:val="243285"/>
                <w:szCs w:val="24"/>
              </w:rPr>
              <w:t>2007</w:t>
            </w:r>
            <w:r w:rsidRPr="00A443C2">
              <w:rPr>
                <w:rFonts w:ascii="Tahoma" w:hAnsi="Tahoma" w:cs="Tahoma"/>
                <w:b/>
                <w:bCs/>
                <w:iCs/>
                <w:color w:val="243285"/>
                <w:szCs w:val="24"/>
              </w:rPr>
              <w:t>)</w:t>
            </w:r>
          </w:p>
        </w:tc>
      </w:tr>
      <w:tr w:rsidR="00F625D1" w:rsidRPr="00F54FBD" w:rsidTr="00AD1722">
        <w:tc>
          <w:tcPr>
            <w:tcW w:w="10089" w:type="dxa"/>
          </w:tcPr>
          <w:p w:rsidR="00F625D1" w:rsidRPr="0043089F" w:rsidRDefault="00F625D1" w:rsidP="00AD1722">
            <w:pPr>
              <w:spacing w:before="80" w:line="500" w:lineRule="exact"/>
              <w:jc w:val="right"/>
              <w:rPr>
                <w:rFonts w:ascii="Tahoma" w:hAnsi="Tahoma" w:cs="Tahoma"/>
                <w:b/>
                <w:bCs/>
                <w:iCs/>
                <w:color w:val="243285"/>
                <w:sz w:val="44"/>
                <w:szCs w:val="44"/>
              </w:rPr>
            </w:pPr>
          </w:p>
          <w:p w:rsidR="00F625D1" w:rsidRDefault="00F625D1" w:rsidP="00AD1722">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Critères d'évaluation de l'incidence des brouillages causés au service de radiodiffusion de Terre</w:t>
            </w:r>
          </w:p>
          <w:p w:rsidR="00F625D1" w:rsidRPr="0043089F" w:rsidRDefault="00F625D1" w:rsidP="00AD1722">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F625D1" w:rsidRPr="00F54FBD" w:rsidTr="00AD1722">
        <w:tc>
          <w:tcPr>
            <w:tcW w:w="10089" w:type="dxa"/>
          </w:tcPr>
          <w:p w:rsidR="00F625D1" w:rsidRPr="00F54FBD" w:rsidRDefault="00F625D1" w:rsidP="00AD1722">
            <w:pPr>
              <w:spacing w:before="80" w:line="280" w:lineRule="exact"/>
              <w:ind w:right="640"/>
              <w:rPr>
                <w:rFonts w:ascii="Tahoma" w:hAnsi="Tahoma" w:cs="Tahoma"/>
                <w:b/>
                <w:bCs/>
                <w:iCs/>
                <w:color w:val="243285"/>
                <w:sz w:val="32"/>
                <w:szCs w:val="32"/>
              </w:rPr>
            </w:pPr>
          </w:p>
          <w:p w:rsidR="00F625D1" w:rsidRPr="00F54FBD" w:rsidRDefault="00F625D1" w:rsidP="00AD1722">
            <w:pPr>
              <w:spacing w:before="80" w:line="280" w:lineRule="exact"/>
              <w:ind w:right="640"/>
              <w:rPr>
                <w:rFonts w:ascii="Tahoma" w:hAnsi="Tahoma" w:cs="Tahoma"/>
                <w:b/>
                <w:bCs/>
                <w:iCs/>
                <w:color w:val="243285"/>
                <w:sz w:val="32"/>
                <w:szCs w:val="32"/>
              </w:rPr>
            </w:pPr>
          </w:p>
          <w:p w:rsidR="00F625D1" w:rsidRPr="00F54FBD" w:rsidRDefault="00F625D1" w:rsidP="00AD1722">
            <w:pPr>
              <w:spacing w:before="80" w:after="180" w:line="360" w:lineRule="exact"/>
              <w:ind w:right="720"/>
              <w:rPr>
                <w:rFonts w:ascii="Tahoma" w:hAnsi="Tahoma" w:cs="Tahoma"/>
                <w:b/>
                <w:bCs/>
                <w:iCs/>
                <w:color w:val="243285"/>
                <w:sz w:val="36"/>
                <w:szCs w:val="36"/>
              </w:rPr>
            </w:pPr>
          </w:p>
          <w:p w:rsidR="00F625D1" w:rsidRPr="00F54FBD" w:rsidRDefault="00F625D1" w:rsidP="00AD172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F625D1" w:rsidRPr="0043089F" w:rsidRDefault="00F625D1" w:rsidP="00AD1722">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F625D1" w:rsidRPr="00F54FBD" w:rsidRDefault="00F625D1" w:rsidP="00F625D1">
      <w:pPr>
        <w:spacing w:before="80"/>
        <w:rPr>
          <w:i/>
          <w:sz w:val="22"/>
        </w:rPr>
      </w:pPr>
    </w:p>
    <w:p w:rsidR="00F625D1" w:rsidRPr="00F54FBD" w:rsidRDefault="00F625D1" w:rsidP="00F625D1">
      <w:pPr>
        <w:spacing w:before="80"/>
        <w:rPr>
          <w:i/>
          <w:sz w:val="22"/>
        </w:rPr>
      </w:pPr>
    </w:p>
    <w:p w:rsidR="00F625D1" w:rsidRPr="00F54FBD" w:rsidRDefault="00F625D1" w:rsidP="00F625D1">
      <w:pPr>
        <w:spacing w:before="80"/>
        <w:rPr>
          <w:i/>
          <w:sz w:val="22"/>
        </w:rPr>
      </w:pPr>
    </w:p>
    <w:p w:rsidR="00F625D1" w:rsidRPr="00F54FBD" w:rsidRDefault="00F625D1" w:rsidP="00F625D1">
      <w:pPr>
        <w:spacing w:before="80"/>
        <w:rPr>
          <w:i/>
          <w:sz w:val="22"/>
        </w:rPr>
      </w:pPr>
    </w:p>
    <w:p w:rsidR="00F625D1" w:rsidRPr="00F54FBD" w:rsidRDefault="00F625D1" w:rsidP="00F625D1">
      <w:pPr>
        <w:spacing w:before="80"/>
        <w:rPr>
          <w:i/>
          <w:sz w:val="22"/>
        </w:rPr>
      </w:pPr>
    </w:p>
    <w:p w:rsidR="00F625D1" w:rsidRPr="00F54FBD" w:rsidRDefault="00F625D1" w:rsidP="00F625D1">
      <w:pPr>
        <w:spacing w:before="80"/>
        <w:rPr>
          <w:i/>
          <w:sz w:val="22"/>
        </w:rPr>
      </w:pPr>
    </w:p>
    <w:p w:rsidR="00F625D1" w:rsidRPr="00F54FBD" w:rsidRDefault="00F625D1" w:rsidP="00F625D1">
      <w:pPr>
        <w:pStyle w:val="Equation"/>
        <w:tabs>
          <w:tab w:val="clear" w:pos="4820"/>
          <w:tab w:val="clear" w:pos="9639"/>
          <w:tab w:val="left" w:pos="1191"/>
          <w:tab w:val="left" w:pos="1588"/>
          <w:tab w:val="left" w:pos="1985"/>
        </w:tabs>
        <w:rPr>
          <w:rFonts w:ascii="Palatino Linotype" w:hAnsi="Palatino Linotype"/>
        </w:rPr>
        <w:sectPr w:rsidR="00F625D1"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F625D1" w:rsidRPr="00F54FBD" w:rsidRDefault="00F625D1" w:rsidP="00F625D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625D1" w:rsidRPr="00F54FBD" w:rsidRDefault="00F625D1" w:rsidP="00F625D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F625D1" w:rsidRPr="00F54FBD" w:rsidRDefault="00F625D1" w:rsidP="00F625D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F625D1" w:rsidRPr="00E44CBB" w:rsidRDefault="00F625D1" w:rsidP="00F625D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F625D1" w:rsidRPr="00E44CBB" w:rsidRDefault="00F625D1" w:rsidP="00F625D1">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625D1" w:rsidRDefault="00F625D1" w:rsidP="00F625D1">
      <w:pPr>
        <w:spacing w:before="24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625D1" w:rsidRPr="009454F8" w:rsidTr="00AD1722">
        <w:tc>
          <w:tcPr>
            <w:tcW w:w="9360" w:type="dxa"/>
            <w:gridSpan w:val="2"/>
          </w:tcPr>
          <w:p w:rsidR="00F625D1" w:rsidRPr="009454F8" w:rsidRDefault="00F625D1" w:rsidP="00AD172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625D1" w:rsidRPr="009454F8" w:rsidRDefault="00F625D1"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F625D1" w:rsidRPr="00036EE3" w:rsidTr="00AD1722">
        <w:tc>
          <w:tcPr>
            <w:tcW w:w="1140" w:type="dxa"/>
          </w:tcPr>
          <w:p w:rsidR="00F625D1" w:rsidRPr="00614CC6" w:rsidRDefault="00F625D1" w:rsidP="00AD1722">
            <w:pPr>
              <w:spacing w:before="90" w:after="100"/>
              <w:ind w:left="57"/>
              <w:rPr>
                <w:b/>
                <w:bCs/>
                <w:sz w:val="20"/>
                <w:lang w:val="en-US"/>
              </w:rPr>
            </w:pPr>
            <w:r w:rsidRPr="00614CC6">
              <w:rPr>
                <w:b/>
                <w:bCs/>
                <w:sz w:val="20"/>
                <w:lang w:val="en-US"/>
              </w:rPr>
              <w:t>Séries</w:t>
            </w:r>
          </w:p>
        </w:tc>
        <w:tc>
          <w:tcPr>
            <w:tcW w:w="8220" w:type="dxa"/>
          </w:tcPr>
          <w:p w:rsidR="00F625D1" w:rsidRPr="00614CC6" w:rsidRDefault="00F625D1"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625D1" w:rsidRPr="00036EE3" w:rsidTr="00AD1722">
        <w:tc>
          <w:tcPr>
            <w:tcW w:w="1140" w:type="dxa"/>
            <w:tcBorders>
              <w:bottom w:val="nil"/>
            </w:tcBorders>
          </w:tcPr>
          <w:p w:rsidR="00F625D1" w:rsidRPr="00614CC6" w:rsidRDefault="00F625D1" w:rsidP="00AD1722">
            <w:pPr>
              <w:spacing w:before="30" w:after="30"/>
              <w:ind w:left="57"/>
              <w:rPr>
                <w:b/>
                <w:bCs/>
                <w:sz w:val="20"/>
                <w:lang w:val="en-US"/>
              </w:rPr>
            </w:pPr>
            <w:r w:rsidRPr="00614CC6">
              <w:rPr>
                <w:b/>
                <w:bCs/>
                <w:sz w:val="20"/>
                <w:lang w:val="en-US"/>
              </w:rPr>
              <w:t>BO</w:t>
            </w:r>
          </w:p>
        </w:tc>
        <w:tc>
          <w:tcPr>
            <w:tcW w:w="8220" w:type="dxa"/>
            <w:tcBorders>
              <w:bottom w:val="nil"/>
            </w:tcBorders>
          </w:tcPr>
          <w:p w:rsidR="00F625D1" w:rsidRPr="00614CC6" w:rsidRDefault="00F625D1"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625D1" w:rsidRPr="009454F8" w:rsidTr="00AD1722">
        <w:tc>
          <w:tcPr>
            <w:tcW w:w="1140" w:type="dxa"/>
            <w:tcBorders>
              <w:top w:val="nil"/>
              <w:bottom w:val="nil"/>
            </w:tcBorders>
            <w:shd w:val="clear" w:color="auto" w:fill="auto"/>
          </w:tcPr>
          <w:p w:rsidR="00F625D1" w:rsidRPr="0014322C" w:rsidRDefault="00F625D1" w:rsidP="00AD1722">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F625D1" w:rsidRPr="0014322C" w:rsidRDefault="00F625D1"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F625D1" w:rsidRPr="00036EE3" w:rsidTr="00AD1722">
        <w:tc>
          <w:tcPr>
            <w:tcW w:w="1140" w:type="dxa"/>
            <w:tcBorders>
              <w:top w:val="nil"/>
              <w:bottom w:val="nil"/>
            </w:tcBorders>
          </w:tcPr>
          <w:p w:rsidR="00F625D1" w:rsidRPr="00614CC6" w:rsidRDefault="00F625D1" w:rsidP="00AD1722">
            <w:pPr>
              <w:spacing w:before="30" w:after="30"/>
              <w:ind w:left="57"/>
              <w:rPr>
                <w:b/>
                <w:bCs/>
                <w:sz w:val="20"/>
                <w:lang w:val="en-US"/>
              </w:rPr>
            </w:pPr>
            <w:r w:rsidRPr="00614CC6">
              <w:rPr>
                <w:b/>
                <w:bCs/>
                <w:sz w:val="20"/>
                <w:lang w:val="en-US"/>
              </w:rPr>
              <w:t>BS</w:t>
            </w:r>
          </w:p>
        </w:tc>
        <w:tc>
          <w:tcPr>
            <w:tcW w:w="8220" w:type="dxa"/>
            <w:tcBorders>
              <w:top w:val="nil"/>
              <w:bottom w:val="nil"/>
            </w:tcBorders>
          </w:tcPr>
          <w:p w:rsidR="00F625D1" w:rsidRPr="00614CC6" w:rsidRDefault="00F625D1"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625D1" w:rsidRPr="00ED2695" w:rsidTr="00AD1722">
        <w:tc>
          <w:tcPr>
            <w:tcW w:w="1140" w:type="dxa"/>
            <w:tcBorders>
              <w:top w:val="nil"/>
              <w:bottom w:val="nil"/>
            </w:tcBorders>
            <w:shd w:val="clear" w:color="auto" w:fill="F3F3F3"/>
          </w:tcPr>
          <w:p w:rsidR="00F625D1" w:rsidRPr="0014322C" w:rsidRDefault="00F625D1" w:rsidP="00AD1722">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F625D1" w:rsidRPr="0014322C" w:rsidRDefault="00F625D1"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F625D1" w:rsidRPr="00036EE3" w:rsidTr="00AD1722">
        <w:tc>
          <w:tcPr>
            <w:tcW w:w="1140" w:type="dxa"/>
            <w:tcBorders>
              <w:top w:val="nil"/>
              <w:bottom w:val="nil"/>
            </w:tcBorders>
            <w:shd w:val="clear" w:color="auto" w:fill="auto"/>
          </w:tcPr>
          <w:p w:rsidR="00F625D1" w:rsidRPr="00614CC6" w:rsidRDefault="00F625D1" w:rsidP="00AD1722">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F625D1" w:rsidRPr="00614CC6" w:rsidRDefault="00F625D1"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625D1" w:rsidRPr="00592F9F" w:rsidTr="00AD1722">
        <w:tc>
          <w:tcPr>
            <w:tcW w:w="1140" w:type="dxa"/>
            <w:tcBorders>
              <w:top w:val="nil"/>
              <w:bottom w:val="nil"/>
            </w:tcBorders>
            <w:shd w:val="clear" w:color="auto" w:fill="auto"/>
          </w:tcPr>
          <w:p w:rsidR="00F625D1" w:rsidRPr="00766861" w:rsidRDefault="00F625D1" w:rsidP="00AD1722">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F625D1" w:rsidRPr="00766861" w:rsidRDefault="00F625D1" w:rsidP="00AD172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F625D1" w:rsidRPr="00036EE3" w:rsidTr="00AD1722">
        <w:tc>
          <w:tcPr>
            <w:tcW w:w="1140" w:type="dxa"/>
            <w:tcBorders>
              <w:top w:val="nil"/>
            </w:tcBorders>
          </w:tcPr>
          <w:p w:rsidR="00F625D1" w:rsidRPr="00614CC6" w:rsidRDefault="00F625D1" w:rsidP="00AD1722">
            <w:pPr>
              <w:spacing w:before="30" w:after="30"/>
              <w:ind w:left="57"/>
              <w:rPr>
                <w:b/>
                <w:bCs/>
                <w:sz w:val="20"/>
                <w:lang w:val="fr-CH"/>
              </w:rPr>
            </w:pPr>
            <w:r w:rsidRPr="00614CC6">
              <w:rPr>
                <w:b/>
                <w:bCs/>
                <w:sz w:val="20"/>
                <w:lang w:val="fr-CH"/>
              </w:rPr>
              <w:t>P</w:t>
            </w:r>
          </w:p>
        </w:tc>
        <w:tc>
          <w:tcPr>
            <w:tcW w:w="8220" w:type="dxa"/>
            <w:tcBorders>
              <w:top w:val="nil"/>
            </w:tcBorders>
          </w:tcPr>
          <w:p w:rsidR="00F625D1" w:rsidRPr="00614CC6" w:rsidRDefault="00F625D1" w:rsidP="00AD1722">
            <w:pPr>
              <w:spacing w:before="30" w:after="30"/>
              <w:rPr>
                <w:sz w:val="20"/>
                <w:lang w:val="fr-CH"/>
              </w:rPr>
            </w:pPr>
            <w:r w:rsidRPr="00614CC6">
              <w:rPr>
                <w:sz w:val="20"/>
              </w:rPr>
              <w:t>Propagation des ondes radioélectriques</w:t>
            </w:r>
          </w:p>
        </w:tc>
      </w:tr>
      <w:tr w:rsidR="00F625D1" w:rsidRPr="00036EE3" w:rsidTr="00AD1722">
        <w:tc>
          <w:tcPr>
            <w:tcW w:w="1140" w:type="dxa"/>
          </w:tcPr>
          <w:p w:rsidR="00F625D1" w:rsidRPr="00614CC6" w:rsidRDefault="00F625D1" w:rsidP="00AD1722">
            <w:pPr>
              <w:spacing w:before="30" w:after="30"/>
              <w:ind w:left="57"/>
              <w:rPr>
                <w:b/>
                <w:bCs/>
                <w:sz w:val="20"/>
                <w:lang w:val="en-US"/>
              </w:rPr>
            </w:pPr>
            <w:r w:rsidRPr="00614CC6">
              <w:rPr>
                <w:b/>
                <w:bCs/>
                <w:sz w:val="20"/>
                <w:lang w:val="en-US"/>
              </w:rPr>
              <w:t>RA</w:t>
            </w:r>
          </w:p>
        </w:tc>
        <w:tc>
          <w:tcPr>
            <w:tcW w:w="8220" w:type="dxa"/>
          </w:tcPr>
          <w:p w:rsidR="00F625D1" w:rsidRPr="00614CC6" w:rsidRDefault="00F625D1"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625D1" w:rsidRPr="00036EE3" w:rsidTr="00AD1722">
        <w:tc>
          <w:tcPr>
            <w:tcW w:w="1140" w:type="dxa"/>
          </w:tcPr>
          <w:p w:rsidR="00F625D1" w:rsidRPr="00614CC6" w:rsidRDefault="00F625D1" w:rsidP="00AD1722">
            <w:pPr>
              <w:spacing w:before="30" w:after="30"/>
              <w:ind w:left="57"/>
              <w:rPr>
                <w:b/>
                <w:bCs/>
                <w:sz w:val="20"/>
                <w:lang w:val="en-US"/>
              </w:rPr>
            </w:pPr>
            <w:r w:rsidRPr="00614CC6">
              <w:rPr>
                <w:b/>
                <w:bCs/>
                <w:sz w:val="20"/>
                <w:lang w:val="en-US"/>
              </w:rPr>
              <w:t>RS</w:t>
            </w:r>
          </w:p>
        </w:tc>
        <w:tc>
          <w:tcPr>
            <w:tcW w:w="8220" w:type="dxa"/>
          </w:tcPr>
          <w:p w:rsidR="00F625D1" w:rsidRPr="00614CC6" w:rsidRDefault="00F625D1" w:rsidP="00AD172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625D1" w:rsidRPr="00036EE3" w:rsidTr="00AD1722">
        <w:tc>
          <w:tcPr>
            <w:tcW w:w="1140" w:type="dxa"/>
          </w:tcPr>
          <w:p w:rsidR="00F625D1" w:rsidRPr="00614CC6" w:rsidRDefault="00F625D1" w:rsidP="00AD1722">
            <w:pPr>
              <w:spacing w:before="30" w:after="30"/>
              <w:ind w:left="57"/>
              <w:rPr>
                <w:b/>
                <w:bCs/>
                <w:sz w:val="20"/>
                <w:lang w:val="en-US"/>
              </w:rPr>
            </w:pPr>
            <w:r w:rsidRPr="00614CC6">
              <w:rPr>
                <w:b/>
                <w:bCs/>
                <w:sz w:val="20"/>
                <w:lang w:val="en-US"/>
              </w:rPr>
              <w:t>S</w:t>
            </w:r>
          </w:p>
        </w:tc>
        <w:tc>
          <w:tcPr>
            <w:tcW w:w="8220" w:type="dxa"/>
          </w:tcPr>
          <w:p w:rsidR="00F625D1" w:rsidRPr="00614CC6" w:rsidRDefault="00F625D1" w:rsidP="00AD1722">
            <w:pPr>
              <w:spacing w:before="30" w:after="30"/>
              <w:rPr>
                <w:sz w:val="20"/>
                <w:lang w:val="en-US"/>
              </w:rPr>
            </w:pPr>
            <w:r w:rsidRPr="00614CC6">
              <w:rPr>
                <w:sz w:val="20"/>
              </w:rPr>
              <w:t>Service fixe par satellite</w:t>
            </w:r>
          </w:p>
        </w:tc>
      </w:tr>
      <w:tr w:rsidR="00F625D1" w:rsidRPr="00036EE3" w:rsidTr="00AD1722">
        <w:tc>
          <w:tcPr>
            <w:tcW w:w="1140" w:type="dxa"/>
          </w:tcPr>
          <w:p w:rsidR="00F625D1" w:rsidRPr="00614CC6" w:rsidRDefault="00F625D1" w:rsidP="00AD1722">
            <w:pPr>
              <w:spacing w:before="30" w:after="30"/>
              <w:ind w:left="57"/>
              <w:rPr>
                <w:b/>
                <w:bCs/>
                <w:sz w:val="20"/>
                <w:lang w:val="en-US"/>
              </w:rPr>
            </w:pPr>
            <w:r w:rsidRPr="00614CC6">
              <w:rPr>
                <w:b/>
                <w:bCs/>
                <w:sz w:val="20"/>
                <w:lang w:val="en-US"/>
              </w:rPr>
              <w:t>SA</w:t>
            </w:r>
          </w:p>
        </w:tc>
        <w:tc>
          <w:tcPr>
            <w:tcW w:w="8220" w:type="dxa"/>
          </w:tcPr>
          <w:p w:rsidR="00F625D1" w:rsidRPr="00614CC6" w:rsidRDefault="00F625D1" w:rsidP="00AD1722">
            <w:pPr>
              <w:spacing w:before="30" w:after="30"/>
              <w:rPr>
                <w:sz w:val="20"/>
                <w:lang w:val="en-US"/>
              </w:rPr>
            </w:pPr>
            <w:r w:rsidRPr="00614CC6">
              <w:rPr>
                <w:sz w:val="20"/>
              </w:rPr>
              <w:t>Applications spatiales et météorologie</w:t>
            </w:r>
          </w:p>
        </w:tc>
      </w:tr>
      <w:tr w:rsidR="00F625D1" w:rsidRPr="00614CC6" w:rsidTr="00AD1722">
        <w:tc>
          <w:tcPr>
            <w:tcW w:w="1140" w:type="dxa"/>
          </w:tcPr>
          <w:p w:rsidR="00F625D1" w:rsidRPr="00614CC6" w:rsidRDefault="00F625D1" w:rsidP="00AD1722">
            <w:pPr>
              <w:spacing w:before="30" w:after="30"/>
              <w:ind w:left="57"/>
              <w:rPr>
                <w:b/>
                <w:bCs/>
                <w:sz w:val="20"/>
                <w:lang w:val="en-US"/>
              </w:rPr>
            </w:pPr>
            <w:r w:rsidRPr="00614CC6">
              <w:rPr>
                <w:b/>
                <w:bCs/>
                <w:sz w:val="20"/>
                <w:lang w:val="en-US"/>
              </w:rPr>
              <w:t>SF</w:t>
            </w:r>
          </w:p>
        </w:tc>
        <w:tc>
          <w:tcPr>
            <w:tcW w:w="8220" w:type="dxa"/>
          </w:tcPr>
          <w:p w:rsidR="00F625D1" w:rsidRPr="00614CC6" w:rsidRDefault="00F625D1" w:rsidP="00AD1722">
            <w:pPr>
              <w:spacing w:before="30" w:after="30"/>
              <w:rPr>
                <w:sz w:val="20"/>
              </w:rPr>
            </w:pPr>
            <w:r w:rsidRPr="00614CC6">
              <w:rPr>
                <w:sz w:val="20"/>
              </w:rPr>
              <w:t>Partage des fréquences et coordination entre les systèmes du service fixe par satellite et du service fixe</w:t>
            </w:r>
          </w:p>
        </w:tc>
      </w:tr>
      <w:tr w:rsidR="00F625D1" w:rsidRPr="00036EE3" w:rsidTr="00AD1722">
        <w:tc>
          <w:tcPr>
            <w:tcW w:w="1140" w:type="dxa"/>
            <w:shd w:val="clear" w:color="auto" w:fill="auto"/>
          </w:tcPr>
          <w:p w:rsidR="00F625D1" w:rsidRPr="00592F9F" w:rsidRDefault="00F625D1" w:rsidP="00AD1722">
            <w:pPr>
              <w:spacing w:before="30" w:after="30"/>
              <w:ind w:left="57"/>
              <w:rPr>
                <w:b/>
                <w:bCs/>
                <w:sz w:val="20"/>
                <w:lang w:val="en-US"/>
              </w:rPr>
            </w:pPr>
            <w:r w:rsidRPr="00592F9F">
              <w:rPr>
                <w:b/>
                <w:bCs/>
                <w:sz w:val="20"/>
                <w:lang w:val="en-US"/>
              </w:rPr>
              <w:t>SM</w:t>
            </w:r>
          </w:p>
        </w:tc>
        <w:tc>
          <w:tcPr>
            <w:tcW w:w="8220" w:type="dxa"/>
            <w:shd w:val="clear" w:color="auto" w:fill="auto"/>
          </w:tcPr>
          <w:p w:rsidR="00F625D1" w:rsidRPr="00592F9F" w:rsidRDefault="00F625D1" w:rsidP="00AD1722">
            <w:pPr>
              <w:spacing w:before="30" w:after="30"/>
              <w:rPr>
                <w:sz w:val="20"/>
                <w:lang w:val="en-US"/>
              </w:rPr>
            </w:pPr>
            <w:r w:rsidRPr="00592F9F">
              <w:rPr>
                <w:sz w:val="20"/>
              </w:rPr>
              <w:t>Gestion du spectre</w:t>
            </w:r>
          </w:p>
        </w:tc>
      </w:tr>
      <w:tr w:rsidR="00F625D1" w:rsidRPr="00036EE3" w:rsidTr="00AD1722">
        <w:tc>
          <w:tcPr>
            <w:tcW w:w="1140" w:type="dxa"/>
          </w:tcPr>
          <w:p w:rsidR="00F625D1" w:rsidRPr="00614CC6" w:rsidRDefault="00F625D1" w:rsidP="00AD1722">
            <w:pPr>
              <w:spacing w:before="30" w:after="30"/>
              <w:ind w:left="57"/>
              <w:rPr>
                <w:b/>
                <w:bCs/>
                <w:sz w:val="20"/>
                <w:lang w:val="en-US"/>
              </w:rPr>
            </w:pPr>
            <w:r w:rsidRPr="00614CC6">
              <w:rPr>
                <w:b/>
                <w:bCs/>
                <w:sz w:val="20"/>
                <w:lang w:val="en-US"/>
              </w:rPr>
              <w:t>SNG</w:t>
            </w:r>
          </w:p>
        </w:tc>
        <w:tc>
          <w:tcPr>
            <w:tcW w:w="8220" w:type="dxa"/>
          </w:tcPr>
          <w:p w:rsidR="00F625D1" w:rsidRPr="00614CC6" w:rsidRDefault="00F625D1" w:rsidP="00AD1722">
            <w:pPr>
              <w:spacing w:before="30" w:after="30"/>
              <w:rPr>
                <w:sz w:val="20"/>
                <w:lang w:val="en-US"/>
              </w:rPr>
            </w:pPr>
            <w:r w:rsidRPr="00614CC6">
              <w:rPr>
                <w:sz w:val="20"/>
              </w:rPr>
              <w:t>Reportage d'actualités par satellite</w:t>
            </w:r>
          </w:p>
        </w:tc>
      </w:tr>
      <w:tr w:rsidR="00F625D1" w:rsidRPr="00614CC6" w:rsidTr="00AD1722">
        <w:tc>
          <w:tcPr>
            <w:tcW w:w="1140" w:type="dxa"/>
          </w:tcPr>
          <w:p w:rsidR="00F625D1" w:rsidRPr="00614CC6" w:rsidRDefault="00F625D1" w:rsidP="00AD1722">
            <w:pPr>
              <w:spacing w:before="30" w:after="30"/>
              <w:ind w:left="57"/>
              <w:rPr>
                <w:b/>
                <w:bCs/>
                <w:sz w:val="20"/>
                <w:lang w:val="en-US"/>
              </w:rPr>
            </w:pPr>
            <w:r w:rsidRPr="00614CC6">
              <w:rPr>
                <w:b/>
                <w:bCs/>
                <w:sz w:val="20"/>
                <w:lang w:val="en-US"/>
              </w:rPr>
              <w:t>TF</w:t>
            </w:r>
          </w:p>
        </w:tc>
        <w:tc>
          <w:tcPr>
            <w:tcW w:w="8220" w:type="dxa"/>
          </w:tcPr>
          <w:p w:rsidR="00F625D1" w:rsidRPr="00614CC6" w:rsidRDefault="00F625D1" w:rsidP="00AD1722">
            <w:pPr>
              <w:spacing w:before="30" w:after="30"/>
              <w:rPr>
                <w:sz w:val="20"/>
              </w:rPr>
            </w:pPr>
            <w:r w:rsidRPr="00614CC6">
              <w:rPr>
                <w:sz w:val="20"/>
              </w:rPr>
              <w:t>Emissions de fréquences étalon et de signaux horaires</w:t>
            </w:r>
          </w:p>
        </w:tc>
      </w:tr>
      <w:tr w:rsidR="00F625D1" w:rsidRPr="00036EE3" w:rsidTr="00AD1722">
        <w:tc>
          <w:tcPr>
            <w:tcW w:w="1140" w:type="dxa"/>
          </w:tcPr>
          <w:p w:rsidR="00F625D1" w:rsidRPr="00614CC6" w:rsidRDefault="00F625D1" w:rsidP="00AD1722">
            <w:pPr>
              <w:spacing w:before="30" w:after="30"/>
              <w:ind w:left="57"/>
              <w:rPr>
                <w:b/>
                <w:bCs/>
                <w:sz w:val="20"/>
                <w:lang w:val="en-US"/>
              </w:rPr>
            </w:pPr>
            <w:r w:rsidRPr="00614CC6">
              <w:rPr>
                <w:b/>
                <w:bCs/>
                <w:sz w:val="20"/>
                <w:lang w:val="en-US"/>
              </w:rPr>
              <w:t>V</w:t>
            </w:r>
          </w:p>
        </w:tc>
        <w:tc>
          <w:tcPr>
            <w:tcW w:w="8220" w:type="dxa"/>
          </w:tcPr>
          <w:p w:rsidR="00F625D1" w:rsidRPr="00614CC6" w:rsidRDefault="00F625D1" w:rsidP="00AD1722">
            <w:pPr>
              <w:spacing w:before="30" w:after="140"/>
              <w:rPr>
                <w:sz w:val="20"/>
                <w:lang w:val="en-US"/>
              </w:rPr>
            </w:pPr>
            <w:r w:rsidRPr="00614CC6">
              <w:rPr>
                <w:sz w:val="20"/>
              </w:rPr>
              <w:t>Vocabulaire et sujets associés</w:t>
            </w:r>
          </w:p>
        </w:tc>
      </w:tr>
    </w:tbl>
    <w:p w:rsidR="00F625D1" w:rsidRPr="00036EE3" w:rsidRDefault="00F625D1" w:rsidP="00F625D1">
      <w:pPr>
        <w:spacing w:before="0"/>
        <w:jc w:val="center"/>
        <w:rPr>
          <w:sz w:val="20"/>
          <w:lang w:val="en-US"/>
        </w:rPr>
      </w:pPr>
    </w:p>
    <w:p w:rsidR="00F625D1" w:rsidRPr="00036EE3" w:rsidRDefault="00F625D1" w:rsidP="00F625D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625D1" w:rsidRPr="00756B4D" w:rsidTr="00AD1722">
        <w:tc>
          <w:tcPr>
            <w:tcW w:w="9360" w:type="dxa"/>
          </w:tcPr>
          <w:p w:rsidR="00F625D1" w:rsidRPr="00756B4D" w:rsidRDefault="00F625D1" w:rsidP="00AD1722">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625D1" w:rsidRPr="00756B4D" w:rsidRDefault="00F625D1" w:rsidP="00F625D1">
      <w:pPr>
        <w:spacing w:before="0"/>
        <w:jc w:val="center"/>
        <w:rPr>
          <w:sz w:val="22"/>
        </w:rPr>
      </w:pPr>
    </w:p>
    <w:p w:rsidR="00F625D1" w:rsidRPr="00614CC6" w:rsidRDefault="00F625D1" w:rsidP="00F625D1">
      <w:pPr>
        <w:spacing w:before="100"/>
        <w:jc w:val="right"/>
        <w:rPr>
          <w:i/>
          <w:iCs/>
          <w:sz w:val="20"/>
        </w:rPr>
      </w:pPr>
      <w:r w:rsidRPr="00614CC6">
        <w:rPr>
          <w:i/>
          <w:iCs/>
          <w:sz w:val="20"/>
        </w:rPr>
        <w:t>Publication électronique</w:t>
      </w:r>
    </w:p>
    <w:p w:rsidR="00F625D1" w:rsidRPr="00614CC6" w:rsidRDefault="00F625D1" w:rsidP="00F625D1">
      <w:pPr>
        <w:spacing w:before="0"/>
        <w:jc w:val="right"/>
        <w:rPr>
          <w:sz w:val="20"/>
        </w:rPr>
      </w:pPr>
      <w:r w:rsidRPr="00614CC6">
        <w:rPr>
          <w:sz w:val="20"/>
        </w:rPr>
        <w:t>Genève, 20</w:t>
      </w:r>
      <w:r>
        <w:rPr>
          <w:sz w:val="20"/>
        </w:rPr>
        <w:t>10</w:t>
      </w:r>
    </w:p>
    <w:p w:rsidR="00F625D1" w:rsidRPr="00614CC6" w:rsidRDefault="00F625D1" w:rsidP="00F625D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F625D1" w:rsidRPr="00614CC6" w:rsidRDefault="00F625D1" w:rsidP="00F625D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F625D1" w:rsidRPr="00614CC6" w:rsidRDefault="00F625D1" w:rsidP="00F625D1">
      <w:pPr>
        <w:spacing w:before="160"/>
        <w:rPr>
          <w:i/>
          <w:sz w:val="20"/>
          <w:highlight w:val="yellow"/>
        </w:rPr>
        <w:sectPr w:rsidR="00F625D1"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A850CF" w:rsidRDefault="00A850CF" w:rsidP="00A850CF">
      <w:pPr>
        <w:pStyle w:val="RecNo"/>
        <w:spacing w:before="0"/>
      </w:pPr>
      <w:r>
        <w:lastRenderedPageBreak/>
        <w:t xml:space="preserve">RECOMMANDATION  </w:t>
      </w:r>
      <w:r w:rsidR="005F3A3C" w:rsidRPr="005F3A3C">
        <w:rPr>
          <w:rStyle w:val="href"/>
        </w:rPr>
        <w:t>UIT-R  BT.</w:t>
      </w:r>
      <w:r w:rsidRPr="005F3A3C">
        <w:rPr>
          <w:rStyle w:val="href"/>
        </w:rPr>
        <w:t>1786</w:t>
      </w:r>
      <w:r>
        <w:rPr>
          <w:rStyle w:val="FootnoteReference"/>
        </w:rPr>
        <w:footnoteReference w:customMarkFollows="1" w:id="1"/>
        <w:t>*</w:t>
      </w:r>
    </w:p>
    <w:p w:rsidR="00A850CF" w:rsidRDefault="00A850CF" w:rsidP="00A850CF">
      <w:pPr>
        <w:pStyle w:val="Rectitle"/>
      </w:pPr>
      <w:r>
        <w:t>Critères d'évaluation de l'incidence des brouillages causés</w:t>
      </w:r>
      <w:r>
        <w:br/>
        <w:t>au service de radiodiffusion de Terre</w:t>
      </w:r>
    </w:p>
    <w:p w:rsidR="00A850CF" w:rsidRDefault="00A850CF" w:rsidP="00A850CF">
      <w:pPr>
        <w:pStyle w:val="Recref"/>
      </w:pPr>
      <w:r>
        <w:t>(Question UIT-R 32/6)</w:t>
      </w:r>
    </w:p>
    <w:p w:rsidR="00A850CF" w:rsidRDefault="00A850CF" w:rsidP="00A850CF">
      <w:pPr>
        <w:pStyle w:val="Recdate"/>
      </w:pPr>
      <w:r w:rsidRPr="00A850CF">
        <w:t>(2007)</w:t>
      </w:r>
    </w:p>
    <w:p w:rsidR="00A850CF" w:rsidRDefault="00A850CF" w:rsidP="00A850CF">
      <w:pPr>
        <w:pStyle w:val="HeadingSum"/>
      </w:pPr>
      <w:r>
        <w:t>Domaine d'application</w:t>
      </w:r>
    </w:p>
    <w:p w:rsidR="00A850CF" w:rsidRDefault="00A850CF" w:rsidP="00A850CF">
      <w:pPr>
        <w:pStyle w:val="Summary"/>
      </w:pPr>
      <w:r>
        <w:t>Le Règlement des radiocommunications a établi des critères définissant le niveau de brouillage admissible entre le service de radiodiffusion et les autres services disposant d'attributions de fréquences. La présente Recommandation fournit des lignes directrices permettant d'établir une limite acceptable pour le brouillage total susceptible d'être causé aux services de radiodiffusion de Terre par des rayonnements produits par des dispositifs de radiocommunication.</w:t>
      </w:r>
    </w:p>
    <w:p w:rsidR="00A850CF" w:rsidRDefault="00A850CF" w:rsidP="00A850CF">
      <w:r>
        <w:t>L'Assemblée des radiocommunications de l'UIT,</w:t>
      </w:r>
    </w:p>
    <w:p w:rsidR="00A850CF" w:rsidRDefault="00A850CF" w:rsidP="00A850CF">
      <w:pPr>
        <w:pStyle w:val="Call"/>
      </w:pPr>
      <w:r>
        <w:t>considérant</w:t>
      </w:r>
    </w:p>
    <w:p w:rsidR="00A850CF" w:rsidRDefault="00A850CF" w:rsidP="00A850CF">
      <w:r w:rsidRPr="00C60CA7">
        <w:t>a)</w:t>
      </w:r>
      <w:r>
        <w:tab/>
        <w:t>que les services de radiodiffusion de Terre sont des services qui bénéficient d'une protection;</w:t>
      </w:r>
    </w:p>
    <w:p w:rsidR="00A850CF" w:rsidRDefault="00A850CF" w:rsidP="00A850CF">
      <w:r w:rsidRPr="00C60CA7">
        <w:t>b)</w:t>
      </w:r>
      <w:r>
        <w:tab/>
        <w:t>qu'il existe dans le Règlement des radiocommunications (RR) des critères établis définissant le niveau de brouillage admissible entre le service de radiodiffusion et les autres services disposant d'attributions dans le RR;</w:t>
      </w:r>
    </w:p>
    <w:p w:rsidR="00A850CF" w:rsidRDefault="00A850CF" w:rsidP="00A850CF">
      <w:r w:rsidRPr="00C60CA7">
        <w:t>c)</w:t>
      </w:r>
      <w:r>
        <w:tab/>
        <w:t xml:space="preserve">qu'il existe probablement des dispositifs de radiocommunication autres que les dispositifs de radiodiffusion susceptibles de produire des rayonnements émanant d'applications ne disposant pas d'une attribution de fréquence correspondante dans le RR, dans les bandes de fréquences attribuées aux services de radiodiffusion (tels que, par exemple, des dispositifs à bande ultralarge (UWB, </w:t>
      </w:r>
      <w:r>
        <w:rPr>
          <w:i/>
        </w:rPr>
        <w:t>ultra-wideband</w:t>
      </w:r>
      <w:r>
        <w:t xml:space="preserve">), des démodulateurs à modulation de fréquence (FM, </w:t>
      </w:r>
      <w:r>
        <w:rPr>
          <w:i/>
        </w:rPr>
        <w:t>frequency modulation</w:t>
      </w:r>
      <w:r>
        <w:t>) à courte portée, etc.);</w:t>
      </w:r>
    </w:p>
    <w:p w:rsidR="00A850CF" w:rsidRDefault="00A850CF" w:rsidP="00A47BD4">
      <w:r w:rsidRPr="00C60CA7">
        <w:t>d)</w:t>
      </w:r>
      <w:r>
        <w:tab/>
        <w:t>que la Recommandation UIT-R SM.1757 et le Rapport UIT-R SM.20</w:t>
      </w:r>
      <w:r w:rsidR="00A47BD4">
        <w:t>57</w:t>
      </w:r>
      <w:r>
        <w:t xml:space="preserve"> établissent des critères de protection des services de radiodiffusion de Terre limitant les brouillages causés par des rayonnements provenant de dispositifs à bande ultralarge;</w:t>
      </w:r>
    </w:p>
    <w:p w:rsidR="00A850CF" w:rsidRDefault="00A850CF" w:rsidP="00A850CF">
      <w:r w:rsidRPr="00C60CA7">
        <w:t>e)</w:t>
      </w:r>
      <w:r>
        <w:tab/>
        <w:t>qu'il faut fixer des limites applicables aux rayonnements de ces dispositifs de manière que les critères de protection établis contre les brouillages causés aux services de radiodiffusion de Terre soient respectés,</w:t>
      </w:r>
    </w:p>
    <w:p w:rsidR="00A850CF" w:rsidRDefault="00A850CF" w:rsidP="00A850CF">
      <w:pPr>
        <w:pStyle w:val="Call"/>
      </w:pPr>
      <w:r>
        <w:t>recommande</w:t>
      </w:r>
    </w:p>
    <w:p w:rsidR="00A6617B" w:rsidRDefault="00A850CF" w:rsidP="00A850CF">
      <w:r w:rsidRPr="00C60CA7">
        <w:rPr>
          <w:b/>
          <w:bCs/>
        </w:rPr>
        <w:t>1</w:t>
      </w:r>
      <w:r>
        <w:tab/>
        <w:t xml:space="preserve">de faire en sorte que le total des brouillages causés à des systèmes exploités dans le service de radiodiffusion, comme indiqué dans la Recommandation mentionnée au point d) du </w:t>
      </w:r>
      <w:r>
        <w:rPr>
          <w:i/>
          <w:iCs/>
        </w:rPr>
        <w:t>considérant</w:t>
      </w:r>
      <w:r>
        <w:t xml:space="preserve"> ci-dessus, ne dépasse jamais un pour cent de la puissance de bruit totale du système de réception.</w:t>
      </w:r>
    </w:p>
    <w:p w:rsidR="00A850CF" w:rsidRDefault="00A850CF" w:rsidP="00A850CF"/>
    <w:p w:rsidR="00A850CF" w:rsidRPr="00A850CF" w:rsidRDefault="00A850CF" w:rsidP="00A850CF">
      <w:pPr>
        <w:pStyle w:val="Line"/>
      </w:pPr>
    </w:p>
    <w:sectPr w:rsidR="00A850CF" w:rsidRPr="00A850CF" w:rsidSect="00F625D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0CF" w:rsidRDefault="00A850CF">
      <w:r>
        <w:separator/>
      </w:r>
    </w:p>
  </w:endnote>
  <w:endnote w:type="continuationSeparator" w:id="0">
    <w:p w:rsidR="00A850CF" w:rsidRDefault="00A850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0CF" w:rsidRDefault="00A850CF">
      <w:r>
        <w:separator/>
      </w:r>
    </w:p>
  </w:footnote>
  <w:footnote w:type="continuationSeparator" w:id="0">
    <w:p w:rsidR="00A850CF" w:rsidRDefault="00A850CF">
      <w:r>
        <w:continuationSeparator/>
      </w:r>
    </w:p>
  </w:footnote>
  <w:footnote w:id="1">
    <w:p w:rsidR="00A850CF" w:rsidRPr="00D22550" w:rsidRDefault="00A850CF" w:rsidP="00A850CF">
      <w:pPr>
        <w:pStyle w:val="FootnoteText"/>
        <w:rPr>
          <w:szCs w:val="22"/>
          <w:lang w:val="fr-CH"/>
        </w:rPr>
      </w:pPr>
      <w:r w:rsidRPr="00D22550">
        <w:rPr>
          <w:rStyle w:val="FootnoteReference"/>
          <w:szCs w:val="22"/>
        </w:rPr>
        <w:t>*</w:t>
      </w:r>
      <w:r w:rsidRPr="00D22550">
        <w:rPr>
          <w:szCs w:val="22"/>
        </w:rPr>
        <w:t xml:space="preserve"> </w:t>
      </w:r>
      <w:r w:rsidRPr="00D22550">
        <w:rPr>
          <w:szCs w:val="22"/>
          <w:lang w:val="fr-CH"/>
        </w:rPr>
        <w:tab/>
        <w:t xml:space="preserve">La </w:t>
      </w:r>
      <w:r w:rsidRPr="00D22550">
        <w:rPr>
          <w:szCs w:val="22"/>
          <w:lang w:val="fr-CH" w:eastAsia="ko-KR"/>
        </w:rPr>
        <w:t>Commission d'études</w:t>
      </w:r>
      <w:r w:rsidRPr="00D22550">
        <w:rPr>
          <w:szCs w:val="22"/>
          <w:lang w:val="fr-CH"/>
        </w:rPr>
        <w:t xml:space="preserve"> 6 des radiocommunications a apporté des modifications rédactionnelles à la présente Recommandation en 2007, conformément à la Résolution UIT-R 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5D1" w:rsidRDefault="00F625D1">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5D1" w:rsidRDefault="00F625D1" w:rsidP="0014322C">
    <w:pPr>
      <w:pStyle w:val="Header"/>
      <w:ind w:right="360" w:firstLine="360"/>
    </w:pPr>
    <w:r>
      <w:rPr>
        <w:noProof/>
        <w:lang w:val="en-US" w:eastAsia="zh-CN"/>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4"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5D1" w:rsidRDefault="00F625D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fldSimple w:instr=" DOCPROPERTY &quot;Header&quot; \* MERGEFORMAT ">
      <w:r w:rsidRPr="008D4E2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Pr>
        <w:b/>
        <w:bCs/>
        <w:noProof/>
      </w:rPr>
      <w:t>UIT-R  BT.1786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5D1" w:rsidRDefault="00F625D1">
    <w:pPr>
      <w:pStyle w:val="Header"/>
    </w:pPr>
    <w:r>
      <w:tab/>
    </w:r>
    <w:fldSimple w:instr=" DOCPROPERTY &quot;Header&quot; \* MERGEFORMAT ">
      <w:r w:rsidRPr="008D4E2F">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BT.XXXX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0CF" w:rsidRDefault="00A850C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B1076">
      <w:rPr>
        <w:rStyle w:val="PageNumber"/>
        <w:b/>
        <w:bCs/>
        <w:noProof/>
        <w:lang w:val="en-US"/>
      </w:rPr>
      <w:t>2</w:t>
    </w:r>
    <w:r>
      <w:rPr>
        <w:rStyle w:val="PageNumber"/>
        <w:b/>
        <w:bCs/>
      </w:rPr>
      <w:fldChar w:fldCharType="end"/>
    </w:r>
    <w:r>
      <w:rPr>
        <w:lang w:val="en-US"/>
      </w:rPr>
      <w:tab/>
    </w:r>
    <w:fldSimple w:instr=" DOCPROPERTY &quot;Header&quot; \* MERGEFORMAT ">
      <w:r w:rsidR="00EB1076">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B1076">
      <w:rPr>
        <w:b/>
        <w:bCs/>
        <w:noProof/>
      </w:rPr>
      <w:t>UIT-R  BT.1786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0CF" w:rsidRDefault="00A850CF">
    <w:pPr>
      <w:pStyle w:val="Header"/>
    </w:pPr>
    <w:r>
      <w:tab/>
    </w:r>
    <w:fldSimple w:instr=" DOCPROPERTY &quot;Header&quot; \* MERGEFORMAT ">
      <w:r w:rsidR="00EB107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625D1">
      <w:rPr>
        <w:b/>
        <w:bCs/>
        <w:noProof/>
      </w:rPr>
      <w:t>UIT-R  BT.1786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625D1">
      <w:rPr>
        <w:rStyle w:val="PageNumber"/>
        <w:b/>
        <w:bCs/>
        <w:noProof/>
      </w:rPr>
      <w:t>1</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fr-CH" w:vendorID="64" w:dllVersion="131078" w:nlCheck="1" w:checkStyle="1"/>
  <w:activeWritingStyle w:appName="MSWord" w:lang="en-US"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CC5C54"/>
    <w:rsid w:val="002D76C4"/>
    <w:rsid w:val="003B6DCD"/>
    <w:rsid w:val="005F3A3C"/>
    <w:rsid w:val="00607D68"/>
    <w:rsid w:val="00A47BD4"/>
    <w:rsid w:val="00A6617B"/>
    <w:rsid w:val="00A850CF"/>
    <w:rsid w:val="00AB0DC8"/>
    <w:rsid w:val="00B44E24"/>
    <w:rsid w:val="00CC5C54"/>
    <w:rsid w:val="00DF4176"/>
    <w:rsid w:val="00EB1076"/>
    <w:rsid w:val="00F625D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0C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rsid w:val="00A850CF"/>
    <w:pPr>
      <w:spacing w:after="480"/>
    </w:pPr>
    <w:rPr>
      <w:sz w:val="22"/>
      <w:lang w:val="es-ES_tradnl"/>
    </w:rPr>
  </w:style>
  <w:style w:type="paragraph" w:customStyle="1" w:styleId="RecNoBR">
    <w:name w:val="Rec_No_BR"/>
    <w:basedOn w:val="Normal"/>
    <w:next w:val="Rectitle"/>
    <w:rsid w:val="00A850CF"/>
    <w:pPr>
      <w:keepNext/>
      <w:keepLines/>
      <w:spacing w:before="480"/>
      <w:jc w:val="center"/>
    </w:pPr>
    <w:rPr>
      <w:caps/>
      <w:sz w:val="28"/>
    </w:rPr>
  </w:style>
  <w:style w:type="paragraph" w:customStyle="1" w:styleId="Figure">
    <w:name w:val="Figure"/>
    <w:basedOn w:val="FigureNo"/>
    <w:next w:val="Normal"/>
    <w:rsid w:val="00A6617B"/>
    <w:pPr>
      <w:keepNext w:val="0"/>
      <w:spacing w:before="0" w:after="240"/>
    </w:pPr>
  </w:style>
  <w:style w:type="character" w:styleId="CommentReference">
    <w:name w:val="annotation reference"/>
    <w:basedOn w:val="DefaultParagraphFont"/>
    <w:semiHidden/>
    <w:rsid w:val="00A850CF"/>
    <w:rPr>
      <w:sz w:val="16"/>
      <w:szCs w:val="16"/>
    </w:rPr>
  </w:style>
  <w:style w:type="paragraph" w:styleId="CommentText">
    <w:name w:val="annotation text"/>
    <w:basedOn w:val="Normal"/>
    <w:semiHidden/>
    <w:rsid w:val="00A850CF"/>
    <w:rPr>
      <w:sz w:val="20"/>
    </w:rPr>
  </w:style>
  <w:style w:type="paragraph" w:styleId="CommentSubject">
    <w:name w:val="annotation subject"/>
    <w:basedOn w:val="CommentText"/>
    <w:next w:val="CommentText"/>
    <w:semiHidden/>
    <w:rsid w:val="00A850CF"/>
    <w:rPr>
      <w:b/>
      <w:bCs/>
    </w:rPr>
  </w:style>
  <w:style w:type="character" w:styleId="Hyperlink">
    <w:name w:val="Hyperlink"/>
    <w:basedOn w:val="DefaultParagraphFont"/>
    <w:rsid w:val="00F625D1"/>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TotalTime>
  <Pages>3</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7.2.08/KJ</dc:description>
  <cp:lastModifiedBy>santosbo</cp:lastModifiedBy>
  <cp:revision>2</cp:revision>
  <cp:lastPrinted>2005-02-10T14:54:00Z</cp:lastPrinted>
  <dcterms:created xsi:type="dcterms:W3CDTF">2010-07-13T09:40:00Z</dcterms:created>
  <dcterms:modified xsi:type="dcterms:W3CDTF">2010-07-13T09:40:00Z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