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747F1" w14:textId="77777777" w:rsidR="00CE138A" w:rsidRDefault="00CE138A" w:rsidP="00CE138A"/>
    <w:p w14:paraId="140FCBE9" w14:textId="77777777" w:rsidR="00CE138A" w:rsidRDefault="00CE138A" w:rsidP="00CE138A">
      <w:pPr>
        <w:tabs>
          <w:tab w:val="clear" w:pos="794"/>
          <w:tab w:val="clear" w:pos="1191"/>
          <w:tab w:val="clear" w:pos="1588"/>
          <w:tab w:val="clear" w:pos="1985"/>
        </w:tabs>
      </w:pPr>
    </w:p>
    <w:p w14:paraId="3D0E57BA" w14:textId="28F4B702" w:rsidR="00CE138A" w:rsidRPr="00710A2A" w:rsidRDefault="00CE138A" w:rsidP="00CE138A">
      <w:pPr>
        <w:pStyle w:val="CoverNumber"/>
        <w:rPr>
          <w:lang w:val="fr-FR"/>
        </w:rPr>
      </w:pPr>
      <w:r w:rsidRPr="00710A2A">
        <w:rPr>
          <w:lang w:val="fr-FR"/>
        </w:rPr>
        <w:t xml:space="preserve">Recommandation UIT-R </w:t>
      </w:r>
      <w:r>
        <w:rPr>
          <w:lang w:val="fr-FR"/>
        </w:rPr>
        <w:t>BT</w:t>
      </w:r>
      <w:r w:rsidRPr="00710A2A">
        <w:rPr>
          <w:lang w:val="fr-FR"/>
        </w:rPr>
        <w:t>.</w:t>
      </w:r>
      <w:r>
        <w:rPr>
          <w:lang w:val="fr-FR"/>
        </w:rPr>
        <w:t>17</w:t>
      </w:r>
      <w:r w:rsidR="00792698">
        <w:rPr>
          <w:lang w:val="fr-FR"/>
        </w:rPr>
        <w:t>75-1</w:t>
      </w:r>
    </w:p>
    <w:p w14:paraId="6A48493E" w14:textId="6C3B5353" w:rsidR="00CE138A" w:rsidRPr="004F3F6F" w:rsidRDefault="00CE138A" w:rsidP="00CE138A">
      <w:pPr>
        <w:pStyle w:val="CoverDate"/>
        <w:rPr>
          <w:lang w:val="fr-FR"/>
        </w:rPr>
      </w:pPr>
      <w:r w:rsidRPr="004F3F6F">
        <w:rPr>
          <w:lang w:val="fr-FR"/>
        </w:rPr>
        <w:t>(</w:t>
      </w:r>
      <w:r>
        <w:rPr>
          <w:lang w:val="fr-FR"/>
        </w:rPr>
        <w:t>11</w:t>
      </w:r>
      <w:r w:rsidRPr="004F3F6F">
        <w:rPr>
          <w:lang w:val="fr-FR"/>
        </w:rPr>
        <w:t>/</w:t>
      </w:r>
      <w:r>
        <w:rPr>
          <w:lang w:val="fr-FR"/>
        </w:rPr>
        <w:t>2023</w:t>
      </w:r>
      <w:r w:rsidRPr="004F3F6F">
        <w:rPr>
          <w:lang w:val="fr-FR"/>
        </w:rPr>
        <w:t>)</w:t>
      </w:r>
    </w:p>
    <w:p w14:paraId="722EC515" w14:textId="77777777" w:rsidR="00CE138A" w:rsidRPr="00CE138A" w:rsidRDefault="00CE138A" w:rsidP="00CE138A">
      <w:pPr>
        <w:pStyle w:val="CoverSeries"/>
        <w:rPr>
          <w:lang w:val="fr-CH"/>
        </w:rPr>
      </w:pPr>
      <w:r w:rsidRPr="00CE138A">
        <w:rPr>
          <w:lang w:val="fr-CH"/>
        </w:rPr>
        <w:t xml:space="preserve">Série </w:t>
      </w:r>
      <w:proofErr w:type="gramStart"/>
      <w:r w:rsidRPr="00CE138A">
        <w:rPr>
          <w:lang w:val="fr-CH"/>
        </w:rPr>
        <w:t>BT:</w:t>
      </w:r>
      <w:proofErr w:type="gramEnd"/>
      <w:r w:rsidRPr="00CE138A">
        <w:rPr>
          <w:lang w:val="fr-CH"/>
        </w:rPr>
        <w:t xml:space="preserve"> Service de radiodiffusion télévisuelle</w:t>
      </w:r>
    </w:p>
    <w:p w14:paraId="074BB69C" w14:textId="5E23322A" w:rsidR="00CE138A" w:rsidRPr="004F3F6F" w:rsidRDefault="00792698" w:rsidP="00CE138A">
      <w:pPr>
        <w:pStyle w:val="CoverTitle"/>
        <w:rPr>
          <w:lang w:val="fr-FR"/>
        </w:rPr>
      </w:pPr>
      <w:r w:rsidRPr="00E84B1B">
        <w:rPr>
          <w:rFonts w:cs="Arial"/>
          <w:spacing w:val="-6"/>
          <w:szCs w:val="44"/>
          <w:lang w:val="fr-FR"/>
        </w:rPr>
        <w:t>Format de fichier avec fonction de montage pour l'échange de métadonnées, de données audio et vidéo, d'essence de données et de données auxiliaires en radiodiffusion</w:t>
      </w:r>
    </w:p>
    <w:p w14:paraId="7EA93B6F" w14:textId="77777777" w:rsidR="00CE138A" w:rsidRPr="00CE138A" w:rsidRDefault="00CE138A" w:rsidP="00CE138A">
      <w:pPr>
        <w:rPr>
          <w:lang w:val="fr-CH"/>
        </w:rPr>
      </w:pPr>
    </w:p>
    <w:p w14:paraId="3D5A1D71" w14:textId="77777777" w:rsidR="00CE138A" w:rsidRPr="00CE138A" w:rsidRDefault="00CE138A" w:rsidP="00CE138A">
      <w:pPr>
        <w:rPr>
          <w:lang w:val="fr-CH"/>
        </w:rPr>
      </w:pPr>
    </w:p>
    <w:p w14:paraId="4528454D" w14:textId="77777777" w:rsidR="00CE138A" w:rsidRPr="00CE138A" w:rsidRDefault="00CE138A" w:rsidP="00CE138A">
      <w:pPr>
        <w:rPr>
          <w:lang w:val="fr-CH"/>
        </w:rPr>
        <w:sectPr w:rsidR="00CE138A" w:rsidRPr="00CE138A" w:rsidSect="00CE138A">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34F77F3A" w14:textId="77777777" w:rsidR="00CE138A" w:rsidRPr="00CE138A" w:rsidRDefault="00CE138A" w:rsidP="00CE138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CH"/>
        </w:rPr>
      </w:pPr>
      <w:bookmarkStart w:id="0" w:name="c2tope"/>
      <w:bookmarkEnd w:id="0"/>
      <w:r w:rsidRPr="00CE138A">
        <w:rPr>
          <w:bCs/>
          <w:sz w:val="24"/>
          <w:szCs w:val="24"/>
          <w:lang w:val="fr-CH"/>
        </w:rPr>
        <w:lastRenderedPageBreak/>
        <w:t>Avant-propos</w:t>
      </w:r>
    </w:p>
    <w:p w14:paraId="15D8AF43" w14:textId="77777777" w:rsidR="00CE138A" w:rsidRPr="00CE138A" w:rsidRDefault="00CE138A" w:rsidP="00CE138A">
      <w:pPr>
        <w:spacing w:before="240"/>
        <w:rPr>
          <w:sz w:val="20"/>
          <w:lang w:val="fr-CH"/>
        </w:rPr>
      </w:pPr>
      <w:r w:rsidRPr="00CE138A">
        <w:rPr>
          <w:sz w:val="20"/>
          <w:lang w:val="fr-CH"/>
        </w:rPr>
        <w:t>Le rôle du Secteur des radiocommunications est d’assurer l’utilisation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34C852FD" w14:textId="77777777" w:rsidR="00CE138A" w:rsidRPr="00CE138A" w:rsidRDefault="00CE138A" w:rsidP="00CE138A">
      <w:pPr>
        <w:rPr>
          <w:sz w:val="20"/>
          <w:lang w:val="fr-CH"/>
        </w:rPr>
      </w:pPr>
      <w:r w:rsidRPr="00CE138A">
        <w:rPr>
          <w:sz w:val="20"/>
          <w:lang w:val="fr-CH"/>
        </w:rPr>
        <w:t>Les fonctions réglementaires et politiques du Secteur des radiocommunications sont remplies par les Conférences mondiales et régionales des radiocommunications et par les Assemblées des radiocommunications assistées par les Commissions d’études.</w:t>
      </w:r>
    </w:p>
    <w:p w14:paraId="04248FDA" w14:textId="77777777" w:rsidR="00CE138A" w:rsidRPr="00CE138A" w:rsidRDefault="00CE138A" w:rsidP="00CE138A">
      <w:pPr>
        <w:pStyle w:val="Heading1"/>
        <w:spacing w:before="360"/>
        <w:jc w:val="center"/>
        <w:rPr>
          <w:szCs w:val="24"/>
          <w:lang w:val="fr-CH"/>
        </w:rPr>
      </w:pPr>
      <w:r w:rsidRPr="00CE138A">
        <w:rPr>
          <w:szCs w:val="24"/>
          <w:lang w:val="fr-CH"/>
        </w:rPr>
        <w:t>Politique en matière de droits de propriété intellectuelle (IPR)</w:t>
      </w:r>
    </w:p>
    <w:p w14:paraId="09AF4CCE" w14:textId="77777777" w:rsidR="00CE138A" w:rsidRPr="00E44CBB" w:rsidRDefault="00CE138A" w:rsidP="00CE138A">
      <w:pPr>
        <w:spacing w:before="240"/>
        <w:rPr>
          <w:sz w:val="20"/>
          <w:lang w:val="fr-CH"/>
        </w:rPr>
      </w:pPr>
      <w:r w:rsidRPr="00CE138A">
        <w:rPr>
          <w:sz w:val="20"/>
          <w:lang w:val="fr-CH"/>
        </w:rPr>
        <w:t>La politique de l'UIT</w:t>
      </w:r>
      <w:r w:rsidRPr="00CE138A">
        <w:rPr>
          <w:sz w:val="20"/>
          <w:lang w:val="fr-CH"/>
        </w:rPr>
        <w:noBreakHyphen/>
        <w:t>R en matière de droits de propriété intellectuelle est décrite dans la</w:t>
      </w:r>
      <w:proofErr w:type="gramStart"/>
      <w:r w:rsidRPr="00CE138A">
        <w:rPr>
          <w:sz w:val="20"/>
          <w:lang w:val="fr-CH"/>
        </w:rPr>
        <w:t xml:space="preserve"> </w:t>
      </w:r>
      <w:r w:rsidRPr="00E44CBB">
        <w:rPr>
          <w:sz w:val="20"/>
          <w:lang w:val="fr-CH"/>
        </w:rPr>
        <w:t>«Politique</w:t>
      </w:r>
      <w:proofErr w:type="gramEnd"/>
      <w:r w:rsidRPr="00E44CBB">
        <w:rPr>
          <w:sz w:val="20"/>
          <w:lang w:val="fr-CH"/>
        </w:rPr>
        <w:t xml:space="preserv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CE138A">
        <w:rPr>
          <w:sz w:val="20"/>
          <w:lang w:val="fr-CH"/>
        </w:rPr>
        <w:t xml:space="preserve">Les formulaires que les titulaires de brevets doivent utiliser pour soumettre les déclarations de brevet et d'octroi de licence sont accessibles à l'adresse </w:t>
      </w:r>
      <w:hyperlink r:id="rId9" w:history="1">
        <w:r w:rsidRPr="00CE138A">
          <w:rPr>
            <w:rStyle w:val="Hyperlink"/>
            <w:sz w:val="20"/>
            <w:lang w:val="fr-CH"/>
          </w:rPr>
          <w:t>http://www.itu.int/ITU-R/go/patents/fr</w:t>
        </w:r>
      </w:hyperlink>
      <w:r w:rsidRPr="00CE138A">
        <w:rPr>
          <w:sz w:val="20"/>
          <w:lang w:val="fr-CH"/>
        </w:rPr>
        <w:t xml:space="preserve">, où l'on trouvera également les Lignes directrices pour la mise en </w:t>
      </w:r>
      <w:proofErr w:type="spellStart"/>
      <w:r w:rsidRPr="00CE138A">
        <w:rPr>
          <w:sz w:val="20"/>
          <w:lang w:val="fr-CH"/>
        </w:rPr>
        <w:t>oeuvre</w:t>
      </w:r>
      <w:proofErr w:type="spellEnd"/>
      <w:r w:rsidRPr="00CE138A">
        <w:rPr>
          <w:sz w:val="20"/>
          <w:lang w:val="fr-CH"/>
        </w:rPr>
        <w:t xml:space="preserve"> de la politique commune en matière de brevets de l'UIT</w:t>
      </w:r>
      <w:r w:rsidRPr="00CE138A">
        <w:rPr>
          <w:sz w:val="20"/>
          <w:lang w:val="fr-CH"/>
        </w:rPr>
        <w:noBreakHyphen/>
        <w:t>T, l'UIT</w:t>
      </w:r>
      <w:r w:rsidRPr="00CE138A">
        <w:rPr>
          <w:sz w:val="20"/>
          <w:lang w:val="fr-CH"/>
        </w:rPr>
        <w:noBreakHyphen/>
        <w:t>R, l'ISO et la CEI</w:t>
      </w:r>
      <w:r w:rsidRPr="00CE138A" w:rsidDel="0061025C">
        <w:rPr>
          <w:sz w:val="20"/>
          <w:lang w:val="fr-CH"/>
        </w:rPr>
        <w:t xml:space="preserve"> </w:t>
      </w:r>
      <w:r w:rsidRPr="00CE138A">
        <w:rPr>
          <w:sz w:val="20"/>
          <w:lang w:val="fr-CH"/>
        </w:rPr>
        <w:t>et la base de données en matière de brevets de l'UIT-R.</w:t>
      </w:r>
    </w:p>
    <w:p w14:paraId="25222D90" w14:textId="77777777" w:rsidR="00CE138A" w:rsidRPr="0086089D" w:rsidRDefault="00CE138A" w:rsidP="00CE138A">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CE138A" w:rsidRPr="00792698" w14:paraId="0EFB8123" w14:textId="77777777" w:rsidTr="00825B0A">
        <w:tc>
          <w:tcPr>
            <w:tcW w:w="9360" w:type="dxa"/>
            <w:gridSpan w:val="2"/>
          </w:tcPr>
          <w:p w14:paraId="2B3AC607" w14:textId="77777777" w:rsidR="00CE138A" w:rsidRPr="00CE138A" w:rsidRDefault="00CE138A" w:rsidP="00825B0A">
            <w:pPr>
              <w:pStyle w:val="Chaptitle"/>
              <w:keepLines w:val="0"/>
              <w:tabs>
                <w:tab w:val="clear" w:pos="794"/>
                <w:tab w:val="clear" w:pos="1191"/>
                <w:tab w:val="clear" w:pos="1588"/>
                <w:tab w:val="clear" w:pos="1985"/>
              </w:tabs>
              <w:overflowPunct/>
              <w:spacing w:before="140"/>
              <w:textAlignment w:val="auto"/>
              <w:rPr>
                <w:sz w:val="22"/>
                <w:szCs w:val="22"/>
                <w:lang w:val="fr-CH"/>
              </w:rPr>
            </w:pPr>
            <w:r w:rsidRPr="00CE138A">
              <w:rPr>
                <w:sz w:val="22"/>
                <w:szCs w:val="22"/>
                <w:lang w:val="fr-CH"/>
              </w:rPr>
              <w:t xml:space="preserve">Séries des Recommandations UIT-R </w:t>
            </w:r>
          </w:p>
          <w:p w14:paraId="08CBD6C9" w14:textId="77777777" w:rsidR="00CE138A" w:rsidRPr="00CE138A"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CH"/>
              </w:rPr>
            </w:pPr>
            <w:r w:rsidRPr="00CE138A">
              <w:rPr>
                <w:b w:val="0"/>
                <w:sz w:val="18"/>
                <w:szCs w:val="18"/>
                <w:lang w:val="fr-CH"/>
              </w:rPr>
              <w:t>(</w:t>
            </w:r>
            <w:proofErr w:type="spellStart"/>
            <w:r w:rsidRPr="00CE138A">
              <w:rPr>
                <w:b w:val="0"/>
                <w:sz w:val="18"/>
                <w:szCs w:val="18"/>
                <w:lang w:val="fr-CH"/>
              </w:rPr>
              <w:t>Egalement</w:t>
            </w:r>
            <w:proofErr w:type="spellEnd"/>
            <w:r w:rsidRPr="00CE138A">
              <w:rPr>
                <w:b w:val="0"/>
                <w:sz w:val="18"/>
                <w:szCs w:val="18"/>
                <w:lang w:val="fr-CH"/>
              </w:rPr>
              <w:t xml:space="preserve"> disponible en </w:t>
            </w:r>
            <w:proofErr w:type="gramStart"/>
            <w:r w:rsidRPr="00CE138A">
              <w:rPr>
                <w:b w:val="0"/>
                <w:sz w:val="18"/>
                <w:szCs w:val="18"/>
                <w:lang w:val="fr-CH"/>
              </w:rPr>
              <w:t>ligne:</w:t>
            </w:r>
            <w:proofErr w:type="gramEnd"/>
            <w:r w:rsidRPr="00CE138A">
              <w:rPr>
                <w:b w:val="0"/>
                <w:sz w:val="18"/>
                <w:szCs w:val="18"/>
                <w:lang w:val="fr-CH"/>
              </w:rPr>
              <w:t xml:space="preserve"> </w:t>
            </w:r>
            <w:hyperlink r:id="rId10" w:history="1">
              <w:r w:rsidRPr="00CE138A">
                <w:rPr>
                  <w:rStyle w:val="Hyperlink"/>
                  <w:b w:val="0"/>
                  <w:bCs/>
                  <w:sz w:val="18"/>
                  <w:szCs w:val="18"/>
                  <w:lang w:val="fr-CH"/>
                </w:rPr>
                <w:t>https://www.itu.int/publ/R-REC/fr</w:t>
              </w:r>
            </w:hyperlink>
            <w:r w:rsidRPr="00CE138A">
              <w:rPr>
                <w:b w:val="0"/>
                <w:bCs/>
                <w:sz w:val="18"/>
                <w:szCs w:val="18"/>
                <w:lang w:val="fr-CH"/>
              </w:rPr>
              <w:t>)</w:t>
            </w:r>
          </w:p>
        </w:tc>
      </w:tr>
      <w:tr w:rsidR="00CE138A" w:rsidRPr="00036EE3" w14:paraId="128B0C84" w14:textId="77777777" w:rsidTr="00825B0A">
        <w:tc>
          <w:tcPr>
            <w:tcW w:w="1140" w:type="dxa"/>
            <w:tcBorders>
              <w:bottom w:val="nil"/>
            </w:tcBorders>
          </w:tcPr>
          <w:p w14:paraId="6195E452" w14:textId="77777777" w:rsidR="00CE138A" w:rsidRPr="00614CC6" w:rsidRDefault="00CE138A" w:rsidP="00825B0A">
            <w:pPr>
              <w:spacing w:before="90" w:after="100"/>
              <w:ind w:left="57"/>
              <w:rPr>
                <w:b/>
                <w:bCs/>
                <w:sz w:val="20"/>
                <w:lang w:val="en-US"/>
              </w:rPr>
            </w:pPr>
            <w:proofErr w:type="spellStart"/>
            <w:r w:rsidRPr="00614CC6">
              <w:rPr>
                <w:b/>
                <w:bCs/>
                <w:sz w:val="20"/>
                <w:lang w:val="en-US"/>
              </w:rPr>
              <w:t>Séries</w:t>
            </w:r>
            <w:proofErr w:type="spellEnd"/>
          </w:p>
        </w:tc>
        <w:tc>
          <w:tcPr>
            <w:tcW w:w="8220" w:type="dxa"/>
            <w:tcBorders>
              <w:bottom w:val="nil"/>
            </w:tcBorders>
          </w:tcPr>
          <w:p w14:paraId="4E64F801" w14:textId="77777777" w:rsidR="00CE138A" w:rsidRPr="00614CC6"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proofErr w:type="spellStart"/>
            <w:r w:rsidRPr="00614CC6">
              <w:rPr>
                <w:bCs/>
                <w:sz w:val="20"/>
                <w:lang w:val="en-US"/>
              </w:rPr>
              <w:t>Titre</w:t>
            </w:r>
            <w:proofErr w:type="spellEnd"/>
          </w:p>
        </w:tc>
      </w:tr>
      <w:tr w:rsidR="00CE138A" w:rsidRPr="005E427C" w14:paraId="3E28750F" w14:textId="77777777" w:rsidTr="00825B0A">
        <w:tc>
          <w:tcPr>
            <w:tcW w:w="1140" w:type="dxa"/>
            <w:tcBorders>
              <w:top w:val="nil"/>
              <w:bottom w:val="nil"/>
            </w:tcBorders>
            <w:shd w:val="clear" w:color="auto" w:fill="auto"/>
          </w:tcPr>
          <w:p w14:paraId="7B6BE8BC" w14:textId="77777777" w:rsidR="00CE138A" w:rsidRPr="008E50E5" w:rsidRDefault="00CE138A" w:rsidP="00825B0A">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75CC6AC1" w14:textId="77777777" w:rsidR="00CE138A" w:rsidRPr="00A66700"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CE138A" w:rsidRPr="00792698" w14:paraId="73044752" w14:textId="77777777" w:rsidTr="00825B0A">
        <w:tc>
          <w:tcPr>
            <w:tcW w:w="1140" w:type="dxa"/>
            <w:tcBorders>
              <w:top w:val="nil"/>
              <w:bottom w:val="nil"/>
            </w:tcBorders>
          </w:tcPr>
          <w:p w14:paraId="311F9F89" w14:textId="77777777" w:rsidR="00CE138A" w:rsidRPr="00A66700" w:rsidRDefault="00CE138A" w:rsidP="00825B0A">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25381181" w14:textId="77777777" w:rsidR="00CE138A" w:rsidRPr="00CE138A"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CE138A">
              <w:rPr>
                <w:b w:val="0"/>
                <w:sz w:val="20"/>
                <w:lang w:val="fr-CH"/>
              </w:rPr>
              <w:t xml:space="preserve">Enregistrement pour la production, l'archivage et la </w:t>
            </w:r>
            <w:proofErr w:type="gramStart"/>
            <w:r w:rsidRPr="00CE138A">
              <w:rPr>
                <w:b w:val="0"/>
                <w:sz w:val="20"/>
                <w:lang w:val="fr-CH"/>
              </w:rPr>
              <w:t>diffusion;</w:t>
            </w:r>
            <w:proofErr w:type="gramEnd"/>
            <w:r w:rsidRPr="00CE138A">
              <w:rPr>
                <w:b w:val="0"/>
                <w:sz w:val="20"/>
                <w:lang w:val="fr-CH"/>
              </w:rPr>
              <w:t xml:space="preserve"> films pour la télévision</w:t>
            </w:r>
          </w:p>
        </w:tc>
      </w:tr>
      <w:tr w:rsidR="00CE138A" w:rsidRPr="00E80F1D" w14:paraId="01342EB5" w14:textId="77777777" w:rsidTr="00825B0A">
        <w:tc>
          <w:tcPr>
            <w:tcW w:w="1140" w:type="dxa"/>
            <w:tcBorders>
              <w:top w:val="nil"/>
              <w:bottom w:val="nil"/>
            </w:tcBorders>
            <w:shd w:val="clear" w:color="auto" w:fill="auto"/>
          </w:tcPr>
          <w:p w14:paraId="0630FD3E" w14:textId="77777777" w:rsidR="00CE138A" w:rsidRPr="00FD6C37" w:rsidRDefault="00CE138A" w:rsidP="00825B0A">
            <w:pPr>
              <w:spacing w:before="30" w:after="30"/>
              <w:ind w:left="57"/>
              <w:jc w:val="left"/>
              <w:rPr>
                <w:b/>
                <w:bCs/>
                <w:sz w:val="20"/>
                <w:lang w:val="en-US"/>
              </w:rPr>
            </w:pPr>
            <w:r w:rsidRPr="00FD6C37">
              <w:rPr>
                <w:b/>
                <w:bCs/>
                <w:sz w:val="20"/>
                <w:lang w:val="en-US"/>
              </w:rPr>
              <w:t>BS</w:t>
            </w:r>
          </w:p>
        </w:tc>
        <w:tc>
          <w:tcPr>
            <w:tcW w:w="8220" w:type="dxa"/>
            <w:tcBorders>
              <w:top w:val="nil"/>
              <w:bottom w:val="nil"/>
            </w:tcBorders>
            <w:shd w:val="clear" w:color="auto" w:fill="auto"/>
          </w:tcPr>
          <w:p w14:paraId="206FEF18" w14:textId="77777777" w:rsidR="00CE138A" w:rsidRPr="00FD6C37"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FD6C37">
              <w:rPr>
                <w:b w:val="0"/>
                <w:sz w:val="20"/>
              </w:rPr>
              <w:t xml:space="preserve">Service de </w:t>
            </w:r>
            <w:proofErr w:type="spellStart"/>
            <w:r w:rsidRPr="00FD6C37">
              <w:rPr>
                <w:b w:val="0"/>
                <w:sz w:val="20"/>
              </w:rPr>
              <w:t>radiodiffusion</w:t>
            </w:r>
            <w:proofErr w:type="spellEnd"/>
            <w:r w:rsidRPr="00FD6C37">
              <w:rPr>
                <w:b w:val="0"/>
                <w:sz w:val="20"/>
              </w:rPr>
              <w:t xml:space="preserve"> </w:t>
            </w:r>
            <w:proofErr w:type="spellStart"/>
            <w:r w:rsidRPr="00FD6C37">
              <w:rPr>
                <w:b w:val="0"/>
                <w:sz w:val="20"/>
              </w:rPr>
              <w:t>sonore</w:t>
            </w:r>
            <w:proofErr w:type="spellEnd"/>
          </w:p>
        </w:tc>
      </w:tr>
      <w:tr w:rsidR="00CE138A" w:rsidRPr="00ED2695" w14:paraId="4D7BCD03" w14:textId="77777777" w:rsidTr="00825B0A">
        <w:tc>
          <w:tcPr>
            <w:tcW w:w="1140" w:type="dxa"/>
            <w:tcBorders>
              <w:top w:val="nil"/>
              <w:bottom w:val="nil"/>
            </w:tcBorders>
            <w:shd w:val="clear" w:color="auto" w:fill="F3F3F3"/>
          </w:tcPr>
          <w:p w14:paraId="49F09811" w14:textId="77777777" w:rsidR="00CE138A" w:rsidRPr="00FD6C37" w:rsidRDefault="00CE138A" w:rsidP="00825B0A">
            <w:pPr>
              <w:spacing w:before="30" w:after="30"/>
              <w:ind w:left="57"/>
              <w:jc w:val="left"/>
              <w:rPr>
                <w:b/>
                <w:bCs/>
                <w:color w:val="000080"/>
                <w:sz w:val="20"/>
                <w:lang w:val="en-US"/>
              </w:rPr>
            </w:pPr>
            <w:r w:rsidRPr="00FD6C37">
              <w:rPr>
                <w:b/>
                <w:bCs/>
                <w:color w:val="000080"/>
                <w:sz w:val="20"/>
                <w:lang w:val="en-US"/>
              </w:rPr>
              <w:t>BT</w:t>
            </w:r>
          </w:p>
        </w:tc>
        <w:tc>
          <w:tcPr>
            <w:tcW w:w="8220" w:type="dxa"/>
            <w:tcBorders>
              <w:top w:val="nil"/>
              <w:bottom w:val="nil"/>
            </w:tcBorders>
            <w:shd w:val="clear" w:color="auto" w:fill="F3F3F3"/>
          </w:tcPr>
          <w:p w14:paraId="2E069480" w14:textId="77777777" w:rsidR="00CE138A" w:rsidRPr="00FD6C37"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rPr>
            </w:pPr>
            <w:r w:rsidRPr="00FD6C37">
              <w:rPr>
                <w:bCs/>
                <w:color w:val="000080"/>
                <w:sz w:val="20"/>
              </w:rPr>
              <w:t xml:space="preserve">Service de </w:t>
            </w:r>
            <w:proofErr w:type="spellStart"/>
            <w:r w:rsidRPr="00FD6C37">
              <w:rPr>
                <w:bCs/>
                <w:color w:val="000080"/>
                <w:sz w:val="20"/>
              </w:rPr>
              <w:t>radiodiffusion</w:t>
            </w:r>
            <w:proofErr w:type="spellEnd"/>
            <w:r w:rsidRPr="00FD6C37">
              <w:rPr>
                <w:bCs/>
                <w:color w:val="000080"/>
                <w:sz w:val="20"/>
              </w:rPr>
              <w:t xml:space="preserve"> </w:t>
            </w:r>
            <w:proofErr w:type="spellStart"/>
            <w:r w:rsidRPr="00FD6C37">
              <w:rPr>
                <w:bCs/>
                <w:color w:val="000080"/>
                <w:sz w:val="20"/>
              </w:rPr>
              <w:t>télévisuelle</w:t>
            </w:r>
            <w:proofErr w:type="spellEnd"/>
          </w:p>
        </w:tc>
      </w:tr>
      <w:tr w:rsidR="00CE138A" w:rsidRPr="00DE5EA2" w14:paraId="2EA00320" w14:textId="77777777" w:rsidTr="00825B0A">
        <w:tc>
          <w:tcPr>
            <w:tcW w:w="1140" w:type="dxa"/>
            <w:tcBorders>
              <w:top w:val="nil"/>
              <w:bottom w:val="nil"/>
            </w:tcBorders>
            <w:shd w:val="clear" w:color="auto" w:fill="auto"/>
          </w:tcPr>
          <w:p w14:paraId="2174D61E" w14:textId="77777777" w:rsidR="00CE138A" w:rsidRPr="00DE5EA2" w:rsidRDefault="00CE138A" w:rsidP="00825B0A">
            <w:pPr>
              <w:spacing w:before="30" w:after="30"/>
              <w:ind w:left="57"/>
              <w:jc w:val="left"/>
              <w:rPr>
                <w:b/>
                <w:bCs/>
                <w:sz w:val="20"/>
                <w:lang w:val="fr-CH"/>
              </w:rPr>
            </w:pPr>
            <w:r w:rsidRPr="00DE5EA2">
              <w:rPr>
                <w:b/>
                <w:bCs/>
                <w:sz w:val="20"/>
                <w:lang w:val="fr-CH"/>
              </w:rPr>
              <w:t>F</w:t>
            </w:r>
          </w:p>
        </w:tc>
        <w:tc>
          <w:tcPr>
            <w:tcW w:w="8220" w:type="dxa"/>
            <w:tcBorders>
              <w:top w:val="nil"/>
              <w:bottom w:val="nil"/>
            </w:tcBorders>
            <w:shd w:val="clear" w:color="auto" w:fill="auto"/>
          </w:tcPr>
          <w:p w14:paraId="1A46F133" w14:textId="77777777" w:rsidR="00CE138A" w:rsidRPr="00A66700"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w:t>
            </w:r>
          </w:p>
        </w:tc>
      </w:tr>
      <w:tr w:rsidR="00CE138A" w:rsidRPr="00792698" w14:paraId="23DE6E22" w14:textId="77777777" w:rsidTr="00825B0A">
        <w:tc>
          <w:tcPr>
            <w:tcW w:w="1140" w:type="dxa"/>
            <w:tcBorders>
              <w:top w:val="nil"/>
              <w:bottom w:val="nil"/>
            </w:tcBorders>
            <w:shd w:val="clear" w:color="auto" w:fill="auto"/>
          </w:tcPr>
          <w:p w14:paraId="4BA4B50C" w14:textId="77777777" w:rsidR="00CE138A" w:rsidRPr="00B21066" w:rsidRDefault="00CE138A" w:rsidP="00825B0A">
            <w:pPr>
              <w:spacing w:before="30" w:after="30"/>
              <w:ind w:left="57"/>
              <w:jc w:val="left"/>
              <w:rPr>
                <w:b/>
                <w:bCs/>
                <w:sz w:val="20"/>
                <w:lang w:val="en-US"/>
              </w:rPr>
            </w:pPr>
            <w:r w:rsidRPr="00B21066">
              <w:rPr>
                <w:b/>
                <w:bCs/>
                <w:sz w:val="20"/>
                <w:lang w:val="en-US"/>
              </w:rPr>
              <w:t>M</w:t>
            </w:r>
          </w:p>
        </w:tc>
        <w:tc>
          <w:tcPr>
            <w:tcW w:w="8220" w:type="dxa"/>
            <w:tcBorders>
              <w:top w:val="nil"/>
              <w:bottom w:val="nil"/>
            </w:tcBorders>
            <w:shd w:val="clear" w:color="auto" w:fill="auto"/>
          </w:tcPr>
          <w:p w14:paraId="08C25FB6" w14:textId="77777777" w:rsidR="00CE138A" w:rsidRPr="00CE138A"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proofErr w:type="gramStart"/>
            <w:r w:rsidRPr="00CE138A">
              <w:rPr>
                <w:b w:val="0"/>
                <w:sz w:val="20"/>
                <w:lang w:val="fr-CH"/>
              </w:rPr>
              <w:t>Services mobile</w:t>
            </w:r>
            <w:proofErr w:type="gramEnd"/>
            <w:r w:rsidRPr="00CE138A">
              <w:rPr>
                <w:b w:val="0"/>
                <w:sz w:val="20"/>
                <w:lang w:val="fr-CH"/>
              </w:rPr>
              <w:t>, de radiorepérage et d'amateur y compris les services par satellite associés</w:t>
            </w:r>
          </w:p>
        </w:tc>
      </w:tr>
      <w:tr w:rsidR="00CE138A" w:rsidRPr="00EC361D" w14:paraId="2F9BF370" w14:textId="77777777" w:rsidTr="00825B0A">
        <w:tc>
          <w:tcPr>
            <w:tcW w:w="1140" w:type="dxa"/>
            <w:tcBorders>
              <w:top w:val="nil"/>
              <w:bottom w:val="nil"/>
            </w:tcBorders>
            <w:shd w:val="clear" w:color="auto" w:fill="auto"/>
          </w:tcPr>
          <w:p w14:paraId="2733DDDA" w14:textId="77777777" w:rsidR="00CE138A" w:rsidRPr="00EC361D" w:rsidRDefault="00CE138A" w:rsidP="00825B0A">
            <w:pPr>
              <w:spacing w:before="30" w:after="30"/>
              <w:ind w:left="57"/>
              <w:jc w:val="left"/>
              <w:rPr>
                <w:b/>
                <w:bCs/>
                <w:sz w:val="20"/>
                <w:lang w:val="fr-CH"/>
              </w:rPr>
            </w:pPr>
            <w:r w:rsidRPr="00EC361D">
              <w:rPr>
                <w:b/>
                <w:bCs/>
                <w:sz w:val="20"/>
                <w:lang w:val="fr-CH"/>
              </w:rPr>
              <w:t>P</w:t>
            </w:r>
          </w:p>
        </w:tc>
        <w:tc>
          <w:tcPr>
            <w:tcW w:w="8220" w:type="dxa"/>
            <w:tcBorders>
              <w:top w:val="nil"/>
              <w:bottom w:val="nil"/>
            </w:tcBorders>
            <w:shd w:val="clear" w:color="auto" w:fill="auto"/>
          </w:tcPr>
          <w:p w14:paraId="0BD2C353" w14:textId="77777777" w:rsidR="00CE138A" w:rsidRPr="00A66700"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Propagation des </w:t>
            </w:r>
            <w:proofErr w:type="spellStart"/>
            <w:r w:rsidRPr="00A66700">
              <w:rPr>
                <w:b w:val="0"/>
                <w:sz w:val="20"/>
              </w:rPr>
              <w:t>ondes</w:t>
            </w:r>
            <w:proofErr w:type="spellEnd"/>
            <w:r w:rsidRPr="00A66700">
              <w:rPr>
                <w:b w:val="0"/>
                <w:sz w:val="20"/>
              </w:rPr>
              <w:t xml:space="preserve"> </w:t>
            </w:r>
            <w:proofErr w:type="spellStart"/>
            <w:r w:rsidRPr="00A66700">
              <w:rPr>
                <w:b w:val="0"/>
                <w:sz w:val="20"/>
              </w:rPr>
              <w:t>radioélectriques</w:t>
            </w:r>
            <w:proofErr w:type="spellEnd"/>
          </w:p>
        </w:tc>
      </w:tr>
      <w:tr w:rsidR="00CE138A" w:rsidRPr="004822EF" w14:paraId="021BD548" w14:textId="77777777" w:rsidTr="00825B0A">
        <w:tc>
          <w:tcPr>
            <w:tcW w:w="1140" w:type="dxa"/>
            <w:tcBorders>
              <w:top w:val="nil"/>
              <w:bottom w:val="nil"/>
            </w:tcBorders>
            <w:shd w:val="clear" w:color="auto" w:fill="auto"/>
          </w:tcPr>
          <w:p w14:paraId="0CD6D094" w14:textId="77777777" w:rsidR="00CE138A" w:rsidRPr="004822EF" w:rsidRDefault="00CE138A" w:rsidP="00825B0A">
            <w:pPr>
              <w:spacing w:before="30" w:after="30"/>
              <w:ind w:left="57"/>
              <w:jc w:val="left"/>
              <w:rPr>
                <w:b/>
                <w:bCs/>
                <w:sz w:val="20"/>
                <w:lang w:val="en-US"/>
              </w:rPr>
            </w:pPr>
            <w:r w:rsidRPr="004822EF">
              <w:rPr>
                <w:b/>
                <w:bCs/>
                <w:sz w:val="20"/>
                <w:lang w:val="en-US"/>
              </w:rPr>
              <w:t>RA</w:t>
            </w:r>
          </w:p>
        </w:tc>
        <w:tc>
          <w:tcPr>
            <w:tcW w:w="8220" w:type="dxa"/>
            <w:tcBorders>
              <w:top w:val="nil"/>
              <w:bottom w:val="nil"/>
            </w:tcBorders>
            <w:shd w:val="clear" w:color="auto" w:fill="auto"/>
          </w:tcPr>
          <w:p w14:paraId="280C7CC8" w14:textId="77777777" w:rsidR="00CE138A" w:rsidRPr="00A66700"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Radio </w:t>
            </w:r>
            <w:proofErr w:type="spellStart"/>
            <w:r w:rsidRPr="00A66700">
              <w:rPr>
                <w:b w:val="0"/>
                <w:sz w:val="20"/>
              </w:rPr>
              <w:t>astronomie</w:t>
            </w:r>
            <w:proofErr w:type="spellEnd"/>
          </w:p>
        </w:tc>
      </w:tr>
      <w:tr w:rsidR="00CE138A" w:rsidRPr="00326525" w14:paraId="678E5A23" w14:textId="77777777" w:rsidTr="00825B0A">
        <w:tc>
          <w:tcPr>
            <w:tcW w:w="1140" w:type="dxa"/>
            <w:tcBorders>
              <w:top w:val="nil"/>
              <w:bottom w:val="nil"/>
            </w:tcBorders>
            <w:shd w:val="clear" w:color="auto" w:fill="auto"/>
          </w:tcPr>
          <w:p w14:paraId="00D1EFB8" w14:textId="77777777" w:rsidR="00CE138A" w:rsidRPr="00326525" w:rsidRDefault="00CE138A" w:rsidP="00825B0A">
            <w:pPr>
              <w:spacing w:before="30" w:after="30"/>
              <w:ind w:left="57"/>
              <w:jc w:val="left"/>
              <w:rPr>
                <w:b/>
                <w:bCs/>
                <w:sz w:val="20"/>
                <w:lang w:val="en-US"/>
              </w:rPr>
            </w:pPr>
            <w:r w:rsidRPr="00326525">
              <w:rPr>
                <w:b/>
                <w:bCs/>
                <w:sz w:val="20"/>
                <w:lang w:val="en-US"/>
              </w:rPr>
              <w:t>RS</w:t>
            </w:r>
          </w:p>
        </w:tc>
        <w:tc>
          <w:tcPr>
            <w:tcW w:w="8220" w:type="dxa"/>
            <w:tcBorders>
              <w:top w:val="nil"/>
              <w:bottom w:val="nil"/>
            </w:tcBorders>
            <w:shd w:val="clear" w:color="auto" w:fill="auto"/>
          </w:tcPr>
          <w:p w14:paraId="10E6210B" w14:textId="77777777" w:rsidR="00CE138A" w:rsidRPr="00A66700"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proofErr w:type="spellStart"/>
            <w:r w:rsidRPr="00A66700">
              <w:rPr>
                <w:b w:val="0"/>
                <w:sz w:val="20"/>
              </w:rPr>
              <w:t>Systèmes</w:t>
            </w:r>
            <w:proofErr w:type="spellEnd"/>
            <w:r w:rsidRPr="00A66700">
              <w:rPr>
                <w:b w:val="0"/>
                <w:sz w:val="20"/>
              </w:rPr>
              <w:t xml:space="preserve"> de </w:t>
            </w:r>
            <w:proofErr w:type="spellStart"/>
            <w:r w:rsidRPr="00A66700">
              <w:rPr>
                <w:b w:val="0"/>
                <w:sz w:val="20"/>
              </w:rPr>
              <w:t>télédétection</w:t>
            </w:r>
            <w:proofErr w:type="spellEnd"/>
          </w:p>
        </w:tc>
      </w:tr>
      <w:tr w:rsidR="00CE138A" w:rsidRPr="00C40D3E" w14:paraId="2251A942" w14:textId="77777777" w:rsidTr="00825B0A">
        <w:tc>
          <w:tcPr>
            <w:tcW w:w="1140" w:type="dxa"/>
            <w:tcBorders>
              <w:top w:val="nil"/>
              <w:bottom w:val="nil"/>
            </w:tcBorders>
            <w:shd w:val="clear" w:color="auto" w:fill="auto"/>
          </w:tcPr>
          <w:p w14:paraId="5B24D1CD" w14:textId="77777777" w:rsidR="00CE138A" w:rsidRPr="00C40D3E" w:rsidRDefault="00CE138A" w:rsidP="00825B0A">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2E9196C4" w14:textId="77777777" w:rsidR="00CE138A" w:rsidRPr="00A66700"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CE138A" w:rsidRPr="00C40D3E" w14:paraId="5BFDC181" w14:textId="77777777" w:rsidTr="00825B0A">
        <w:tc>
          <w:tcPr>
            <w:tcW w:w="1140" w:type="dxa"/>
            <w:tcBorders>
              <w:top w:val="nil"/>
              <w:bottom w:val="nil"/>
            </w:tcBorders>
            <w:shd w:val="clear" w:color="auto" w:fill="FFFFFF" w:themeFill="background1"/>
          </w:tcPr>
          <w:p w14:paraId="31D70A77" w14:textId="77777777" w:rsidR="00CE138A" w:rsidRPr="004F3F6F" w:rsidRDefault="00CE138A" w:rsidP="00825B0A">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21B947A1" w14:textId="77777777" w:rsidR="00CE138A" w:rsidRPr="00A66700"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Applications </w:t>
            </w:r>
            <w:proofErr w:type="spellStart"/>
            <w:r w:rsidRPr="00A66700">
              <w:rPr>
                <w:b w:val="0"/>
                <w:sz w:val="20"/>
              </w:rPr>
              <w:t>spatiales</w:t>
            </w:r>
            <w:proofErr w:type="spellEnd"/>
            <w:r w:rsidRPr="00A66700">
              <w:rPr>
                <w:b w:val="0"/>
                <w:sz w:val="20"/>
              </w:rPr>
              <w:t xml:space="preserve"> et </w:t>
            </w:r>
            <w:proofErr w:type="spellStart"/>
            <w:r w:rsidRPr="00A66700">
              <w:rPr>
                <w:b w:val="0"/>
                <w:sz w:val="20"/>
              </w:rPr>
              <w:t>météorologie</w:t>
            </w:r>
            <w:proofErr w:type="spellEnd"/>
          </w:p>
        </w:tc>
      </w:tr>
      <w:tr w:rsidR="00CE138A" w:rsidRPr="00792698" w14:paraId="5053BBE6" w14:textId="77777777" w:rsidTr="00825B0A">
        <w:tc>
          <w:tcPr>
            <w:tcW w:w="1140" w:type="dxa"/>
            <w:tcBorders>
              <w:top w:val="nil"/>
            </w:tcBorders>
          </w:tcPr>
          <w:p w14:paraId="30F55FC9" w14:textId="77777777" w:rsidR="00CE138A" w:rsidRPr="00614CC6" w:rsidRDefault="00CE138A" w:rsidP="00825B0A">
            <w:pPr>
              <w:spacing w:before="30" w:after="30"/>
              <w:ind w:left="57"/>
              <w:jc w:val="left"/>
              <w:rPr>
                <w:b/>
                <w:bCs/>
                <w:sz w:val="20"/>
                <w:lang w:val="en-US"/>
              </w:rPr>
            </w:pPr>
            <w:r w:rsidRPr="00614CC6">
              <w:rPr>
                <w:b/>
                <w:bCs/>
                <w:sz w:val="20"/>
                <w:lang w:val="en-US"/>
              </w:rPr>
              <w:t>SF</w:t>
            </w:r>
          </w:p>
        </w:tc>
        <w:tc>
          <w:tcPr>
            <w:tcW w:w="8220" w:type="dxa"/>
            <w:tcBorders>
              <w:top w:val="nil"/>
            </w:tcBorders>
          </w:tcPr>
          <w:p w14:paraId="50686767" w14:textId="77777777" w:rsidR="00CE138A" w:rsidRPr="00CE138A"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CE138A">
              <w:rPr>
                <w:b w:val="0"/>
                <w:sz w:val="20"/>
                <w:lang w:val="fr-CH"/>
              </w:rPr>
              <w:t>Partage des fréquences et coordination entre les systèmes du service fixe par satellite et du service fixe</w:t>
            </w:r>
          </w:p>
        </w:tc>
      </w:tr>
      <w:tr w:rsidR="00CE138A" w:rsidRPr="00036EE3" w14:paraId="47714592" w14:textId="77777777" w:rsidTr="00825B0A">
        <w:tc>
          <w:tcPr>
            <w:tcW w:w="1140" w:type="dxa"/>
            <w:shd w:val="clear" w:color="auto" w:fill="auto"/>
          </w:tcPr>
          <w:p w14:paraId="375C4C75" w14:textId="77777777" w:rsidR="00CE138A" w:rsidRPr="00592F9F" w:rsidRDefault="00CE138A" w:rsidP="00825B0A">
            <w:pPr>
              <w:spacing w:before="30" w:after="30"/>
              <w:ind w:left="57"/>
              <w:jc w:val="left"/>
              <w:rPr>
                <w:b/>
                <w:bCs/>
                <w:sz w:val="20"/>
                <w:lang w:val="en-US"/>
              </w:rPr>
            </w:pPr>
            <w:r w:rsidRPr="00592F9F">
              <w:rPr>
                <w:b/>
                <w:bCs/>
                <w:sz w:val="20"/>
                <w:lang w:val="en-US"/>
              </w:rPr>
              <w:t>SM</w:t>
            </w:r>
          </w:p>
        </w:tc>
        <w:tc>
          <w:tcPr>
            <w:tcW w:w="8220" w:type="dxa"/>
            <w:shd w:val="clear" w:color="auto" w:fill="auto"/>
          </w:tcPr>
          <w:p w14:paraId="6AEDFF8A" w14:textId="77777777" w:rsidR="00CE138A" w:rsidRPr="00A66700"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CE138A" w:rsidRPr="00036EE3" w14:paraId="2B90A63A" w14:textId="77777777" w:rsidTr="00825B0A">
        <w:tc>
          <w:tcPr>
            <w:tcW w:w="1140" w:type="dxa"/>
          </w:tcPr>
          <w:p w14:paraId="5F86D65E" w14:textId="77777777" w:rsidR="00CE138A" w:rsidRPr="00614CC6" w:rsidRDefault="00CE138A" w:rsidP="00825B0A">
            <w:pPr>
              <w:spacing w:before="30" w:after="30"/>
              <w:ind w:left="57"/>
              <w:jc w:val="left"/>
              <w:rPr>
                <w:b/>
                <w:bCs/>
                <w:sz w:val="20"/>
                <w:lang w:val="en-US"/>
              </w:rPr>
            </w:pPr>
            <w:r w:rsidRPr="00614CC6">
              <w:rPr>
                <w:b/>
                <w:bCs/>
                <w:sz w:val="20"/>
                <w:lang w:val="en-US"/>
              </w:rPr>
              <w:t>SNG</w:t>
            </w:r>
          </w:p>
        </w:tc>
        <w:tc>
          <w:tcPr>
            <w:tcW w:w="8220" w:type="dxa"/>
          </w:tcPr>
          <w:p w14:paraId="52DAB64E" w14:textId="77777777" w:rsidR="00CE138A" w:rsidRPr="00A66700"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Reportage </w:t>
            </w:r>
            <w:proofErr w:type="spellStart"/>
            <w:r w:rsidRPr="00A66700">
              <w:rPr>
                <w:b w:val="0"/>
                <w:sz w:val="20"/>
              </w:rPr>
              <w:t>d'actualités</w:t>
            </w:r>
            <w:proofErr w:type="spellEnd"/>
            <w:r w:rsidRPr="00A66700">
              <w:rPr>
                <w:b w:val="0"/>
                <w:sz w:val="20"/>
              </w:rPr>
              <w:t xml:space="preserve"> par satellite</w:t>
            </w:r>
          </w:p>
        </w:tc>
      </w:tr>
      <w:tr w:rsidR="00CE138A" w:rsidRPr="00792698" w14:paraId="16BA8736" w14:textId="77777777" w:rsidTr="00825B0A">
        <w:tc>
          <w:tcPr>
            <w:tcW w:w="1140" w:type="dxa"/>
          </w:tcPr>
          <w:p w14:paraId="6745DB61" w14:textId="77777777" w:rsidR="00CE138A" w:rsidRPr="00710A2A" w:rsidRDefault="00CE138A" w:rsidP="00825B0A">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7DFE100C" w14:textId="77777777" w:rsidR="00CE138A" w:rsidRPr="00CE138A"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proofErr w:type="spellStart"/>
            <w:r w:rsidRPr="00CE138A">
              <w:rPr>
                <w:b w:val="0"/>
                <w:sz w:val="20"/>
                <w:lang w:val="fr-CH"/>
              </w:rPr>
              <w:t>Emissions</w:t>
            </w:r>
            <w:proofErr w:type="spellEnd"/>
            <w:r w:rsidRPr="00CE138A">
              <w:rPr>
                <w:b w:val="0"/>
                <w:sz w:val="20"/>
                <w:lang w:val="fr-CH"/>
              </w:rPr>
              <w:t xml:space="preserve"> de fréquences étalon et de signaux horaires</w:t>
            </w:r>
          </w:p>
        </w:tc>
      </w:tr>
      <w:tr w:rsidR="00CE138A" w:rsidRPr="00036EE3" w14:paraId="0D6A5469" w14:textId="77777777" w:rsidTr="00825B0A">
        <w:tc>
          <w:tcPr>
            <w:tcW w:w="1140" w:type="dxa"/>
          </w:tcPr>
          <w:p w14:paraId="0CE1D6FF" w14:textId="77777777" w:rsidR="00CE138A" w:rsidRPr="00614CC6" w:rsidRDefault="00CE138A" w:rsidP="00825B0A">
            <w:pPr>
              <w:spacing w:before="30" w:after="30"/>
              <w:ind w:left="57"/>
              <w:jc w:val="left"/>
              <w:rPr>
                <w:b/>
                <w:bCs/>
                <w:sz w:val="20"/>
                <w:lang w:val="en-US"/>
              </w:rPr>
            </w:pPr>
            <w:r w:rsidRPr="00614CC6">
              <w:rPr>
                <w:b/>
                <w:bCs/>
                <w:sz w:val="20"/>
                <w:lang w:val="en-US"/>
              </w:rPr>
              <w:t>V</w:t>
            </w:r>
          </w:p>
        </w:tc>
        <w:tc>
          <w:tcPr>
            <w:tcW w:w="8220" w:type="dxa"/>
          </w:tcPr>
          <w:p w14:paraId="4F01A6D7" w14:textId="77777777" w:rsidR="00CE138A" w:rsidRPr="00A66700" w:rsidRDefault="00CE138A" w:rsidP="00825B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proofErr w:type="spellStart"/>
            <w:r w:rsidRPr="00A66700">
              <w:rPr>
                <w:b w:val="0"/>
                <w:sz w:val="20"/>
              </w:rPr>
              <w:t>Vocabulaire</w:t>
            </w:r>
            <w:proofErr w:type="spellEnd"/>
            <w:r w:rsidRPr="00A66700">
              <w:rPr>
                <w:b w:val="0"/>
                <w:sz w:val="20"/>
              </w:rPr>
              <w:t xml:space="preserve"> et </w:t>
            </w:r>
            <w:proofErr w:type="spellStart"/>
            <w:r w:rsidRPr="00A66700">
              <w:rPr>
                <w:b w:val="0"/>
                <w:sz w:val="20"/>
              </w:rPr>
              <w:t>sujets</w:t>
            </w:r>
            <w:proofErr w:type="spellEnd"/>
            <w:r w:rsidRPr="00A66700">
              <w:rPr>
                <w:b w:val="0"/>
                <w:sz w:val="20"/>
              </w:rPr>
              <w:t xml:space="preserve"> </w:t>
            </w:r>
            <w:proofErr w:type="spellStart"/>
            <w:r w:rsidRPr="00A66700">
              <w:rPr>
                <w:b w:val="0"/>
                <w:sz w:val="20"/>
              </w:rPr>
              <w:t>associés</w:t>
            </w:r>
            <w:proofErr w:type="spellEnd"/>
          </w:p>
        </w:tc>
      </w:tr>
    </w:tbl>
    <w:p w14:paraId="4334EC81" w14:textId="77777777" w:rsidR="00CE138A" w:rsidRPr="00036EE3" w:rsidRDefault="00CE138A" w:rsidP="00CE138A">
      <w:pPr>
        <w:spacing w:before="0"/>
        <w:jc w:val="center"/>
        <w:rPr>
          <w:sz w:val="20"/>
          <w:lang w:val="en-US"/>
        </w:rPr>
      </w:pPr>
    </w:p>
    <w:p w14:paraId="6061D8B8" w14:textId="77777777" w:rsidR="00CE138A" w:rsidRPr="00036EE3" w:rsidRDefault="00CE138A" w:rsidP="00CE138A">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CE138A" w:rsidRPr="00792698" w14:paraId="0B457272" w14:textId="77777777" w:rsidTr="00825B0A">
        <w:tc>
          <w:tcPr>
            <w:tcW w:w="9360" w:type="dxa"/>
          </w:tcPr>
          <w:p w14:paraId="24C3EC1A" w14:textId="77777777" w:rsidR="00CE138A" w:rsidRPr="00CE138A" w:rsidRDefault="00CE138A" w:rsidP="00825B0A">
            <w:pPr>
              <w:spacing w:before="80" w:after="80"/>
              <w:rPr>
                <w:i/>
                <w:iCs/>
                <w:sz w:val="20"/>
                <w:lang w:val="fr-CH"/>
              </w:rPr>
            </w:pPr>
            <w:proofErr w:type="gramStart"/>
            <w:r w:rsidRPr="00CE138A">
              <w:rPr>
                <w:b/>
                <w:bCs/>
                <w:i/>
                <w:iCs/>
                <w:sz w:val="20"/>
                <w:lang w:val="fr-CH"/>
              </w:rPr>
              <w:t>Note</w:t>
            </w:r>
            <w:r w:rsidRPr="00CE138A">
              <w:rPr>
                <w:i/>
                <w:iCs/>
                <w:sz w:val="20"/>
                <w:lang w:val="fr-CH"/>
              </w:rPr>
              <w:t>:</w:t>
            </w:r>
            <w:proofErr w:type="gramEnd"/>
            <w:r w:rsidRPr="00CE138A">
              <w:rPr>
                <w:i/>
                <w:iCs/>
                <w:sz w:val="20"/>
                <w:lang w:val="fr-CH"/>
              </w:rPr>
              <w:t xml:space="preserve"> Cette Recommandation UIT-R a été approuvée en anglais aux termes de la procédure détaillée dans la Résolution UIT-R 1. </w:t>
            </w:r>
          </w:p>
        </w:tc>
      </w:tr>
    </w:tbl>
    <w:p w14:paraId="02444075" w14:textId="77777777" w:rsidR="00CE138A" w:rsidRPr="00CE138A" w:rsidRDefault="00CE138A" w:rsidP="00CE138A">
      <w:pPr>
        <w:spacing w:before="0"/>
        <w:jc w:val="center"/>
        <w:rPr>
          <w:sz w:val="22"/>
          <w:lang w:val="fr-CH"/>
        </w:rPr>
      </w:pPr>
    </w:p>
    <w:p w14:paraId="0F696F18" w14:textId="77777777" w:rsidR="00CE138A" w:rsidRPr="00CE138A" w:rsidRDefault="00CE138A" w:rsidP="00CE138A">
      <w:pPr>
        <w:spacing w:before="100"/>
        <w:jc w:val="right"/>
        <w:rPr>
          <w:i/>
          <w:iCs/>
          <w:sz w:val="20"/>
          <w:lang w:val="fr-CH"/>
        </w:rPr>
      </w:pPr>
      <w:r w:rsidRPr="00CE138A">
        <w:rPr>
          <w:i/>
          <w:iCs/>
          <w:sz w:val="20"/>
          <w:lang w:val="fr-CH"/>
        </w:rPr>
        <w:t>Publication électronique</w:t>
      </w:r>
    </w:p>
    <w:p w14:paraId="5AD7B41A" w14:textId="372D42D3" w:rsidR="00CE138A" w:rsidRPr="00CE138A" w:rsidRDefault="00CE138A" w:rsidP="00CE138A">
      <w:pPr>
        <w:spacing w:before="0"/>
        <w:jc w:val="right"/>
        <w:rPr>
          <w:sz w:val="20"/>
          <w:lang w:val="fr-CH"/>
        </w:rPr>
      </w:pPr>
      <w:r w:rsidRPr="00CE138A">
        <w:rPr>
          <w:sz w:val="20"/>
          <w:lang w:val="fr-CH"/>
        </w:rPr>
        <w:t>Genève, 202</w:t>
      </w:r>
      <w:r>
        <w:rPr>
          <w:sz w:val="20"/>
          <w:lang w:val="fr-CH"/>
        </w:rPr>
        <w:t>4</w:t>
      </w:r>
    </w:p>
    <w:p w14:paraId="202525C2" w14:textId="02A9BE12" w:rsidR="00CE138A" w:rsidRPr="00CE138A" w:rsidRDefault="00CE138A" w:rsidP="00CE138A">
      <w:pPr>
        <w:spacing w:before="200"/>
        <w:jc w:val="center"/>
        <w:rPr>
          <w:sz w:val="20"/>
          <w:lang w:val="fr-CH"/>
        </w:rPr>
      </w:pPr>
      <w:r w:rsidRPr="00470E28">
        <w:rPr>
          <w:sz w:val="20"/>
          <w:lang w:val="en-US"/>
        </w:rPr>
        <w:sym w:font="Symbol" w:char="F0E3"/>
      </w:r>
      <w:r w:rsidRPr="00CE138A">
        <w:rPr>
          <w:sz w:val="20"/>
          <w:lang w:val="fr-CH"/>
        </w:rPr>
        <w:t xml:space="preserve"> UIT </w:t>
      </w:r>
      <w:bookmarkStart w:id="1" w:name="iiannee"/>
      <w:bookmarkEnd w:id="1"/>
      <w:r w:rsidRPr="00CE138A">
        <w:rPr>
          <w:sz w:val="20"/>
          <w:lang w:val="fr-CH"/>
        </w:rPr>
        <w:t>202</w:t>
      </w:r>
      <w:r>
        <w:rPr>
          <w:sz w:val="20"/>
          <w:lang w:val="fr-CH"/>
        </w:rPr>
        <w:t>4</w:t>
      </w:r>
    </w:p>
    <w:p w14:paraId="4C2654EC" w14:textId="77777777" w:rsidR="00CE138A" w:rsidRPr="00CE138A" w:rsidRDefault="00CE138A" w:rsidP="00CE138A">
      <w:pPr>
        <w:rPr>
          <w:sz w:val="18"/>
          <w:szCs w:val="18"/>
          <w:lang w:val="fr-CH"/>
        </w:rPr>
      </w:pPr>
      <w:r w:rsidRPr="00CE138A">
        <w:rPr>
          <w:sz w:val="18"/>
          <w:szCs w:val="18"/>
          <w:lang w:val="fr-CH"/>
        </w:rPr>
        <w:t>Tous droits réservés. Aucune partie de cette publication ne peut être reproduite, par quelque procédé que ce soit, sans l’accord écrit préalable de l’UIT.</w:t>
      </w:r>
    </w:p>
    <w:p w14:paraId="7594CC94" w14:textId="77777777" w:rsidR="00CE138A" w:rsidRPr="00CE138A" w:rsidRDefault="00CE138A" w:rsidP="00CE138A">
      <w:pPr>
        <w:spacing w:before="160"/>
        <w:rPr>
          <w:i/>
          <w:sz w:val="20"/>
          <w:lang w:val="fr-CH"/>
        </w:rPr>
        <w:sectPr w:rsidR="00CE138A" w:rsidRPr="00CE138A" w:rsidSect="00CE138A">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68794AB7" w14:textId="7DF23878" w:rsidR="00CE138A" w:rsidRPr="00CE138A" w:rsidRDefault="00CE138A" w:rsidP="00792698">
      <w:pPr>
        <w:pStyle w:val="RecNo"/>
        <w:rPr>
          <w:lang w:val="fr-CH"/>
        </w:rPr>
      </w:pPr>
      <w:bookmarkStart w:id="2" w:name="irecnoe"/>
      <w:bookmarkEnd w:id="2"/>
      <w:proofErr w:type="gramStart"/>
      <w:r w:rsidRPr="00792698">
        <w:lastRenderedPageBreak/>
        <w:t>RECOMMANDATION</w:t>
      </w:r>
      <w:r w:rsidRPr="00CE138A">
        <w:rPr>
          <w:lang w:val="fr-CH"/>
        </w:rPr>
        <w:t xml:space="preserve">  </w:t>
      </w:r>
      <w:r w:rsidRPr="00CE138A">
        <w:rPr>
          <w:rStyle w:val="href"/>
          <w:lang w:val="fr-CH"/>
        </w:rPr>
        <w:t>UIT</w:t>
      </w:r>
      <w:proofErr w:type="gramEnd"/>
      <w:r w:rsidRPr="00CE138A">
        <w:rPr>
          <w:rStyle w:val="href"/>
          <w:lang w:val="fr-CH"/>
        </w:rPr>
        <w:t>-R  BT.17</w:t>
      </w:r>
      <w:r w:rsidR="00792698">
        <w:rPr>
          <w:rStyle w:val="href"/>
          <w:lang w:val="fr-CH"/>
        </w:rPr>
        <w:t>75-1</w:t>
      </w:r>
    </w:p>
    <w:p w14:paraId="4BBD4308" w14:textId="3C9A6C25" w:rsidR="00CE138A" w:rsidRPr="00CE138A" w:rsidRDefault="00792698" w:rsidP="00CE138A">
      <w:pPr>
        <w:pStyle w:val="Rectitle"/>
        <w:rPr>
          <w:lang w:val="fr-CH"/>
        </w:rPr>
      </w:pPr>
      <w:r w:rsidRPr="00792698">
        <w:rPr>
          <w:lang w:val="fr-FR"/>
        </w:rPr>
        <w:t>Format de fichier avec fonction de montage pour l'échange de métadonnées, de données audio et vidéo, d'essence de données et de données auxiliaires en radiodiffusion</w:t>
      </w:r>
    </w:p>
    <w:p w14:paraId="728D67D0" w14:textId="77777777" w:rsidR="00792698" w:rsidRPr="00792698" w:rsidRDefault="00792698" w:rsidP="00792698">
      <w:pPr>
        <w:pStyle w:val="Questionref"/>
        <w:rPr>
          <w:i/>
          <w:iCs/>
          <w:lang w:val="fr-CH"/>
        </w:rPr>
      </w:pPr>
      <w:r w:rsidRPr="00792698">
        <w:rPr>
          <w:iCs/>
          <w:lang w:val="fr-CH"/>
        </w:rPr>
        <w:t xml:space="preserve">(Question </w:t>
      </w:r>
      <w:hyperlink r:id="rId13" w:history="1">
        <w:r w:rsidRPr="00792698">
          <w:rPr>
            <w:rStyle w:val="Hyperlink"/>
            <w:iCs/>
            <w:color w:val="auto"/>
            <w:u w:val="none"/>
            <w:lang w:val="fr-CH"/>
          </w:rPr>
          <w:t>UIT-R 34-3/6</w:t>
        </w:r>
      </w:hyperlink>
      <w:r w:rsidRPr="00792698">
        <w:rPr>
          <w:iCs/>
          <w:lang w:val="fr-CH"/>
        </w:rPr>
        <w:t>)</w:t>
      </w:r>
    </w:p>
    <w:p w14:paraId="35D486E2" w14:textId="77777777" w:rsidR="00792698" w:rsidRPr="00792698" w:rsidRDefault="00792698" w:rsidP="00792698">
      <w:pPr>
        <w:pStyle w:val="Recdate"/>
        <w:rPr>
          <w:i/>
          <w:iCs/>
          <w:szCs w:val="22"/>
          <w:lang w:val="fr-CH"/>
        </w:rPr>
      </w:pPr>
      <w:r w:rsidRPr="00792698">
        <w:rPr>
          <w:iCs/>
          <w:szCs w:val="22"/>
          <w:lang w:val="fr-CH"/>
        </w:rPr>
        <w:t>(2006-2023)</w:t>
      </w:r>
    </w:p>
    <w:p w14:paraId="35474A5E" w14:textId="77777777" w:rsidR="00792698" w:rsidRPr="00792698" w:rsidRDefault="00792698" w:rsidP="00792698">
      <w:pPr>
        <w:pStyle w:val="HeadingSum"/>
        <w:rPr>
          <w:lang w:val="fr-CH"/>
        </w:rPr>
      </w:pPr>
      <w:r w:rsidRPr="00792698">
        <w:rPr>
          <w:lang w:val="fr-CH"/>
        </w:rPr>
        <w:t>Domaine d'application</w:t>
      </w:r>
    </w:p>
    <w:p w14:paraId="0AFCCFD1" w14:textId="77777777" w:rsidR="00792698" w:rsidRPr="00792698" w:rsidRDefault="00792698" w:rsidP="00792698">
      <w:pPr>
        <w:pStyle w:val="Summary"/>
        <w:rPr>
          <w:lang w:val="fr-CH"/>
        </w:rPr>
      </w:pPr>
      <w:r w:rsidRPr="00792698">
        <w:rPr>
          <w:lang w:val="fr-CH"/>
        </w:rPr>
        <w:t>La présente Recommandation définit le format de fichier à utiliser dans le domaine de la radiodiffusion. Ce format de fichier peut être monté, transmis en continu en temps réel ou en temps non réel et est indépendant des formats d'image et de la compression vidéo.</w:t>
      </w:r>
    </w:p>
    <w:p w14:paraId="1FBD4C56" w14:textId="77777777" w:rsidR="00792698" w:rsidRPr="00792698" w:rsidRDefault="00792698" w:rsidP="00792698">
      <w:pPr>
        <w:pStyle w:val="Normalaftertitle"/>
        <w:rPr>
          <w:lang w:val="fr-CH"/>
        </w:rPr>
      </w:pPr>
      <w:r w:rsidRPr="00792698">
        <w:rPr>
          <w:lang w:val="fr-CH"/>
        </w:rPr>
        <w:t>L'Assemblée des radiocommunications de l'UIT,</w:t>
      </w:r>
    </w:p>
    <w:p w14:paraId="3C2636B1" w14:textId="77777777" w:rsidR="00792698" w:rsidRPr="00792698" w:rsidRDefault="00792698" w:rsidP="00792698">
      <w:pPr>
        <w:pStyle w:val="Call"/>
        <w:rPr>
          <w:lang w:val="fr-CH"/>
        </w:rPr>
      </w:pPr>
      <w:proofErr w:type="gramStart"/>
      <w:r w:rsidRPr="00792698">
        <w:rPr>
          <w:lang w:val="fr-CH"/>
        </w:rPr>
        <w:t>considérant</w:t>
      </w:r>
      <w:proofErr w:type="gramEnd"/>
    </w:p>
    <w:p w14:paraId="210CE7AA" w14:textId="77777777" w:rsidR="00792698" w:rsidRPr="00792698" w:rsidRDefault="00792698" w:rsidP="00792698">
      <w:pPr>
        <w:rPr>
          <w:lang w:val="fr-CH"/>
        </w:rPr>
      </w:pPr>
      <w:r w:rsidRPr="00792698">
        <w:rPr>
          <w:i/>
          <w:iCs/>
          <w:lang w:val="fr-CH"/>
        </w:rPr>
        <w:t>a)</w:t>
      </w:r>
      <w:r w:rsidRPr="00792698">
        <w:rPr>
          <w:lang w:val="fr-CH"/>
        </w:rPr>
        <w:tab/>
        <w:t xml:space="preserve">que les systèmes de stockage sur supports informatiques, y compris les disques et les bandes de données, sont utilisés dans tous les domaines de la télévision </w:t>
      </w:r>
      <w:proofErr w:type="gramStart"/>
      <w:r w:rsidRPr="00792698">
        <w:rPr>
          <w:lang w:val="fr-CH"/>
        </w:rPr>
        <w:t>professionnelle:</w:t>
      </w:r>
      <w:proofErr w:type="gramEnd"/>
      <w:r w:rsidRPr="00792698">
        <w:rPr>
          <w:lang w:val="fr-CH"/>
        </w:rPr>
        <w:t xml:space="preserve"> production, montage non linéaire, reproduction, post-production, production décentralisée, archivage, contribution et distribution;</w:t>
      </w:r>
    </w:p>
    <w:p w14:paraId="0720238D" w14:textId="77777777" w:rsidR="00792698" w:rsidRPr="00792698" w:rsidRDefault="00792698" w:rsidP="00792698">
      <w:pPr>
        <w:rPr>
          <w:lang w:val="fr-CH"/>
        </w:rPr>
      </w:pPr>
      <w:r w:rsidRPr="00792698">
        <w:rPr>
          <w:i/>
          <w:iCs/>
          <w:lang w:val="fr-CH"/>
        </w:rPr>
        <w:t>b)</w:t>
      </w:r>
      <w:r w:rsidRPr="00792698">
        <w:rPr>
          <w:lang w:val="fr-CH"/>
        </w:rPr>
        <w:tab/>
        <w:t xml:space="preserve">que, dans le domaine de la production TV, il y a désormais de plus en plus de systèmes issus de l'informatique, par exemple des réseaux et des </w:t>
      </w:r>
      <w:proofErr w:type="gramStart"/>
      <w:r w:rsidRPr="00792698">
        <w:rPr>
          <w:lang w:val="fr-CH"/>
        </w:rPr>
        <w:t>serveurs;</w:t>
      </w:r>
      <w:proofErr w:type="gramEnd"/>
    </w:p>
    <w:p w14:paraId="770093F0" w14:textId="77777777" w:rsidR="00792698" w:rsidRPr="00792698" w:rsidRDefault="00792698" w:rsidP="00792698">
      <w:pPr>
        <w:rPr>
          <w:lang w:val="fr-CH"/>
        </w:rPr>
      </w:pPr>
      <w:r w:rsidRPr="00792698">
        <w:rPr>
          <w:i/>
          <w:iCs/>
          <w:lang w:val="fr-CH"/>
        </w:rPr>
        <w:t>c)</w:t>
      </w:r>
      <w:r w:rsidRPr="00792698">
        <w:rPr>
          <w:lang w:val="fr-CH"/>
        </w:rPr>
        <w:tab/>
        <w:t xml:space="preserve">que des applications de contribution et de distribution pour la radiodiffusion télévisuelle sont actuellement mises en œuvre sur la base de plates-formes logicielles traitant le contenu (métadonnées, données audio et vidéo, essence de données et données auxiliaires) sous forme de </w:t>
      </w:r>
      <w:proofErr w:type="gramStart"/>
      <w:r w:rsidRPr="00792698">
        <w:rPr>
          <w:lang w:val="fr-CH"/>
        </w:rPr>
        <w:t>fichiers;</w:t>
      </w:r>
      <w:proofErr w:type="gramEnd"/>
    </w:p>
    <w:p w14:paraId="6C385579" w14:textId="77777777" w:rsidR="00792698" w:rsidRPr="00792698" w:rsidRDefault="00792698" w:rsidP="00792698">
      <w:pPr>
        <w:rPr>
          <w:lang w:val="fr-CH"/>
        </w:rPr>
      </w:pPr>
      <w:r w:rsidRPr="00792698">
        <w:rPr>
          <w:i/>
          <w:iCs/>
          <w:lang w:val="fr-CH"/>
        </w:rPr>
        <w:t>d)</w:t>
      </w:r>
      <w:r w:rsidRPr="00792698">
        <w:rPr>
          <w:lang w:val="fr-CH"/>
        </w:rPr>
        <w:tab/>
        <w:t xml:space="preserve">que l'échange de fichiers n'entraîne pas de dégradation supplémentaire de la qualité de l'image ou du son si, par exemple, la compression audio et vidéo dans le corps du fichier est transférée dans sa forme originale </w:t>
      </w:r>
      <w:proofErr w:type="gramStart"/>
      <w:r w:rsidRPr="00792698">
        <w:rPr>
          <w:lang w:val="fr-CH"/>
        </w:rPr>
        <w:t>comprimée;</w:t>
      </w:r>
      <w:proofErr w:type="gramEnd"/>
    </w:p>
    <w:p w14:paraId="4833E364" w14:textId="77777777" w:rsidR="00792698" w:rsidRPr="00792698" w:rsidRDefault="00792698" w:rsidP="00792698">
      <w:pPr>
        <w:rPr>
          <w:lang w:val="fr-CH"/>
        </w:rPr>
      </w:pPr>
      <w:r w:rsidRPr="00792698">
        <w:rPr>
          <w:i/>
          <w:iCs/>
          <w:lang w:val="fr-CH"/>
        </w:rPr>
        <w:t>e)</w:t>
      </w:r>
      <w:r w:rsidRPr="00792698">
        <w:rPr>
          <w:lang w:val="fr-CH"/>
        </w:rPr>
        <w:tab/>
        <w:t xml:space="preserve">que l'échange de fichiers peut être adapté facilement à la largeur de bande du canal disponible de façon que l'utilisateur puisse trouver un bon compromis entre largeur de bande de transfert et temps de </w:t>
      </w:r>
      <w:proofErr w:type="gramStart"/>
      <w:r w:rsidRPr="00792698">
        <w:rPr>
          <w:lang w:val="fr-CH"/>
        </w:rPr>
        <w:t>transfert;</w:t>
      </w:r>
      <w:proofErr w:type="gramEnd"/>
    </w:p>
    <w:p w14:paraId="09A7447B" w14:textId="77777777" w:rsidR="00792698" w:rsidRPr="00792698" w:rsidRDefault="00792698" w:rsidP="00792698">
      <w:pPr>
        <w:rPr>
          <w:lang w:val="fr-CH"/>
        </w:rPr>
      </w:pPr>
      <w:r w:rsidRPr="00792698">
        <w:rPr>
          <w:i/>
          <w:iCs/>
          <w:lang w:val="fr-CH"/>
        </w:rPr>
        <w:t>f)</w:t>
      </w:r>
      <w:r w:rsidRPr="00792698">
        <w:rPr>
          <w:lang w:val="fr-CH"/>
        </w:rPr>
        <w:tab/>
        <w:t xml:space="preserve">que les télédiffuseurs recherchent un système interopérable et harmonisé pour le transport de métadonnées, de données audio et vidéo, d'essence de données et de données auxiliaires dans un fichier </w:t>
      </w:r>
      <w:proofErr w:type="gramStart"/>
      <w:r w:rsidRPr="00792698">
        <w:rPr>
          <w:lang w:val="fr-CH"/>
        </w:rPr>
        <w:t>commun;</w:t>
      </w:r>
      <w:proofErr w:type="gramEnd"/>
    </w:p>
    <w:p w14:paraId="70FACB4B" w14:textId="77777777" w:rsidR="00792698" w:rsidRPr="00792698" w:rsidRDefault="00792698" w:rsidP="00792698">
      <w:pPr>
        <w:rPr>
          <w:lang w:val="fr-CH"/>
        </w:rPr>
      </w:pPr>
      <w:r w:rsidRPr="00792698">
        <w:rPr>
          <w:i/>
          <w:iCs/>
          <w:lang w:val="fr-CH"/>
        </w:rPr>
        <w:t>g)</w:t>
      </w:r>
      <w:r w:rsidRPr="00792698">
        <w:rPr>
          <w:lang w:val="fr-CH"/>
        </w:rPr>
        <w:tab/>
        <w:t xml:space="preserve">que les métadonnées, les données audio et vidéo, l'essence de données ainsi que les données auxiliaires peuvent être stockées et transférées sous forme de fichiers indépendants en prévision d'une synchronisation </w:t>
      </w:r>
      <w:proofErr w:type="gramStart"/>
      <w:r w:rsidRPr="00792698">
        <w:rPr>
          <w:lang w:val="fr-CH"/>
        </w:rPr>
        <w:t>ultérieure;</w:t>
      </w:r>
      <w:proofErr w:type="gramEnd"/>
    </w:p>
    <w:p w14:paraId="6055E751" w14:textId="77777777" w:rsidR="00792698" w:rsidRPr="00792698" w:rsidRDefault="00792698" w:rsidP="00792698">
      <w:pPr>
        <w:rPr>
          <w:lang w:val="fr-CH"/>
        </w:rPr>
      </w:pPr>
      <w:r w:rsidRPr="00792698">
        <w:rPr>
          <w:i/>
          <w:iCs/>
          <w:lang w:val="fr-CH"/>
        </w:rPr>
        <w:t>h)</w:t>
      </w:r>
      <w:r w:rsidRPr="00792698">
        <w:rPr>
          <w:lang w:val="fr-CH"/>
        </w:rPr>
        <w:tab/>
        <w:t xml:space="preserve">que des systèmes peuvent être construits avec des équipements informatiques génériques, ce qui présente des avantages économiques supplémentaires pour l'ensemble du </w:t>
      </w:r>
      <w:proofErr w:type="gramStart"/>
      <w:r w:rsidRPr="00792698">
        <w:rPr>
          <w:lang w:val="fr-CH"/>
        </w:rPr>
        <w:t>système;</w:t>
      </w:r>
      <w:proofErr w:type="gramEnd"/>
    </w:p>
    <w:p w14:paraId="5A97FDFE" w14:textId="77777777" w:rsidR="00792698" w:rsidRPr="00792698" w:rsidRDefault="00792698" w:rsidP="00792698">
      <w:pPr>
        <w:rPr>
          <w:lang w:val="fr-CH"/>
        </w:rPr>
      </w:pPr>
      <w:r w:rsidRPr="00792698">
        <w:rPr>
          <w:i/>
          <w:iCs/>
          <w:lang w:val="fr-CH"/>
        </w:rPr>
        <w:t>i)</w:t>
      </w:r>
      <w:r w:rsidRPr="00792698">
        <w:rPr>
          <w:lang w:val="fr-CH"/>
        </w:rPr>
        <w:tab/>
        <w:t xml:space="preserve">que la technologie en matière de formats de fichiers et d'échange de fichiers offre d'importants avantages en termes de souplesse d'exploitation, de flux de production, d'automatisation des stations et </w:t>
      </w:r>
      <w:proofErr w:type="gramStart"/>
      <w:r w:rsidRPr="00792698">
        <w:rPr>
          <w:lang w:val="fr-CH"/>
        </w:rPr>
        <w:t>d'économie;</w:t>
      </w:r>
      <w:proofErr w:type="gramEnd"/>
    </w:p>
    <w:p w14:paraId="13F7E4E0" w14:textId="77777777" w:rsidR="00792698" w:rsidRPr="00792698" w:rsidRDefault="00792698" w:rsidP="00792698">
      <w:pPr>
        <w:rPr>
          <w:lang w:val="fr-CH"/>
        </w:rPr>
      </w:pPr>
      <w:r w:rsidRPr="00792698">
        <w:rPr>
          <w:i/>
          <w:iCs/>
          <w:lang w:val="fr-CH"/>
        </w:rPr>
        <w:lastRenderedPageBreak/>
        <w:t>j)</w:t>
      </w:r>
      <w:r w:rsidRPr="00792698">
        <w:rPr>
          <w:lang w:val="fr-CH"/>
        </w:rPr>
        <w:tab/>
        <w:t xml:space="preserve">que les télédiffuseurs de nombreuses administrations souhaitent disposer de stratégies de transfert des systèmes d'enregistrement sur magnétoscope pour la production, la post production et l'archivage à un système de fichiers doté de fonctionnalités en temps réel et en temps non </w:t>
      </w:r>
      <w:proofErr w:type="gramStart"/>
      <w:r w:rsidRPr="00792698">
        <w:rPr>
          <w:lang w:val="fr-CH"/>
        </w:rPr>
        <w:t>réel;</w:t>
      </w:r>
      <w:proofErr w:type="gramEnd"/>
    </w:p>
    <w:p w14:paraId="2814128F" w14:textId="77777777" w:rsidR="00792698" w:rsidRPr="00792698" w:rsidRDefault="00792698" w:rsidP="00792698">
      <w:pPr>
        <w:rPr>
          <w:lang w:val="fr-CH"/>
        </w:rPr>
      </w:pPr>
      <w:r w:rsidRPr="00792698">
        <w:rPr>
          <w:i/>
          <w:iCs/>
          <w:lang w:val="fr-CH"/>
        </w:rPr>
        <w:t>k)</w:t>
      </w:r>
      <w:r w:rsidRPr="00792698">
        <w:rPr>
          <w:lang w:val="fr-CH"/>
        </w:rPr>
        <w:tab/>
        <w:t xml:space="preserve">que les opérations d'échange entre les radiodiffuseurs et leurs fournisseurs ou leurs agences spécialisées reposent sur des formats de </w:t>
      </w:r>
      <w:proofErr w:type="gramStart"/>
      <w:r w:rsidRPr="00792698">
        <w:rPr>
          <w:lang w:val="fr-CH"/>
        </w:rPr>
        <w:t>fichiers;</w:t>
      </w:r>
      <w:proofErr w:type="gramEnd"/>
    </w:p>
    <w:p w14:paraId="2518BFBC" w14:textId="77777777" w:rsidR="00792698" w:rsidRPr="00792698" w:rsidRDefault="00792698" w:rsidP="00792698">
      <w:pPr>
        <w:rPr>
          <w:lang w:val="fr-CH"/>
        </w:rPr>
      </w:pPr>
      <w:r w:rsidRPr="00792698">
        <w:rPr>
          <w:i/>
          <w:iCs/>
          <w:lang w:val="fr-CH"/>
        </w:rPr>
        <w:t>l)</w:t>
      </w:r>
      <w:r w:rsidRPr="00792698">
        <w:rPr>
          <w:lang w:val="fr-CH"/>
        </w:rPr>
        <w:tab/>
        <w:t xml:space="preserve">que la terminologie et les spécifications relatives à l'échange de métadonnées, de données audio et vidéo, d'essence de données et de données auxiliaires ont été définies dans une série de normes apparentées par la SMPTE et sont désormais largement acceptées par les professionnels de la radiodiffusion et les entreprises </w:t>
      </w:r>
      <w:proofErr w:type="gramStart"/>
      <w:r w:rsidRPr="00792698">
        <w:rPr>
          <w:lang w:val="fr-CH"/>
        </w:rPr>
        <w:t>connexes;</w:t>
      </w:r>
      <w:proofErr w:type="gramEnd"/>
    </w:p>
    <w:p w14:paraId="41804339" w14:textId="77777777" w:rsidR="00792698" w:rsidRPr="00792698" w:rsidRDefault="00792698" w:rsidP="00792698">
      <w:pPr>
        <w:rPr>
          <w:lang w:val="fr-CH"/>
        </w:rPr>
      </w:pPr>
      <w:r w:rsidRPr="00792698">
        <w:rPr>
          <w:i/>
          <w:iCs/>
          <w:lang w:val="fr-CH"/>
        </w:rPr>
        <w:t>m)</w:t>
      </w:r>
      <w:r w:rsidRPr="00792698">
        <w:rPr>
          <w:lang w:val="fr-CH"/>
        </w:rPr>
        <w:tab/>
        <w:t xml:space="preserve">que des constructeurs d'équipements de radiodiffusion télévisuelle et des concepteurs de logiciels ont mis au point une série de mises en œuvre pour permettre l'échange souple et extensible de fichiers contenant des métadonnées, des données audio et vidéo, de l'essence de données et des données </w:t>
      </w:r>
      <w:proofErr w:type="gramStart"/>
      <w:r w:rsidRPr="00792698">
        <w:rPr>
          <w:lang w:val="fr-CH"/>
        </w:rPr>
        <w:t>auxiliaires;</w:t>
      </w:r>
      <w:proofErr w:type="gramEnd"/>
    </w:p>
    <w:p w14:paraId="709FB6D3" w14:textId="77777777" w:rsidR="00792698" w:rsidRPr="00792698" w:rsidRDefault="00792698" w:rsidP="00792698">
      <w:pPr>
        <w:rPr>
          <w:lang w:val="fr-CH"/>
        </w:rPr>
      </w:pPr>
      <w:r w:rsidRPr="00792698">
        <w:rPr>
          <w:i/>
          <w:iCs/>
          <w:lang w:val="fr-CH"/>
        </w:rPr>
        <w:t>n)</w:t>
      </w:r>
      <w:r w:rsidRPr="00792698">
        <w:rPr>
          <w:lang w:val="fr-CH"/>
        </w:rPr>
        <w:tab/>
        <w:t>que le développement de ces normes applicables aux formats de fichiers se poursuit,</w:t>
      </w:r>
    </w:p>
    <w:p w14:paraId="3A35A3AE" w14:textId="77777777" w:rsidR="00792698" w:rsidRPr="00792698" w:rsidRDefault="00792698" w:rsidP="00792698">
      <w:pPr>
        <w:pStyle w:val="Call"/>
        <w:rPr>
          <w:lang w:val="fr-CH"/>
        </w:rPr>
      </w:pPr>
      <w:proofErr w:type="gramStart"/>
      <w:r w:rsidRPr="00792698">
        <w:rPr>
          <w:lang w:val="fr-CH"/>
        </w:rPr>
        <w:t>recommande</w:t>
      </w:r>
      <w:proofErr w:type="gramEnd"/>
    </w:p>
    <w:p w14:paraId="36D51AC2" w14:textId="77777777" w:rsidR="00792698" w:rsidRPr="00792698" w:rsidRDefault="00792698" w:rsidP="00792698">
      <w:pPr>
        <w:rPr>
          <w:lang w:val="fr-CH"/>
        </w:rPr>
      </w:pPr>
      <w:r w:rsidRPr="00792698">
        <w:rPr>
          <w:lang w:val="fr-CH"/>
        </w:rPr>
        <w:t>1</w:t>
      </w:r>
      <w:r w:rsidRPr="00792698">
        <w:rPr>
          <w:lang w:val="fr-CH"/>
        </w:rPr>
        <w:tab/>
        <w:t xml:space="preserve">que la spécification des formats de fichiers éditables à utiliser en radiodiffusion soit conforme au format de fichier décrit dans l'Annexe </w:t>
      </w:r>
      <w:proofErr w:type="gramStart"/>
      <w:r w:rsidRPr="00792698">
        <w:rPr>
          <w:lang w:val="fr-CH"/>
        </w:rPr>
        <w:t>1;</w:t>
      </w:r>
      <w:proofErr w:type="gramEnd"/>
    </w:p>
    <w:p w14:paraId="2870686F" w14:textId="77777777" w:rsidR="00792698" w:rsidRPr="00792698" w:rsidRDefault="00792698" w:rsidP="00792698">
      <w:pPr>
        <w:rPr>
          <w:lang w:val="fr-CH"/>
        </w:rPr>
      </w:pPr>
      <w:r w:rsidRPr="00792698">
        <w:rPr>
          <w:lang w:val="fr-CH"/>
        </w:rPr>
        <w:t>2</w:t>
      </w:r>
      <w:r w:rsidRPr="00792698">
        <w:rPr>
          <w:lang w:val="fr-CH"/>
        </w:rPr>
        <w:tab/>
        <w:t xml:space="preserve">que la spécification relative au conteneur générique soit conforme au conteneur générique décrit dans l'Annexe </w:t>
      </w:r>
      <w:proofErr w:type="gramStart"/>
      <w:r w:rsidRPr="00792698">
        <w:rPr>
          <w:lang w:val="fr-CH"/>
        </w:rPr>
        <w:t>2;</w:t>
      </w:r>
      <w:proofErr w:type="gramEnd"/>
    </w:p>
    <w:p w14:paraId="7B6329A3" w14:textId="77777777" w:rsidR="00792698" w:rsidRPr="00792698" w:rsidRDefault="00792698" w:rsidP="00792698">
      <w:pPr>
        <w:rPr>
          <w:lang w:val="fr-CH"/>
        </w:rPr>
      </w:pPr>
      <w:r w:rsidRPr="00792698">
        <w:rPr>
          <w:lang w:val="fr-CH"/>
        </w:rPr>
        <w:t>3</w:t>
      </w:r>
      <w:r w:rsidRPr="00792698">
        <w:rPr>
          <w:lang w:val="fr-CH"/>
        </w:rPr>
        <w:tab/>
        <w:t>que les métadonnées intégrées obscures ne dégradent pas ou n'améliorent pas l'interopérabilité ou la qualité de fonctionnement d'un décodeur MXF</w:t>
      </w:r>
      <w:r w:rsidRPr="00E84B1B">
        <w:rPr>
          <w:rStyle w:val="FootnoteReference"/>
        </w:rPr>
        <w:footnoteReference w:id="1"/>
      </w:r>
      <w:r w:rsidRPr="00792698">
        <w:rPr>
          <w:lang w:val="fr-CH"/>
        </w:rPr>
        <w:t>.</w:t>
      </w:r>
    </w:p>
    <w:p w14:paraId="26413EB7" w14:textId="68667488" w:rsidR="00792698" w:rsidRDefault="00792698" w:rsidP="00792698">
      <w:pPr>
        <w:rPr>
          <w:lang w:val="fr-CH"/>
        </w:rPr>
      </w:pPr>
    </w:p>
    <w:p w14:paraId="5DAAA022" w14:textId="77777777" w:rsidR="00213AFA" w:rsidRPr="00792698" w:rsidRDefault="00213AFA" w:rsidP="00792698">
      <w:pPr>
        <w:rPr>
          <w:lang w:val="fr-CH"/>
        </w:rPr>
      </w:pPr>
    </w:p>
    <w:p w14:paraId="300FA68F" w14:textId="77777777" w:rsidR="00792698" w:rsidRPr="00792698" w:rsidRDefault="00792698" w:rsidP="00792698">
      <w:pPr>
        <w:pStyle w:val="AnnexNoTitle"/>
        <w:rPr>
          <w:lang w:val="fr-CH"/>
        </w:rPr>
      </w:pPr>
      <w:r w:rsidRPr="00792698">
        <w:rPr>
          <w:lang w:val="fr-CH"/>
        </w:rPr>
        <w:t>Annexe 1</w:t>
      </w:r>
      <w:r w:rsidRPr="00792698">
        <w:rPr>
          <w:lang w:val="fr-CH"/>
        </w:rPr>
        <w:br/>
      </w:r>
      <w:r w:rsidRPr="00792698">
        <w:rPr>
          <w:lang w:val="fr-CH"/>
        </w:rPr>
        <w:br/>
        <w:t>Norme SMPTE ST 377-</w:t>
      </w:r>
      <w:proofErr w:type="gramStart"/>
      <w:r w:rsidRPr="00792698">
        <w:rPr>
          <w:lang w:val="fr-CH"/>
        </w:rPr>
        <w:t>1:</w:t>
      </w:r>
      <w:proofErr w:type="gramEnd"/>
      <w:r w:rsidRPr="00792698">
        <w:rPr>
          <w:lang w:val="fr-CH"/>
        </w:rPr>
        <w:t>2019</w:t>
      </w:r>
      <w:r w:rsidRPr="00E84B1B">
        <w:rPr>
          <w:rStyle w:val="FootnoteReference"/>
        </w:rPr>
        <w:footnoteReference w:id="2"/>
      </w:r>
    </w:p>
    <w:p w14:paraId="637578A4" w14:textId="77777777" w:rsidR="00792698" w:rsidRPr="00792698" w:rsidRDefault="00792698" w:rsidP="00792698">
      <w:pPr>
        <w:pStyle w:val="AnnexNoTitle"/>
        <w:rPr>
          <w:b w:val="0"/>
          <w:bCs/>
          <w:lang w:val="fr-CH"/>
        </w:rPr>
      </w:pPr>
      <w:r w:rsidRPr="00792698">
        <w:rPr>
          <w:b w:val="0"/>
          <w:bCs/>
          <w:lang w:val="fr-CH"/>
        </w:rPr>
        <w:t>FORMAT D'ÉCHANGE DE DONNÉES (MXF)</w:t>
      </w:r>
      <w:r w:rsidRPr="00792698">
        <w:rPr>
          <w:b w:val="0"/>
          <w:bCs/>
          <w:lang w:val="fr-CH"/>
        </w:rPr>
        <w:br/>
        <w:t>SPÉCIFICATION DU FORMAT DE FICHIER</w:t>
      </w:r>
    </w:p>
    <w:p w14:paraId="2CA20A5D" w14:textId="77777777" w:rsidR="00792698" w:rsidRPr="00792698" w:rsidRDefault="00792698" w:rsidP="00792698">
      <w:pPr>
        <w:pStyle w:val="Headingb"/>
        <w:rPr>
          <w:lang w:val="fr-CH"/>
        </w:rPr>
      </w:pPr>
      <w:r w:rsidRPr="00792698">
        <w:rPr>
          <w:lang w:val="fr-CH"/>
        </w:rPr>
        <w:t>Résumé</w:t>
      </w:r>
    </w:p>
    <w:p w14:paraId="5F746301" w14:textId="77777777" w:rsidR="00792698" w:rsidRPr="00792698" w:rsidRDefault="00792698" w:rsidP="00792698">
      <w:pPr>
        <w:rPr>
          <w:lang w:val="fr-CH"/>
        </w:rPr>
      </w:pPr>
      <w:r w:rsidRPr="00792698">
        <w:rPr>
          <w:lang w:val="fr-CH"/>
        </w:rPr>
        <w:t>Cette norme définit la structure des données du format d'échange de données (MXF) pour l'échange de programmes audiovisuels. Elle définit la structure des données pour le transport de réseaux et peut être utilisée sur des supports de stockage. Elle ne définit pas les formats de stockage interne pour les dispositifs conformes à la norme MXF.</w:t>
      </w:r>
    </w:p>
    <w:p w14:paraId="0F0719AC" w14:textId="77777777" w:rsidR="00792698" w:rsidRPr="00792698" w:rsidRDefault="00792698" w:rsidP="00792698">
      <w:pPr>
        <w:rPr>
          <w:lang w:val="fr-CH"/>
        </w:rPr>
      </w:pPr>
      <w:r w:rsidRPr="00792698">
        <w:rPr>
          <w:lang w:val="fr-CH"/>
        </w:rPr>
        <w:lastRenderedPageBreak/>
        <w:t>La norme définit tous les éléments de la spécification de fichier MXF, y compris tous ceux qui se trouvent dans l'en-tête du fichier, le corps du fichier et dans le cadre de bas de page du fichier. Elle définit l'application de partitions dans le fichier, qui offre des fonctions utiles telles que la possibilité pour un fichier MXF de répondre aux besoins de nombreuses applications et de récupérer des fichiers reçus en partie seulement. La norme définit également des fonctions essentielles de la structure du fichier, notamment les paquets de partition, les métadonnées structurelles, le paquet du préambule, le paquet de l'index aléatoire et les tables d'index.</w:t>
      </w:r>
    </w:p>
    <w:p w14:paraId="1E709C13" w14:textId="77777777" w:rsidR="00792698" w:rsidRPr="00792698" w:rsidRDefault="00792698" w:rsidP="00792698">
      <w:pPr>
        <w:rPr>
          <w:lang w:val="fr-CH"/>
        </w:rPr>
      </w:pPr>
      <w:r w:rsidRPr="00792698">
        <w:rPr>
          <w:lang w:val="fr-CH"/>
        </w:rPr>
        <w:t>La norme ne définit ni le conteneur d'essence, ni les métadonnées descriptives, mais expose les spécifications applicables à ces éléments à ajouter comme module d'extension à un fichier MXF.</w:t>
      </w:r>
    </w:p>
    <w:p w14:paraId="61204E68" w14:textId="77777777" w:rsidR="00792698" w:rsidRPr="00792698" w:rsidRDefault="00792698" w:rsidP="00792698">
      <w:pPr>
        <w:jc w:val="left"/>
        <w:rPr>
          <w:lang w:val="fr-CH"/>
        </w:rPr>
      </w:pPr>
      <w:r w:rsidRPr="00792698">
        <w:rPr>
          <w:lang w:val="fr-CH"/>
        </w:rPr>
        <w:t>La norme SMPTE ST 377-</w:t>
      </w:r>
      <w:proofErr w:type="gramStart"/>
      <w:r w:rsidRPr="00792698">
        <w:rPr>
          <w:lang w:val="fr-CH"/>
        </w:rPr>
        <w:t>1:</w:t>
      </w:r>
      <w:proofErr w:type="gramEnd"/>
      <w:r w:rsidRPr="00792698">
        <w:rPr>
          <w:lang w:val="fr-CH"/>
        </w:rPr>
        <w:t xml:space="preserve">2019 peut être téléchargée à l'adresse: </w:t>
      </w:r>
      <w:hyperlink r:id="rId14" w:history="1">
        <w:r w:rsidRPr="00792698">
          <w:rPr>
            <w:rStyle w:val="Hyperlink"/>
            <w:lang w:val="fr-CH"/>
          </w:rPr>
          <w:t>https://ieeexplore.ieee.org/document/8984681</w:t>
        </w:r>
      </w:hyperlink>
      <w:r w:rsidRPr="00792698">
        <w:rPr>
          <w:lang w:val="fr-CH"/>
        </w:rPr>
        <w:t>.</w:t>
      </w:r>
    </w:p>
    <w:p w14:paraId="2F6CCCE4" w14:textId="19263A71" w:rsidR="00792698" w:rsidRDefault="00792698" w:rsidP="00792698">
      <w:pPr>
        <w:rPr>
          <w:lang w:val="fr-CH"/>
        </w:rPr>
      </w:pPr>
    </w:p>
    <w:p w14:paraId="73997CC3" w14:textId="77777777" w:rsidR="00213AFA" w:rsidRPr="00792698" w:rsidRDefault="00213AFA" w:rsidP="00792698">
      <w:pPr>
        <w:rPr>
          <w:lang w:val="fr-CH"/>
        </w:rPr>
      </w:pPr>
    </w:p>
    <w:p w14:paraId="7BFD09E3" w14:textId="77777777" w:rsidR="00792698" w:rsidRPr="00792698" w:rsidRDefault="00792698" w:rsidP="00792698">
      <w:pPr>
        <w:pStyle w:val="AnnexNoTitle"/>
        <w:rPr>
          <w:lang w:val="fr-CH"/>
        </w:rPr>
      </w:pPr>
      <w:r w:rsidRPr="00792698">
        <w:rPr>
          <w:lang w:val="fr-CH"/>
        </w:rPr>
        <w:t>Annexe 2</w:t>
      </w:r>
      <w:r w:rsidRPr="00792698">
        <w:rPr>
          <w:lang w:val="fr-CH"/>
        </w:rPr>
        <w:br/>
      </w:r>
      <w:r w:rsidRPr="00792698">
        <w:rPr>
          <w:lang w:val="fr-CH"/>
        </w:rPr>
        <w:br/>
        <w:t>Norme SMPTE ST 379-</w:t>
      </w:r>
      <w:proofErr w:type="gramStart"/>
      <w:r w:rsidRPr="00792698">
        <w:rPr>
          <w:lang w:val="fr-CH"/>
        </w:rPr>
        <w:t>2:</w:t>
      </w:r>
      <w:proofErr w:type="gramEnd"/>
      <w:r w:rsidRPr="00792698">
        <w:rPr>
          <w:lang w:val="fr-CH"/>
        </w:rPr>
        <w:t>2010</w:t>
      </w:r>
    </w:p>
    <w:p w14:paraId="3571391C" w14:textId="77777777" w:rsidR="00792698" w:rsidRPr="00792698" w:rsidRDefault="00792698" w:rsidP="00792698">
      <w:pPr>
        <w:pStyle w:val="AnnexNoTitle"/>
        <w:rPr>
          <w:b w:val="0"/>
          <w:bCs/>
          <w:lang w:val="fr-CH"/>
        </w:rPr>
      </w:pPr>
      <w:r w:rsidRPr="00792698">
        <w:rPr>
          <w:b w:val="0"/>
          <w:bCs/>
          <w:lang w:val="fr-CH"/>
        </w:rPr>
        <w:t>FORMAT D'ÉCHANGE DE FICHIERS (MXF)</w:t>
      </w:r>
      <w:r w:rsidRPr="00792698">
        <w:rPr>
          <w:b w:val="0"/>
          <w:bCs/>
          <w:lang w:val="fr-CH"/>
        </w:rPr>
        <w:br/>
        <w:t>CONTENEUR GÉNÉRIQUE MXF</w:t>
      </w:r>
    </w:p>
    <w:p w14:paraId="53A8B386" w14:textId="77777777" w:rsidR="00792698" w:rsidRPr="00792698" w:rsidRDefault="00792698" w:rsidP="00792698">
      <w:pPr>
        <w:pStyle w:val="Headingb"/>
        <w:rPr>
          <w:lang w:val="fr-CH"/>
        </w:rPr>
      </w:pPr>
      <w:r w:rsidRPr="00792698">
        <w:rPr>
          <w:lang w:val="fr-CH"/>
        </w:rPr>
        <w:t>Résumé</w:t>
      </w:r>
    </w:p>
    <w:p w14:paraId="09FBF90B" w14:textId="77777777" w:rsidR="00792698" w:rsidRPr="00792698" w:rsidRDefault="00792698" w:rsidP="00792698">
      <w:pPr>
        <w:rPr>
          <w:lang w:val="fr-CH"/>
        </w:rPr>
      </w:pPr>
      <w:r w:rsidRPr="00792698">
        <w:rPr>
          <w:lang w:val="fr-CH"/>
        </w:rPr>
        <w:t>Cette norme spécifie de nombreuses améliorations par rapport à la norme SMPTE 379-1. Elle spécifie aussi le format du conteneur générique MXF. Le conteneur générique MXF est le conteneur d'essence d'origine du corps du fichier du format d'échange de fichiers (MXF). Le conteneur générique MXF est défini aux fins de l'échange de documents audiovisuels pouvant être transmis en flux continu.</w:t>
      </w:r>
    </w:p>
    <w:p w14:paraId="228DDAE9" w14:textId="77777777" w:rsidR="00792698" w:rsidRPr="00792698" w:rsidRDefault="00792698" w:rsidP="00792698">
      <w:pPr>
        <w:rPr>
          <w:lang w:val="fr-CH"/>
        </w:rPr>
      </w:pPr>
      <w:r w:rsidRPr="00792698">
        <w:rPr>
          <w:lang w:val="fr-CH"/>
        </w:rPr>
        <w:t>Cette norme définit la structure des données aux interfaces des signaux des réseaux ou des supports de stockage. Elle ne définit pas les formats de stockage interne destinés aux dispositifs conformes au format MXF.</w:t>
      </w:r>
    </w:p>
    <w:p w14:paraId="3713F429" w14:textId="77777777" w:rsidR="00792698" w:rsidRPr="00792698" w:rsidRDefault="00792698" w:rsidP="00792698">
      <w:pPr>
        <w:rPr>
          <w:lang w:val="fr-CH"/>
        </w:rPr>
      </w:pPr>
      <w:r w:rsidRPr="00792698">
        <w:rPr>
          <w:lang w:val="fr-CH"/>
        </w:rPr>
        <w:t>Les capacités utiles adaptées à l'essence et aux métadonnées qui peuvent être mises en correspondance dans le conteneur générique MXF sont définies dans des documents associés.</w:t>
      </w:r>
    </w:p>
    <w:p w14:paraId="138AA8BB" w14:textId="77777777" w:rsidR="00792698" w:rsidRPr="00792698" w:rsidRDefault="00792698" w:rsidP="00792698">
      <w:pPr>
        <w:rPr>
          <w:lang w:val="fr-CH"/>
        </w:rPr>
      </w:pPr>
      <w:r w:rsidRPr="00792698">
        <w:rPr>
          <w:lang w:val="fr-CH"/>
        </w:rPr>
        <w:t>Le format MXF comprend des spécifications de schéma des opérations qui peuvent définir des restrictions sur la façon dont ce type de conteneur d'essence devrait être mis en œuvre. Il est conseillé au lecteur d'étudier soigneusement le document de schéma des opérations approprié pour vérifier sa conformité à une mise en œuvre définie.</w:t>
      </w:r>
    </w:p>
    <w:p w14:paraId="4977CD9F" w14:textId="77777777" w:rsidR="00792698" w:rsidRPr="00792698" w:rsidRDefault="00792698" w:rsidP="00792698">
      <w:pPr>
        <w:jc w:val="left"/>
        <w:rPr>
          <w:lang w:val="fr-CH"/>
        </w:rPr>
      </w:pPr>
      <w:r w:rsidRPr="00792698">
        <w:rPr>
          <w:lang w:val="fr-CH"/>
        </w:rPr>
        <w:t>La norme SMPTE ST 379-</w:t>
      </w:r>
      <w:proofErr w:type="gramStart"/>
      <w:r w:rsidRPr="00792698">
        <w:rPr>
          <w:lang w:val="fr-CH"/>
        </w:rPr>
        <w:t>2:</w:t>
      </w:r>
      <w:proofErr w:type="gramEnd"/>
      <w:r w:rsidRPr="00792698">
        <w:rPr>
          <w:lang w:val="fr-CH"/>
        </w:rPr>
        <w:t xml:space="preserve">2010 peut être téléchargée à l'adresse: </w:t>
      </w:r>
      <w:hyperlink r:id="rId15" w:history="1">
        <w:r w:rsidRPr="00792698">
          <w:rPr>
            <w:rStyle w:val="Hyperlink"/>
            <w:lang w:val="fr-CH"/>
          </w:rPr>
          <w:t>https://ieeexplore.ieee.org/document/7291800</w:t>
        </w:r>
      </w:hyperlink>
      <w:r w:rsidRPr="00792698">
        <w:rPr>
          <w:lang w:val="fr-CH"/>
        </w:rPr>
        <w:t>.</w:t>
      </w:r>
    </w:p>
    <w:p w14:paraId="141835BD" w14:textId="77777777" w:rsidR="00792698" w:rsidRPr="00792698" w:rsidRDefault="00792698" w:rsidP="00792698">
      <w:pPr>
        <w:jc w:val="left"/>
        <w:rPr>
          <w:lang w:val="fr-CH"/>
        </w:rPr>
      </w:pPr>
      <w:r w:rsidRPr="00792698">
        <w:rPr>
          <w:lang w:val="fr-CH"/>
        </w:rPr>
        <w:t>La norme SMPTE ST 379-</w:t>
      </w:r>
      <w:proofErr w:type="gramStart"/>
      <w:r w:rsidRPr="00792698">
        <w:rPr>
          <w:lang w:val="fr-CH"/>
        </w:rPr>
        <w:t>1:</w:t>
      </w:r>
      <w:proofErr w:type="gramEnd"/>
      <w:r w:rsidRPr="00792698">
        <w:rPr>
          <w:lang w:val="fr-CH"/>
        </w:rPr>
        <w:t xml:space="preserve">2009 peut être téléchargée à l'adresse: </w:t>
      </w:r>
      <w:hyperlink r:id="rId16" w:history="1">
        <w:r w:rsidRPr="00792698">
          <w:rPr>
            <w:rStyle w:val="Hyperlink"/>
            <w:lang w:val="fr-CH"/>
          </w:rPr>
          <w:t>https://ieeexplore.ieee.org/document/7292040</w:t>
        </w:r>
      </w:hyperlink>
      <w:r w:rsidRPr="00792698">
        <w:rPr>
          <w:lang w:val="fr-CH"/>
        </w:rPr>
        <w:t>.</w:t>
      </w:r>
    </w:p>
    <w:p w14:paraId="7FD2597D" w14:textId="77777777" w:rsidR="00792698" w:rsidRPr="00792698" w:rsidRDefault="00792698" w:rsidP="00792698">
      <w:pPr>
        <w:pStyle w:val="Headingb"/>
        <w:rPr>
          <w:lang w:val="fr-CH"/>
        </w:rPr>
      </w:pPr>
      <w:r w:rsidRPr="00792698">
        <w:rPr>
          <w:lang w:val="fr-CH"/>
        </w:rPr>
        <w:t>Aperçu général du conteneur générique MXF (pour information)</w:t>
      </w:r>
    </w:p>
    <w:p w14:paraId="43C01BB4" w14:textId="77777777" w:rsidR="00792698" w:rsidRPr="00792698" w:rsidRDefault="00792698" w:rsidP="00792698">
      <w:pPr>
        <w:rPr>
          <w:lang w:val="fr-CH"/>
        </w:rPr>
      </w:pPr>
      <w:r w:rsidRPr="00792698">
        <w:rPr>
          <w:lang w:val="fr-CH"/>
        </w:rPr>
        <w:t>Le conteneur générique MXF est un conteneur de données pouvant être transmises en flux continu qui peut être placé sur un quelconque support approprié et éventuellement stocké sur celui-ci.</w:t>
      </w:r>
    </w:p>
    <w:p w14:paraId="3BF395A4" w14:textId="77777777" w:rsidR="00792698" w:rsidRPr="00792698" w:rsidRDefault="00792698" w:rsidP="00792698">
      <w:pPr>
        <w:rPr>
          <w:lang w:val="fr-CH"/>
        </w:rPr>
      </w:pPr>
      <w:r w:rsidRPr="00792698">
        <w:rPr>
          <w:lang w:val="fr-CH"/>
        </w:rPr>
        <w:t>Le format du conteneur générique MXF est destiné à être inclus dans un fichier au format d'échange de données (MXF) en tant que conteneur d'essence.</w:t>
      </w:r>
    </w:p>
    <w:p w14:paraId="0AC098D6" w14:textId="77777777" w:rsidR="00792698" w:rsidRPr="00792698" w:rsidRDefault="00792698" w:rsidP="00792698">
      <w:pPr>
        <w:rPr>
          <w:lang w:val="fr-CH"/>
        </w:rPr>
      </w:pPr>
      <w:r w:rsidRPr="00792698">
        <w:rPr>
          <w:lang w:val="fr-CH"/>
        </w:rPr>
        <w:lastRenderedPageBreak/>
        <w:t>Le principe du format du conteneur générique MXF est le même que celui d'un conteneur universel de données essentielles et de métadonnées destiné à contenir de nombreux types différents d'éléments d'essence et de métadonnées dans une seule entité par entrelacement des flux de données de manière définie et synchrone dans le temps (généralement sur une durée d'une image). Les documents associés à la mise en correspondance SMPTE définissent les éléments de données essentielles et de métadonnées qui peuvent être placés dans le conteneur générique. Certains documents définissent une mise en correspondance totale pour un paquet de contenu entier, tandis que d'autres définissent simplement la mise en correspondance de métadonnées ou de données essentielles dans un élément.</w:t>
      </w:r>
    </w:p>
    <w:p w14:paraId="19B3FE92" w14:textId="77777777" w:rsidR="00792698" w:rsidRPr="00792698" w:rsidRDefault="00792698" w:rsidP="00792698">
      <w:pPr>
        <w:pStyle w:val="Headingb"/>
        <w:rPr>
          <w:lang w:val="fr-CH"/>
        </w:rPr>
      </w:pPr>
      <w:r w:rsidRPr="00792698">
        <w:rPr>
          <w:lang w:val="fr-CH"/>
        </w:rPr>
        <w:t>Pourquoi utiliser les normes SMPTE ST 379-1 et 379-</w:t>
      </w:r>
      <w:proofErr w:type="gramStart"/>
      <w:r w:rsidRPr="00792698">
        <w:rPr>
          <w:lang w:val="fr-CH"/>
        </w:rPr>
        <w:t>2?</w:t>
      </w:r>
      <w:proofErr w:type="gramEnd"/>
    </w:p>
    <w:p w14:paraId="2939DCB0" w14:textId="77777777" w:rsidR="00792698" w:rsidRPr="00792698" w:rsidRDefault="00792698" w:rsidP="00792698">
      <w:pPr>
        <w:rPr>
          <w:lang w:val="fr-CH"/>
        </w:rPr>
      </w:pPr>
      <w:r w:rsidRPr="00792698">
        <w:rPr>
          <w:lang w:val="fr-CH"/>
        </w:rPr>
        <w:t>La norme SMPTE ST 379-2 est destinée à être un sous-ensemble distinct de la norme SMPTE ST 379-1. Dans certains cas, la norme SMPTE ST 379-1 permet une plus grande latitude en ne spécifiant pas certaines contraintes, et la norme SMPTE ST 379-2 inclut des contraintes supplémentaires afin de permettre une mise en œuvre plus simple des décodeurs conformes.</w:t>
      </w:r>
    </w:p>
    <w:p w14:paraId="2BD427E0" w14:textId="77777777" w:rsidR="00792698" w:rsidRPr="00792698" w:rsidRDefault="00792698" w:rsidP="00792698">
      <w:pPr>
        <w:rPr>
          <w:lang w:val="fr-CH"/>
        </w:rPr>
      </w:pPr>
      <w:r w:rsidRPr="00792698">
        <w:rPr>
          <w:lang w:val="fr-CH"/>
        </w:rPr>
        <w:t xml:space="preserve">L'utilisation de la norme SMPTE ST 379-1 est </w:t>
      </w:r>
      <w:proofErr w:type="gramStart"/>
      <w:r w:rsidRPr="00792698">
        <w:rPr>
          <w:lang w:val="fr-CH"/>
        </w:rPr>
        <w:t>déconseillée;</w:t>
      </w:r>
      <w:proofErr w:type="gramEnd"/>
      <w:r w:rsidRPr="00792698">
        <w:rPr>
          <w:lang w:val="fr-CH"/>
        </w:rPr>
        <w:t xml:space="preserve"> toutefois, il existe encore de nombreuses applications en service qui utilisent cette norme. Les nouvelles applications utilisant la norme SMPTE ST 379-2 sont encouragées.</w:t>
      </w:r>
    </w:p>
    <w:p w14:paraId="10343F8D" w14:textId="050A9159" w:rsidR="00CE138A" w:rsidRPr="00CE138A" w:rsidRDefault="00792698" w:rsidP="00792698">
      <w:pPr>
        <w:rPr>
          <w:lang w:val="fr-CH"/>
        </w:rPr>
      </w:pPr>
      <w:r w:rsidRPr="00792698">
        <w:rPr>
          <w:lang w:val="fr-CH"/>
        </w:rPr>
        <w:t>En règle générale, les données conformes à la norme SMPTE ST 379-2 sont compatibles avec les processeurs conformes à la norme SMPTE ST 379-1. L'inverse n'est pas forcément vrai. Les données conformes à la norme SMPTE ST 379-1 ne sont pas forcément compatibles avec les processeurs conformes à la norme SMPTE ST 379-2.</w:t>
      </w:r>
    </w:p>
    <w:p w14:paraId="0F7D2E7C" w14:textId="77777777" w:rsidR="00DC2B47" w:rsidRPr="00CE138A" w:rsidRDefault="00DC2B47" w:rsidP="00CD4013">
      <w:pPr>
        <w:pStyle w:val="Line"/>
        <w:rPr>
          <w:lang w:val="fr-CH"/>
        </w:rPr>
      </w:pPr>
    </w:p>
    <w:sectPr w:rsidR="00DC2B47" w:rsidRPr="00CE138A" w:rsidSect="00792698">
      <w:headerReference w:type="even" r:id="rId17"/>
      <w:headerReference w:type="default" r:id="rId18"/>
      <w:footerReference w:type="default" r:id="rId19"/>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92B6E" w14:textId="77777777" w:rsidR="00CE138A" w:rsidRDefault="00CE138A">
      <w:r>
        <w:separator/>
      </w:r>
    </w:p>
  </w:endnote>
  <w:endnote w:type="continuationSeparator" w:id="0">
    <w:p w14:paraId="03FE8C86" w14:textId="77777777" w:rsidR="00CE138A" w:rsidRDefault="00CE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435F" w14:textId="77777777" w:rsidR="00CE138A" w:rsidRDefault="00CE138A">
    <w:pPr>
      <w:pStyle w:val="Footer"/>
    </w:pPr>
    <w:r>
      <w:drawing>
        <wp:anchor distT="0" distB="0" distL="0" distR="0" simplePos="0" relativeHeight="251654656" behindDoc="0" locked="0" layoutInCell="1" allowOverlap="1" wp14:anchorId="113D270B" wp14:editId="720F81D9">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90969" w14:textId="004F82B4" w:rsidR="00656456" w:rsidRDefault="0065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B0F55" w14:textId="77777777" w:rsidR="00CE138A" w:rsidRDefault="00CE138A">
      <w:r>
        <w:separator/>
      </w:r>
    </w:p>
  </w:footnote>
  <w:footnote w:type="continuationSeparator" w:id="0">
    <w:p w14:paraId="53BDAF8E" w14:textId="77777777" w:rsidR="00CE138A" w:rsidRDefault="00CE138A">
      <w:r>
        <w:continuationSeparator/>
      </w:r>
    </w:p>
  </w:footnote>
  <w:footnote w:id="1">
    <w:p w14:paraId="0176B610" w14:textId="77777777" w:rsidR="00792698" w:rsidRPr="00792698" w:rsidRDefault="00792698" w:rsidP="00792698">
      <w:pPr>
        <w:pStyle w:val="FootnoteText"/>
        <w:rPr>
          <w:lang w:val="fr-CH"/>
        </w:rPr>
      </w:pPr>
      <w:r>
        <w:rPr>
          <w:rStyle w:val="FootnoteReference"/>
        </w:rPr>
        <w:footnoteRef/>
      </w:r>
      <w:r w:rsidRPr="00792698">
        <w:rPr>
          <w:lang w:val="fr-CH"/>
        </w:rPr>
        <w:tab/>
        <w:t>Les fichiers MXF peuvent contenir des données spécialisées encapsulées dans des paquets KLV pour lesquels les clés de la syntaxe KLV ne sont pas spécifiées dans une spécification MXF (connues sous le nom de métadonnées obscures</w:t>
      </w:r>
      <w:proofErr w:type="gramStart"/>
      <w:r w:rsidRPr="00792698">
        <w:rPr>
          <w:lang w:val="fr-CH"/>
        </w:rPr>
        <w:t xml:space="preserve"> «</w:t>
      </w:r>
      <w:proofErr w:type="spellStart"/>
      <w:r w:rsidRPr="00792698">
        <w:rPr>
          <w:lang w:val="fr-CH"/>
        </w:rPr>
        <w:t>dark</w:t>
      </w:r>
      <w:proofErr w:type="spellEnd"/>
      <w:proofErr w:type="gramEnd"/>
      <w:r w:rsidRPr="00792698">
        <w:rPr>
          <w:lang w:val="fr-CH"/>
        </w:rPr>
        <w:t xml:space="preserve"> </w:t>
      </w:r>
      <w:proofErr w:type="spellStart"/>
      <w:r w:rsidRPr="00792698">
        <w:rPr>
          <w:lang w:val="fr-CH"/>
        </w:rPr>
        <w:t>metadata</w:t>
      </w:r>
      <w:proofErr w:type="spellEnd"/>
      <w:r w:rsidRPr="00792698">
        <w:rPr>
          <w:lang w:val="fr-CH"/>
        </w:rPr>
        <w:t>»).</w:t>
      </w:r>
    </w:p>
  </w:footnote>
  <w:footnote w:id="2">
    <w:p w14:paraId="4233362A" w14:textId="77777777" w:rsidR="00792698" w:rsidRPr="00792698" w:rsidRDefault="00792698" w:rsidP="00792698">
      <w:pPr>
        <w:pStyle w:val="FootnoteText"/>
        <w:rPr>
          <w:lang w:val="fr-CH"/>
        </w:rPr>
      </w:pPr>
      <w:r>
        <w:rPr>
          <w:rStyle w:val="FootnoteReference"/>
        </w:rPr>
        <w:footnoteRef/>
      </w:r>
      <w:r w:rsidRPr="00792698">
        <w:rPr>
          <w:lang w:val="fr-CH"/>
        </w:rPr>
        <w:tab/>
        <w:t xml:space="preserve">Bien que des références aux versions actuelles de cette norme soient fournies, il convient de noter que d'autres révisions sont en cours et qu'une </w:t>
      </w:r>
      <w:hyperlink r:id="rId1" w:history="1">
        <w:r w:rsidRPr="00792698">
          <w:rPr>
            <w:rStyle w:val="Hyperlink"/>
            <w:lang w:val="fr-CH"/>
          </w:rPr>
          <w:t>Note d'information</w:t>
        </w:r>
      </w:hyperlink>
      <w:r w:rsidRPr="00792698">
        <w:rPr>
          <w:lang w:val="fr-CH"/>
        </w:rPr>
        <w:t xml:space="preserve"> publique est disponible.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1340E" w14:textId="77777777" w:rsidR="00CE138A" w:rsidRDefault="00CE138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CE138A" w:rsidRPr="00A239D1" w14:paraId="64EA9A2F" w14:textId="77777777" w:rsidTr="0019307B">
      <w:tc>
        <w:tcPr>
          <w:tcW w:w="4634" w:type="dxa"/>
          <w:vAlign w:val="center"/>
        </w:tcPr>
        <w:p w14:paraId="10D285FE" w14:textId="77777777" w:rsidR="00CE138A" w:rsidRPr="005B0371" w:rsidRDefault="00CE138A"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76B2801" w14:textId="77777777" w:rsidR="00CE138A" w:rsidRPr="00260B24" w:rsidRDefault="00CE138A"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w:t>
          </w:r>
          <w:proofErr w:type="spellStart"/>
          <w:r>
            <w:rPr>
              <w:rFonts w:asciiTheme="minorBidi" w:hAnsiTheme="minorBidi"/>
              <w:b/>
              <w:spacing w:val="4"/>
              <w:szCs w:val="24"/>
            </w:rPr>
            <w:t>i</w:t>
          </w:r>
          <w:r w:rsidRPr="00260B24">
            <w:rPr>
              <w:rFonts w:asciiTheme="minorBidi" w:hAnsiTheme="minorBidi"/>
              <w:b/>
              <w:spacing w:val="4"/>
              <w:szCs w:val="24"/>
            </w:rPr>
            <w:t>nternational</w:t>
          </w:r>
          <w:r>
            <w:rPr>
              <w:rFonts w:asciiTheme="minorBidi" w:hAnsiTheme="minorBidi"/>
              <w:b/>
              <w:spacing w:val="4"/>
              <w:szCs w:val="24"/>
            </w:rPr>
            <w:t>e</w:t>
          </w:r>
          <w:proofErr w:type="spellEnd"/>
          <w:r w:rsidRPr="00260B24">
            <w:rPr>
              <w:rFonts w:asciiTheme="minorBidi" w:hAnsiTheme="minorBidi"/>
              <w:b/>
              <w:spacing w:val="4"/>
              <w:szCs w:val="24"/>
            </w:rPr>
            <w:t xml:space="preserve"> </w:t>
          </w:r>
          <w:r>
            <w:rPr>
              <w:rFonts w:asciiTheme="minorBidi" w:hAnsiTheme="minorBidi"/>
              <w:b/>
              <w:spacing w:val="4"/>
              <w:szCs w:val="24"/>
            </w:rPr>
            <w:t xml:space="preserve">des </w:t>
          </w:r>
          <w:proofErr w:type="spellStart"/>
          <w:r>
            <w:rPr>
              <w:rFonts w:asciiTheme="minorBidi" w:hAnsiTheme="minorBidi"/>
              <w:b/>
              <w:spacing w:val="4"/>
              <w:szCs w:val="24"/>
            </w:rPr>
            <w:t>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roofErr w:type="spellEnd"/>
        </w:p>
      </w:tc>
    </w:tr>
    <w:tr w:rsidR="00CE138A" w:rsidRPr="00A239D1" w14:paraId="41D81F2C" w14:textId="77777777" w:rsidTr="0019307B">
      <w:tc>
        <w:tcPr>
          <w:tcW w:w="4634" w:type="dxa"/>
          <w:vAlign w:val="center"/>
        </w:tcPr>
        <w:p w14:paraId="1729E59A" w14:textId="77777777" w:rsidR="00CE138A" w:rsidRPr="00260B24" w:rsidRDefault="00CE138A" w:rsidP="00744F8B">
          <w:pPr>
            <w:pStyle w:val="Header"/>
            <w:jc w:val="left"/>
            <w:rPr>
              <w:rFonts w:asciiTheme="minorBidi" w:hAnsiTheme="minorBidi"/>
              <w:spacing w:val="4"/>
              <w:sz w:val="21"/>
              <w:szCs w:val="21"/>
            </w:rPr>
          </w:pPr>
          <w:proofErr w:type="spellStart"/>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roofErr w:type="spellEnd"/>
        </w:p>
      </w:tc>
      <w:tc>
        <w:tcPr>
          <w:tcW w:w="5998" w:type="dxa"/>
          <w:vAlign w:val="center"/>
        </w:tcPr>
        <w:p w14:paraId="3D5A0755" w14:textId="0259C48F" w:rsidR="00CE138A" w:rsidRPr="00260B24" w:rsidRDefault="00CE138A" w:rsidP="00744F8B">
          <w:pPr>
            <w:pStyle w:val="Header"/>
            <w:jc w:val="right"/>
            <w:rPr>
              <w:rFonts w:asciiTheme="minorBidi" w:hAnsiTheme="minorBidi"/>
              <w:spacing w:val="4"/>
              <w:szCs w:val="24"/>
            </w:rPr>
          </w:pPr>
          <w:proofErr w:type="spellStart"/>
          <w:r>
            <w:rPr>
              <w:rFonts w:asciiTheme="minorBidi" w:hAnsiTheme="minorBidi"/>
              <w:spacing w:val="4"/>
              <w:szCs w:val="24"/>
            </w:rPr>
            <w:t>Secteur</w:t>
          </w:r>
          <w:proofErr w:type="spellEnd"/>
          <w:r>
            <w:rPr>
              <w:rFonts w:asciiTheme="minorBidi" w:hAnsiTheme="minorBidi"/>
              <w:spacing w:val="4"/>
              <w:szCs w:val="24"/>
            </w:rPr>
            <w:t xml:space="preserve"> des r</w:t>
          </w:r>
          <w:r w:rsidRPr="00260B24">
            <w:rPr>
              <w:rFonts w:asciiTheme="minorBidi" w:hAnsiTheme="minorBidi"/>
              <w:spacing w:val="4"/>
              <w:szCs w:val="24"/>
            </w:rPr>
            <w:t>adiocommunication</w:t>
          </w:r>
          <w:r>
            <w:rPr>
              <w:rFonts w:asciiTheme="minorBidi" w:hAnsiTheme="minorBidi"/>
              <w:spacing w:val="4"/>
              <w:szCs w:val="24"/>
            </w:rPr>
            <w:t>s</w:t>
          </w:r>
        </w:p>
      </w:tc>
    </w:tr>
  </w:tbl>
  <w:p w14:paraId="1B30A5EA" w14:textId="77777777" w:rsidR="00CE138A" w:rsidRDefault="00CE138A" w:rsidP="004A6FEB">
    <w:pPr>
      <w:pStyle w:val="Header"/>
    </w:pPr>
    <w:r>
      <w:rPr>
        <w:rFonts w:ascii="Arial Black" w:hAnsi="Arial Black" w:cs="Arial"/>
        <w:noProof/>
        <w:sz w:val="32"/>
        <w:szCs w:val="32"/>
      </w:rPr>
      <w:drawing>
        <wp:anchor distT="0" distB="0" distL="114300" distR="114300" simplePos="0" relativeHeight="251656704" behindDoc="0" locked="0" layoutInCell="1" allowOverlap="1" wp14:anchorId="28D7045E" wp14:editId="5BCF5753">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8752" behindDoc="0" locked="0" layoutInCell="1" allowOverlap="1" wp14:anchorId="3C55E870" wp14:editId="46C2EFF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202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3459CE10" w14:textId="77777777" w:rsidR="00CE138A" w:rsidRDefault="00CE138A" w:rsidP="004A6FEB">
    <w:pPr>
      <w:pStyle w:val="Header"/>
      <w:ind w:right="360"/>
      <w:jc w:val="both"/>
    </w:pPr>
    <w:r>
      <w:rPr>
        <w:noProof/>
      </w:rPr>
      <mc:AlternateContent>
        <mc:Choice Requires="wpg">
          <w:drawing>
            <wp:anchor distT="0" distB="0" distL="114300" distR="114300" simplePos="0" relativeHeight="251660800" behindDoc="0" locked="0" layoutInCell="1" allowOverlap="1" wp14:anchorId="3F7DE546" wp14:editId="5BD18DE3">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AA733" id="docshapegroup6" o:spid="_x0000_s1026" alt="Header separator line" style="position:absolute;margin-left:0;margin-top:94.2pt;width:595.3pt;height:18.6pt;z-index:251660800;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D2DD6" w14:textId="28C1FD9A" w:rsidR="00CE138A" w:rsidRPr="00D72623" w:rsidRDefault="00CE138A"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w:t>
    </w:r>
    <w:proofErr w:type="spellStart"/>
    <w:r w:rsidRPr="004F3F6F">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213AFA">
      <w:rPr>
        <w:b/>
        <w:bCs/>
        <w:noProof/>
        <w:lang w:val="en-US"/>
      </w:rPr>
      <w:t>UIT-R  BT.1775-1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0438" w14:textId="77777777" w:rsidR="00CE138A" w:rsidRDefault="00CE138A">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UIT-R  BT.xxxx</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9A052" w14:textId="7579B6F9"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CE138A" w:rsidRPr="00CE138A">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213AFA">
      <w:rPr>
        <w:b/>
        <w:bCs/>
        <w:noProof/>
        <w:lang w:val="en-US"/>
      </w:rPr>
      <w:t>UIT-R  BT.1775-1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1676" w14:textId="5377FAF4" w:rsidR="00607D68" w:rsidRDefault="00607D68">
    <w:pPr>
      <w:pStyle w:val="Header"/>
    </w:pPr>
    <w:r>
      <w:tab/>
    </w:r>
    <w:fldSimple w:instr=" DOCPROPERTY &quot;Header&quot; \* MERGEFORMAT ">
      <w:r w:rsidR="00CE138A" w:rsidRPr="00CE138A">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213AFA">
      <w:rPr>
        <w:b/>
        <w:bCs/>
        <w:noProof/>
      </w:rPr>
      <w:t>UIT-R  BT.1775-1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8A"/>
    <w:rsid w:val="00213AFA"/>
    <w:rsid w:val="00217EBF"/>
    <w:rsid w:val="00242AEE"/>
    <w:rsid w:val="00274D98"/>
    <w:rsid w:val="002D76C4"/>
    <w:rsid w:val="00480820"/>
    <w:rsid w:val="00522FA5"/>
    <w:rsid w:val="0052529D"/>
    <w:rsid w:val="00607D68"/>
    <w:rsid w:val="00656456"/>
    <w:rsid w:val="007468DA"/>
    <w:rsid w:val="00792698"/>
    <w:rsid w:val="009E00A8"/>
    <w:rsid w:val="00A3421C"/>
    <w:rsid w:val="00A6617B"/>
    <w:rsid w:val="00AB0DC8"/>
    <w:rsid w:val="00AC7CC8"/>
    <w:rsid w:val="00B44E24"/>
    <w:rsid w:val="00CD4013"/>
    <w:rsid w:val="00CE138A"/>
    <w:rsid w:val="00DC2B47"/>
    <w:rsid w:val="00DF4176"/>
    <w:rsid w:val="00F120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E714061"/>
  <w15:docId w15:val="{E3A416C0-E08F-475A-92C7-C080CFD8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656456"/>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qFormat/>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CE138A"/>
    <w:rPr>
      <w:color w:val="0000FF"/>
      <w:u w:val="single"/>
    </w:rPr>
  </w:style>
  <w:style w:type="character" w:customStyle="1" w:styleId="HeaderChar">
    <w:name w:val="Header Char"/>
    <w:basedOn w:val="DefaultParagraphFont"/>
    <w:link w:val="Header"/>
    <w:uiPriority w:val="99"/>
    <w:rsid w:val="00CE138A"/>
    <w:rPr>
      <w:sz w:val="24"/>
      <w:lang w:val="en-GB" w:eastAsia="en-US"/>
    </w:rPr>
  </w:style>
  <w:style w:type="table" w:styleId="TableGrid">
    <w:name w:val="Table Grid"/>
    <w:basedOn w:val="TableNormal"/>
    <w:uiPriority w:val="39"/>
    <w:rsid w:val="00CE138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CE138A"/>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CE138A"/>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CE138A"/>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CE138A"/>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textChar">
    <w:name w:val="Table_text Char"/>
    <w:link w:val="Tabletext"/>
    <w:locked/>
    <w:rsid w:val="00CE138A"/>
    <w:rPr>
      <w:sz w:val="22"/>
      <w:lang w:val="en-GB" w:eastAsia="en-US"/>
    </w:rPr>
  </w:style>
  <w:style w:type="character" w:customStyle="1" w:styleId="TableheadChar">
    <w:name w:val="Table_head Char"/>
    <w:link w:val="Tablehead"/>
    <w:locked/>
    <w:rsid w:val="00CE138A"/>
    <w:rPr>
      <w:b/>
      <w:sz w:val="22"/>
      <w:lang w:val="en-GB" w:eastAsia="en-US"/>
    </w:rPr>
  </w:style>
  <w:style w:type="character" w:customStyle="1" w:styleId="NormalaftertitleChar">
    <w:name w:val="Normal_after_title Char"/>
    <w:link w:val="Normalaftertitle"/>
    <w:locked/>
    <w:rsid w:val="00CE138A"/>
    <w:rPr>
      <w:sz w:val="24"/>
      <w:lang w:val="en-GB" w:eastAsia="en-US"/>
    </w:rPr>
  </w:style>
  <w:style w:type="character" w:customStyle="1" w:styleId="CallChar">
    <w:name w:val="Call Char"/>
    <w:link w:val="Call"/>
    <w:locked/>
    <w:rsid w:val="00CE138A"/>
    <w:rPr>
      <w:i/>
      <w:sz w:val="24"/>
      <w:lang w:val="en-GB" w:eastAsia="en-US"/>
    </w:rPr>
  </w:style>
  <w:style w:type="character" w:customStyle="1" w:styleId="enumlev1Char">
    <w:name w:val="enumlev1 Char"/>
    <w:basedOn w:val="DefaultParagraphFont"/>
    <w:link w:val="enumlev1"/>
    <w:locked/>
    <w:rsid w:val="00CE138A"/>
    <w:rPr>
      <w:sz w:val="24"/>
      <w:lang w:val="en-GB" w:eastAsia="en-US"/>
    </w:rPr>
  </w:style>
  <w:style w:type="character" w:customStyle="1" w:styleId="TableNo0">
    <w:name w:val="Table_No Знак"/>
    <w:link w:val="TableNo"/>
    <w:locked/>
    <w:rsid w:val="00CE138A"/>
    <w:rPr>
      <w:sz w:val="24"/>
      <w:lang w:val="en-GB" w:eastAsia="en-US"/>
    </w:rPr>
  </w:style>
  <w:style w:type="character" w:customStyle="1" w:styleId="TabletitleChar">
    <w:name w:val="Table_title Char"/>
    <w:basedOn w:val="DefaultParagraphFont"/>
    <w:link w:val="Tabletitle"/>
    <w:locked/>
    <w:rsid w:val="00CE138A"/>
    <w:rPr>
      <w:b/>
      <w:sz w:val="24"/>
      <w:lang w:val="en-GB" w:eastAsia="en-US"/>
    </w:rPr>
  </w:style>
  <w:style w:type="character" w:customStyle="1" w:styleId="HeadingbChar">
    <w:name w:val="Heading_b Char"/>
    <w:link w:val="Headingb"/>
    <w:locked/>
    <w:rsid w:val="00CE138A"/>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pub/R-QUE-SG06.34" TargetMode="Externa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yperlink" Target="https://ieeexplore.ieee.org/document/729204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ieeexplore.ieee.org/document/7291800" TargetMode="External"/><Relationship Id="rId10" Type="http://schemas.openxmlformats.org/officeDocument/2006/relationships/hyperlink" Target="https://www.itu.int/publ/R-REC/fr"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itu.int/ITU-R/go/patents/fr" TargetMode="External"/><Relationship Id="rId14" Type="http://schemas.openxmlformats.org/officeDocument/2006/relationships/hyperlink" Target="https://ieeexplore.ieee.org/document/898468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mpte.org/standards/advisory-note-37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67</TotalTime>
  <Pages>6</Pages>
  <Words>1779</Words>
  <Characters>10552</Characters>
  <Application>Microsoft Office Word</Application>
  <DocSecurity>0</DocSecurity>
  <Lines>659</Lines>
  <Paragraphs>241</Paragraphs>
  <ScaleCrop>false</ScaleCrop>
  <HeadingPairs>
    <vt:vector size="2" baseType="variant">
      <vt:variant>
        <vt:lpstr>Title</vt:lpstr>
      </vt:variant>
      <vt:variant>
        <vt:i4>1</vt:i4>
      </vt:variant>
    </vt:vector>
  </HeadingPairs>
  <TitlesOfParts>
    <vt:vector size="1" baseType="lpstr">
      <vt:lpstr>Recommandation UIT-R BT.1702-3 (11/2023) - Lignes directrices relatives à la réduction du risque de crises d'épilepsie photosensible dues à la télévision</vt:lpstr>
    </vt:vector>
  </TitlesOfParts>
  <Manager/>
  <Company>ITU</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UIT-R BT.1775-1 (11/2023) - Format de fichier avec fonction de montage pour l'échange de métadonnées, de données audio et vidéo, d'essence de données et de données auxiliaires en radiodiffusion</dc:title>
  <dc:subject/>
  <dc:creator>Gachet, Christelle</dc:creator>
  <cp:keywords/>
  <dc:description/>
  <cp:lastModifiedBy>Gachet, Christelle</cp:lastModifiedBy>
  <cp:revision>8</cp:revision>
  <cp:lastPrinted>2005-02-10T15:54:00Z</cp:lastPrinted>
  <dcterms:created xsi:type="dcterms:W3CDTF">2024-08-14T10:34:00Z</dcterms:created>
  <dcterms:modified xsi:type="dcterms:W3CDTF">2024-08-19T14:17:00Z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