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D3DB8" w14:textId="77777777" w:rsidR="002B706F" w:rsidRDefault="002B706F" w:rsidP="00197749"/>
    <w:p w14:paraId="28359C94" w14:textId="77777777" w:rsidR="00091A6B" w:rsidRDefault="00091A6B" w:rsidP="00197749">
      <w:pPr>
        <w:rPr>
          <w:rtl/>
        </w:rPr>
      </w:pPr>
    </w:p>
    <w:p w14:paraId="2BC4A05A" w14:textId="31CBE391" w:rsidR="00091A6B" w:rsidRDefault="00091A6B" w:rsidP="00091A6B">
      <w:pPr>
        <w:pStyle w:val="CoverNumber"/>
      </w:pPr>
      <w:r w:rsidRPr="00091A6B">
        <w:rPr>
          <w:rtl/>
        </w:rPr>
        <w:t xml:space="preserve">التوصيـة </w:t>
      </w:r>
      <w:r w:rsidRPr="00091A6B">
        <w:t>ITU-R </w:t>
      </w:r>
      <w:r w:rsidR="00AA1ACD">
        <w:t>B</w:t>
      </w:r>
      <w:r w:rsidR="00CD2510">
        <w:t>T</w:t>
      </w:r>
      <w:r w:rsidRPr="00091A6B">
        <w:t>.</w:t>
      </w:r>
      <w:r w:rsidR="00800F29">
        <w:t>1775-1</w:t>
      </w:r>
    </w:p>
    <w:p w14:paraId="31485438" w14:textId="50A8A9D4" w:rsidR="00091A6B" w:rsidRDefault="00091A6B" w:rsidP="00091A6B">
      <w:pPr>
        <w:pStyle w:val="CoverDate"/>
      </w:pPr>
      <w:r w:rsidRPr="005F01A2">
        <w:t>(</w:t>
      </w:r>
      <w:r w:rsidR="00800F29">
        <w:t>2023</w:t>
      </w:r>
      <w:r>
        <w:t>/</w:t>
      </w:r>
      <w:r w:rsidR="00800F29">
        <w:t>11</w:t>
      </w:r>
      <w:r w:rsidRPr="005F01A2">
        <w:t>)</w:t>
      </w:r>
    </w:p>
    <w:p w14:paraId="3ED3B2AC" w14:textId="77777777" w:rsidR="00EF6496" w:rsidRPr="00CD2510" w:rsidRDefault="00FC6892" w:rsidP="00CD2510">
      <w:pPr>
        <w:pStyle w:val="CoverSeries"/>
        <w:rPr>
          <w:rtl/>
        </w:rPr>
      </w:pPr>
      <w:r>
        <w:rPr>
          <w:rFonts w:hint="cs"/>
          <w:rtl/>
          <w:lang w:val="en-GB"/>
        </w:rPr>
        <w:t xml:space="preserve">السلسلة </w:t>
      </w:r>
      <w:r w:rsidR="00AA1ACD">
        <w:t>B</w:t>
      </w:r>
      <w:r w:rsidR="00CD2510">
        <w:t>T</w:t>
      </w:r>
      <w:r>
        <w:rPr>
          <w:rFonts w:hint="cs"/>
          <w:rtl/>
          <w:lang w:val="en-GB"/>
        </w:rPr>
        <w:t xml:space="preserve">: </w:t>
      </w:r>
      <w:r w:rsidR="00CD2510" w:rsidRPr="00CD2510">
        <w:rPr>
          <w:rFonts w:hint="cs"/>
          <w:rtl/>
          <w:lang w:bidi="ar-SA"/>
        </w:rPr>
        <w:t>الخدمة الإذاعية (التلفزيونية)</w:t>
      </w:r>
    </w:p>
    <w:p w14:paraId="5A7A5184" w14:textId="6EA9C430" w:rsidR="00091A6B" w:rsidRPr="00EF6496" w:rsidRDefault="007C78A5" w:rsidP="00D83D71">
      <w:pPr>
        <w:pStyle w:val="CoverTitle"/>
        <w:spacing w:before="360"/>
        <w:ind w:right="567"/>
        <w:jc w:val="left"/>
      </w:pPr>
      <w:r>
        <w:rPr>
          <w:rtl/>
        </w:rPr>
        <w:t>نسق الملفات مع إمكانية تحريرها من أجل تبادل البيانات المرجعية</w:t>
      </w:r>
      <w:r>
        <w:rPr>
          <w:rFonts w:hint="cs"/>
          <w:rtl/>
          <w:lang w:bidi="ar-EG"/>
        </w:rPr>
        <w:t xml:space="preserve"> </w:t>
      </w:r>
      <w:r>
        <w:rPr>
          <w:rtl/>
        </w:rPr>
        <w:t>والسمعية والفيديوية والجوهرية والإضافية لاستعمالها في الإذاعة</w:t>
      </w:r>
    </w:p>
    <w:p w14:paraId="21961769" w14:textId="77777777" w:rsidR="00091A6B" w:rsidRDefault="00091A6B" w:rsidP="00197749"/>
    <w:p w14:paraId="160CE48C" w14:textId="77777777" w:rsidR="00091A6B" w:rsidRDefault="00091A6B" w:rsidP="00197749"/>
    <w:p w14:paraId="07A89AB1" w14:textId="77777777" w:rsidR="00091A6B" w:rsidRDefault="00091A6B" w:rsidP="00197749"/>
    <w:p w14:paraId="6A4324E2" w14:textId="77777777" w:rsidR="00091A6B" w:rsidRDefault="00091A6B" w:rsidP="00197749"/>
    <w:p w14:paraId="2CEACEDD" w14:textId="77777777" w:rsidR="00091A6B" w:rsidRDefault="00A161D3" w:rsidP="00197749">
      <w:r>
        <w:rPr>
          <w:noProof/>
        </w:rPr>
        <w:drawing>
          <wp:anchor distT="0" distB="0" distL="114300" distR="114300" simplePos="0" relativeHeight="251659776" behindDoc="0" locked="0" layoutInCell="1" allowOverlap="1" wp14:anchorId="4ABBB20A" wp14:editId="1DAA1741">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470EC92E" w14:textId="77777777" w:rsidR="005E066B" w:rsidRDefault="00CA603A" w:rsidP="002144CB">
      <w:pPr>
        <w:jc w:val="center"/>
        <w:rPr>
          <w:b/>
          <w:bCs/>
          <w:sz w:val="32"/>
          <w:szCs w:val="32"/>
          <w:rtl/>
        </w:rPr>
        <w:sectPr w:rsidR="005E066B" w:rsidSect="00D231CE">
          <w:headerReference w:type="even" r:id="rId9"/>
          <w:headerReference w:type="default" r:id="rId10"/>
          <w:footerReference w:type="even" r:id="rId11"/>
          <w:footerReference w:type="default" r:id="rId12"/>
          <w:headerReference w:type="first" r:id="rId13"/>
          <w:footerReference w:type="first" r:id="rId14"/>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214AE87D" wp14:editId="51C5CF03">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E588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5E7D23E"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AE87D"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6E8E588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5E7D23E"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1D48BBD6"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0A5AB738"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553394D7"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36E1F078" w14:textId="77777777" w:rsidR="005E066B" w:rsidRPr="00440F51" w:rsidRDefault="005E066B" w:rsidP="005E066B">
      <w:pPr>
        <w:spacing w:before="0"/>
        <w:rPr>
          <w:spacing w:val="-2"/>
          <w:sz w:val="21"/>
          <w:szCs w:val="28"/>
          <w:lang w:val="ru-RU"/>
        </w:rPr>
      </w:pPr>
    </w:p>
    <w:p w14:paraId="14D308CF"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7F059F2C"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5"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5B8611C" w14:textId="77777777" w:rsidR="005E066B" w:rsidRDefault="005E066B" w:rsidP="005E066B">
      <w:pPr>
        <w:spacing w:before="0"/>
        <w:rPr>
          <w:sz w:val="21"/>
          <w:szCs w:val="20"/>
          <w:rtl/>
          <w:lang w:bidi="ar-EG"/>
        </w:rPr>
      </w:pPr>
    </w:p>
    <w:p w14:paraId="5D72280A"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18C22785"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7F7702A9"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13AE1757"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6" w:history="1">
              <w:r w:rsidR="001E77BC">
                <w:rPr>
                  <w:rStyle w:val="Hyperlink"/>
                  <w:sz w:val="18"/>
                  <w:szCs w:val="24"/>
                </w:rPr>
                <w:t>https://www.itu.int/publ/R-REC/en</w:t>
              </w:r>
            </w:hyperlink>
            <w:r w:rsidRPr="009C6655">
              <w:rPr>
                <w:rFonts w:hint="cs"/>
                <w:sz w:val="18"/>
                <w:szCs w:val="24"/>
                <w:rtl/>
              </w:rPr>
              <w:t>)</w:t>
            </w:r>
          </w:p>
        </w:tc>
      </w:tr>
      <w:tr w:rsidR="005E066B" w:rsidRPr="00440F51" w14:paraId="717FA5DA" w14:textId="77777777" w:rsidTr="001E77BC">
        <w:trPr>
          <w:jc w:val="center"/>
        </w:trPr>
        <w:tc>
          <w:tcPr>
            <w:tcW w:w="1480" w:type="dxa"/>
            <w:tcBorders>
              <w:left w:val="single" w:sz="12" w:space="0" w:color="000080"/>
            </w:tcBorders>
          </w:tcPr>
          <w:p w14:paraId="6B72D4A8"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2F552BD7"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3691ED37"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490A98BA"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7895736F"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17462210"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2C0C87C2"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187A6F4C" w14:textId="77777777" w:rsidR="00E964C9" w:rsidRPr="00AB0789" w:rsidRDefault="00E964C9" w:rsidP="00E964C9">
            <w:pPr>
              <w:tabs>
                <w:tab w:val="left" w:pos="1471"/>
              </w:tabs>
              <w:spacing w:before="20" w:after="40" w:line="240" w:lineRule="exact"/>
              <w:rPr>
                <w:sz w:val="20"/>
                <w:szCs w:val="26"/>
                <w:lang w:val="ru-RU"/>
              </w:rPr>
            </w:pPr>
            <w:r w:rsidRPr="00AB0789">
              <w:rPr>
                <w:b/>
                <w:bCs/>
                <w:sz w:val="20"/>
                <w:szCs w:val="26"/>
                <w:lang w:val="ru-RU"/>
              </w:rPr>
              <w:t>BS</w:t>
            </w:r>
            <w:r w:rsidRPr="00AB0789">
              <w:rPr>
                <w:rFonts w:hint="cs"/>
                <w:sz w:val="20"/>
                <w:szCs w:val="26"/>
                <w:rtl/>
                <w:lang w:val="ru-RU"/>
              </w:rPr>
              <w:tab/>
              <w:t>الخدمة الإذاعية (الصوتية)</w:t>
            </w:r>
          </w:p>
        </w:tc>
      </w:tr>
      <w:tr w:rsidR="00E964C9" w:rsidRPr="006405DD" w14:paraId="3F3BE2DA" w14:textId="77777777" w:rsidTr="00CD2510">
        <w:trPr>
          <w:jc w:val="center"/>
        </w:trPr>
        <w:tc>
          <w:tcPr>
            <w:tcW w:w="9394" w:type="dxa"/>
            <w:gridSpan w:val="2"/>
            <w:tcBorders>
              <w:left w:val="single" w:sz="12" w:space="0" w:color="000080"/>
              <w:right w:val="single" w:sz="12" w:space="0" w:color="000080"/>
            </w:tcBorders>
            <w:shd w:val="clear" w:color="auto" w:fill="F3F3F3"/>
          </w:tcPr>
          <w:p w14:paraId="77C0EC73" w14:textId="77777777" w:rsidR="00E964C9" w:rsidRPr="00CD2510"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CD2510">
              <w:rPr>
                <w:rFonts w:ascii="Times New Roman Bold" w:hAnsi="Times New Roman Bold"/>
                <w:b/>
                <w:bCs/>
                <w:color w:val="000080"/>
                <w:sz w:val="20"/>
                <w:szCs w:val="26"/>
                <w:lang w:val="ru-RU"/>
              </w:rPr>
              <w:t>BT</w:t>
            </w:r>
            <w:r w:rsidRPr="00CD2510">
              <w:rPr>
                <w:rFonts w:ascii="Times New Roman Bold" w:hAnsi="Times New Roman Bold" w:hint="cs"/>
                <w:b/>
                <w:bCs/>
                <w:color w:val="000080"/>
                <w:sz w:val="20"/>
                <w:szCs w:val="26"/>
                <w:rtl/>
                <w:lang w:val="ru-RU"/>
              </w:rPr>
              <w:tab/>
              <w:t>الخدمة الإذاعية (التلفزيونية)</w:t>
            </w:r>
          </w:p>
        </w:tc>
      </w:tr>
      <w:tr w:rsidR="00E964C9" w:rsidRPr="00F03CE4" w14:paraId="33B5CAA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77A8E66"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1C0ED1C4"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602C3C36"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1F1BC71C"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F920020"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5BFB0B37" w14:textId="77777777" w:rsidTr="001E77BC">
        <w:trPr>
          <w:jc w:val="center"/>
        </w:trPr>
        <w:tc>
          <w:tcPr>
            <w:tcW w:w="9394" w:type="dxa"/>
            <w:gridSpan w:val="2"/>
            <w:tcBorders>
              <w:left w:val="single" w:sz="12" w:space="0" w:color="000080"/>
              <w:right w:val="single" w:sz="12" w:space="0" w:color="000080"/>
            </w:tcBorders>
            <w:shd w:val="clear" w:color="auto" w:fill="auto"/>
          </w:tcPr>
          <w:p w14:paraId="07B23DD7"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57F3028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8EA19F7"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93795">
              <w:rPr>
                <w:rFonts w:hint="cs"/>
                <w:sz w:val="20"/>
                <w:szCs w:val="26"/>
                <w:rtl/>
                <w:lang w:val="ru-RU"/>
              </w:rPr>
              <w:t>ُ</w:t>
            </w:r>
            <w:r w:rsidRPr="005425A3">
              <w:rPr>
                <w:rFonts w:hint="cs"/>
                <w:sz w:val="20"/>
                <w:szCs w:val="26"/>
                <w:rtl/>
                <w:lang w:val="ru-RU"/>
              </w:rPr>
              <w:t>عد</w:t>
            </w:r>
          </w:p>
        </w:tc>
      </w:tr>
      <w:tr w:rsidR="00E964C9" w:rsidRPr="005425A3" w14:paraId="562EE638"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0B4E12B"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7C58477C"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6042C3A4"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6DC1397A" w14:textId="77777777" w:rsidTr="001E77BC">
        <w:trPr>
          <w:jc w:val="center"/>
        </w:trPr>
        <w:tc>
          <w:tcPr>
            <w:tcW w:w="9394" w:type="dxa"/>
            <w:gridSpan w:val="2"/>
            <w:tcBorders>
              <w:left w:val="single" w:sz="12" w:space="0" w:color="000080"/>
              <w:right w:val="single" w:sz="12" w:space="0" w:color="000080"/>
            </w:tcBorders>
          </w:tcPr>
          <w:p w14:paraId="61BB693D"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70D41F38" w14:textId="77777777" w:rsidTr="001E77BC">
        <w:trPr>
          <w:jc w:val="center"/>
        </w:trPr>
        <w:tc>
          <w:tcPr>
            <w:tcW w:w="9394" w:type="dxa"/>
            <w:gridSpan w:val="2"/>
            <w:tcBorders>
              <w:left w:val="single" w:sz="12" w:space="0" w:color="000080"/>
              <w:right w:val="single" w:sz="12" w:space="0" w:color="000080"/>
            </w:tcBorders>
          </w:tcPr>
          <w:p w14:paraId="28C6E1E0"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71201853" w14:textId="77777777" w:rsidTr="001E77BC">
        <w:trPr>
          <w:jc w:val="center"/>
        </w:trPr>
        <w:tc>
          <w:tcPr>
            <w:tcW w:w="9394" w:type="dxa"/>
            <w:gridSpan w:val="2"/>
            <w:tcBorders>
              <w:left w:val="single" w:sz="12" w:space="0" w:color="000080"/>
              <w:right w:val="single" w:sz="12" w:space="0" w:color="000080"/>
            </w:tcBorders>
          </w:tcPr>
          <w:p w14:paraId="14BEA72D"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253F2441" w14:textId="77777777" w:rsidTr="001E77BC">
        <w:trPr>
          <w:jc w:val="center"/>
        </w:trPr>
        <w:tc>
          <w:tcPr>
            <w:tcW w:w="9394" w:type="dxa"/>
            <w:gridSpan w:val="2"/>
            <w:tcBorders>
              <w:left w:val="single" w:sz="12" w:space="0" w:color="000080"/>
              <w:right w:val="single" w:sz="12" w:space="0" w:color="000080"/>
            </w:tcBorders>
          </w:tcPr>
          <w:p w14:paraId="77522415"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01E1F57A"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025E9760"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5492F441" w14:textId="77777777" w:rsidR="005E066B" w:rsidRPr="00440F51" w:rsidRDefault="005E066B" w:rsidP="005E066B">
      <w:pPr>
        <w:spacing w:before="0"/>
        <w:rPr>
          <w:sz w:val="21"/>
          <w:szCs w:val="20"/>
          <w:rtl/>
        </w:rPr>
      </w:pPr>
    </w:p>
    <w:p w14:paraId="24B15586"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7E3FE04E" w14:textId="77777777" w:rsidTr="001E77BC">
        <w:trPr>
          <w:trHeight w:val="720"/>
          <w:jc w:val="center"/>
        </w:trPr>
        <w:tc>
          <w:tcPr>
            <w:tcW w:w="9379" w:type="dxa"/>
          </w:tcPr>
          <w:p w14:paraId="422AC7CD" w14:textId="77777777" w:rsidR="005E066B" w:rsidRPr="00693795" w:rsidRDefault="005E066B" w:rsidP="001E77BC">
            <w:pPr>
              <w:ind w:left="45" w:right="540"/>
              <w:rPr>
                <w:b/>
                <w:bCs/>
                <w:i/>
                <w:iCs/>
                <w:spacing w:val="-4"/>
                <w:sz w:val="21"/>
                <w:szCs w:val="26"/>
                <w:rtl/>
                <w:lang w:val="ru-RU"/>
              </w:rPr>
            </w:pPr>
            <w:r w:rsidRPr="00693795">
              <w:rPr>
                <w:rFonts w:hint="cs"/>
                <w:b/>
                <w:bCs/>
                <w:i/>
                <w:iCs/>
                <w:spacing w:val="-4"/>
                <w:sz w:val="21"/>
                <w:szCs w:val="26"/>
                <w:rtl/>
                <w:lang w:val="ru-RU"/>
              </w:rPr>
              <w:t>ملاحظة</w:t>
            </w:r>
            <w:r w:rsidRPr="00693795">
              <w:rPr>
                <w:rFonts w:hint="cs"/>
                <w:i/>
                <w:iCs/>
                <w:spacing w:val="-4"/>
                <w:sz w:val="21"/>
                <w:szCs w:val="26"/>
                <w:rtl/>
                <w:lang w:val="ru-RU"/>
              </w:rPr>
              <w:t xml:space="preserve">: </w:t>
            </w:r>
            <w:r w:rsidR="00D2107D" w:rsidRPr="00693795">
              <w:rPr>
                <w:rFonts w:hint="cs"/>
                <w:i/>
                <w:iCs/>
                <w:spacing w:val="-4"/>
                <w:sz w:val="21"/>
                <w:szCs w:val="26"/>
                <w:rtl/>
                <w:lang w:val="ru-RU"/>
              </w:rPr>
              <w:t xml:space="preserve">تمت الموافقة </w:t>
            </w:r>
            <w:r w:rsidRPr="00693795">
              <w:rPr>
                <w:rFonts w:hint="cs"/>
                <w:i/>
                <w:iCs/>
                <w:spacing w:val="-4"/>
                <w:sz w:val="21"/>
                <w:szCs w:val="26"/>
                <w:rtl/>
                <w:lang w:val="ru-RU"/>
              </w:rPr>
              <w:t xml:space="preserve">على النسخة الإنكليزية </w:t>
            </w:r>
            <w:r w:rsidR="00D2107D" w:rsidRPr="00693795">
              <w:rPr>
                <w:rFonts w:hint="cs"/>
                <w:i/>
                <w:iCs/>
                <w:spacing w:val="-4"/>
                <w:sz w:val="21"/>
                <w:szCs w:val="26"/>
                <w:rtl/>
                <w:lang w:val="ru-RU"/>
              </w:rPr>
              <w:t>لهذه التوصية</w:t>
            </w:r>
            <w:r w:rsidRPr="00693795">
              <w:rPr>
                <w:rFonts w:hint="cs"/>
                <w:i/>
                <w:iCs/>
                <w:spacing w:val="-4"/>
                <w:sz w:val="21"/>
                <w:szCs w:val="26"/>
                <w:rtl/>
                <w:lang w:val="ru-RU"/>
              </w:rPr>
              <w:t xml:space="preserve"> الصادر</w:t>
            </w:r>
            <w:r w:rsidR="00D2107D" w:rsidRPr="00693795">
              <w:rPr>
                <w:rFonts w:hint="cs"/>
                <w:i/>
                <w:iCs/>
                <w:spacing w:val="-4"/>
                <w:sz w:val="21"/>
                <w:szCs w:val="26"/>
                <w:rtl/>
                <w:lang w:val="ru-RU"/>
              </w:rPr>
              <w:t>ة</w:t>
            </w:r>
            <w:r w:rsidRPr="00693795">
              <w:rPr>
                <w:rFonts w:hint="cs"/>
                <w:i/>
                <w:iCs/>
                <w:spacing w:val="-4"/>
                <w:sz w:val="21"/>
                <w:szCs w:val="26"/>
                <w:rtl/>
                <w:lang w:val="ru-RU"/>
              </w:rPr>
              <w:t xml:space="preserve"> عن قطاع الاتصالات الراديوية بموجب الإجراء الموضح في القرار </w:t>
            </w:r>
            <w:r w:rsidRPr="00693795">
              <w:rPr>
                <w:i/>
                <w:iCs/>
                <w:spacing w:val="-4"/>
                <w:sz w:val="21"/>
                <w:szCs w:val="26"/>
              </w:rPr>
              <w:t>ITU-R 1</w:t>
            </w:r>
            <w:r w:rsidRPr="00693795">
              <w:rPr>
                <w:rFonts w:hint="cs"/>
                <w:i/>
                <w:iCs/>
                <w:spacing w:val="-4"/>
                <w:sz w:val="21"/>
                <w:szCs w:val="26"/>
                <w:rtl/>
                <w:lang w:bidi="ar-EG"/>
              </w:rPr>
              <w:t>.</w:t>
            </w:r>
          </w:p>
        </w:tc>
      </w:tr>
    </w:tbl>
    <w:p w14:paraId="738D128F" w14:textId="1E1CB8FF"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8151F0">
        <w:rPr>
          <w:sz w:val="20"/>
          <w:szCs w:val="26"/>
        </w:rPr>
        <w:t>2024</w:t>
      </w:r>
    </w:p>
    <w:p w14:paraId="060DEC77" w14:textId="77777777" w:rsidR="005E066B" w:rsidRPr="00440F51" w:rsidRDefault="005E066B" w:rsidP="003D40E1">
      <w:pPr>
        <w:spacing w:before="0" w:line="120" w:lineRule="auto"/>
        <w:ind w:right="539"/>
        <w:jc w:val="right"/>
        <w:rPr>
          <w:sz w:val="21"/>
          <w:szCs w:val="28"/>
          <w:rtl/>
          <w:lang w:bidi="ar-EG"/>
        </w:rPr>
      </w:pPr>
    </w:p>
    <w:p w14:paraId="5F355617" w14:textId="6DF7337D"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8151F0">
        <w:rPr>
          <w:sz w:val="21"/>
          <w:szCs w:val="20"/>
        </w:rPr>
        <w:t>2024</w:t>
      </w:r>
    </w:p>
    <w:p w14:paraId="1C34876D" w14:textId="77777777" w:rsidR="005E066B" w:rsidRPr="00693795" w:rsidRDefault="005E066B" w:rsidP="005E066B">
      <w:pPr>
        <w:rPr>
          <w:spacing w:val="-4"/>
          <w:sz w:val="20"/>
          <w:szCs w:val="26"/>
          <w:rtl/>
          <w:lang w:bidi="ar-EG"/>
        </w:rPr>
      </w:pPr>
      <w:r w:rsidRPr="00693795">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93795" w:rsidRPr="00693795">
        <w:rPr>
          <w:rFonts w:hint="cs"/>
          <w:spacing w:val="-4"/>
          <w:sz w:val="20"/>
          <w:szCs w:val="26"/>
          <w:rtl/>
          <w:lang w:val="ru-RU"/>
        </w:rPr>
        <w:t xml:space="preserve"> </w:t>
      </w:r>
      <w:r w:rsidRPr="00693795">
        <w:rPr>
          <w:rFonts w:hint="cs"/>
          <w:spacing w:val="-4"/>
          <w:sz w:val="20"/>
          <w:szCs w:val="26"/>
          <w:rtl/>
          <w:lang w:val="ru-RU"/>
        </w:rPr>
        <w:t xml:space="preserve">الاتحاد الدولي للاتصالات </w:t>
      </w:r>
      <w:r w:rsidRPr="00693795">
        <w:rPr>
          <w:spacing w:val="-4"/>
          <w:sz w:val="20"/>
          <w:szCs w:val="26"/>
        </w:rPr>
        <w:t>(ITU)</w:t>
      </w:r>
      <w:r w:rsidRPr="00693795">
        <w:rPr>
          <w:rFonts w:hint="cs"/>
          <w:spacing w:val="-4"/>
          <w:sz w:val="20"/>
          <w:szCs w:val="26"/>
          <w:rtl/>
          <w:lang w:bidi="ar-EG"/>
        </w:rPr>
        <w:t>.</w:t>
      </w:r>
    </w:p>
    <w:p w14:paraId="263C169F" w14:textId="77777777" w:rsidR="005E066B" w:rsidRDefault="005E066B" w:rsidP="002144CB">
      <w:pPr>
        <w:rPr>
          <w:sz w:val="21"/>
          <w:szCs w:val="28"/>
          <w:rtl/>
          <w:lang w:bidi="ar-EG"/>
        </w:rPr>
        <w:sectPr w:rsidR="005E066B" w:rsidSect="003D017C">
          <w:headerReference w:type="even" r:id="rId17"/>
          <w:headerReference w:type="default" r:id="rId18"/>
          <w:pgSz w:w="11907" w:h="16834" w:code="9"/>
          <w:pgMar w:top="1134" w:right="1134" w:bottom="567" w:left="1134" w:header="720" w:footer="510" w:gutter="0"/>
          <w:paperSrc w:first="4" w:other="4"/>
          <w:pgNumType w:fmt="lowerRoman" w:start="2"/>
          <w:cols w:space="720"/>
          <w:bidi/>
          <w:rtlGutter/>
          <w:docGrid w:linePitch="299"/>
        </w:sectPr>
      </w:pPr>
    </w:p>
    <w:p w14:paraId="6A3CAA2D" w14:textId="37EFABCD" w:rsidR="002E6ECC" w:rsidRPr="0045598B" w:rsidRDefault="002E6ECC" w:rsidP="00AA1ACD">
      <w:pPr>
        <w:pStyle w:val="RecNo"/>
        <w:rPr>
          <w:rtl/>
        </w:rPr>
      </w:pPr>
      <w:r w:rsidRPr="00AA1ACD">
        <w:rPr>
          <w:rtl/>
        </w:rPr>
        <w:lastRenderedPageBreak/>
        <w:t>التوصيـة</w:t>
      </w:r>
      <w:r w:rsidRPr="00AA1ACD">
        <w:rPr>
          <w:rStyle w:val="href"/>
          <w:rFonts w:eastAsia="Times New Roman" w:cs="Times New Roman"/>
          <w:szCs w:val="20"/>
          <w:rtl/>
          <w:lang w:eastAsia="en-US" w:bidi="ar-SA"/>
        </w:rPr>
        <w:t xml:space="preserve"> </w:t>
      </w:r>
      <w:r w:rsidR="00CA603A" w:rsidRPr="00AA1ACD">
        <w:rPr>
          <w:rStyle w:val="href"/>
          <w:rFonts w:eastAsia="Times New Roman" w:cs="Times New Roman"/>
          <w:szCs w:val="20"/>
          <w:lang w:eastAsia="en-US" w:bidi="ar-SA"/>
        </w:rPr>
        <w:t xml:space="preserve">ITU-R </w:t>
      </w:r>
      <w:r w:rsidR="00AA1ACD" w:rsidRPr="00AA1ACD">
        <w:rPr>
          <w:rStyle w:val="href"/>
          <w:rFonts w:eastAsia="Times New Roman" w:cs="Times New Roman"/>
          <w:szCs w:val="20"/>
          <w:lang w:eastAsia="en-US" w:bidi="ar-SA"/>
        </w:rPr>
        <w:t>B</w:t>
      </w:r>
      <w:r w:rsidR="00CD2510">
        <w:rPr>
          <w:rStyle w:val="href"/>
          <w:rFonts w:eastAsia="Times New Roman" w:cs="Times New Roman"/>
          <w:szCs w:val="20"/>
          <w:lang w:eastAsia="en-US" w:bidi="ar-SA"/>
        </w:rPr>
        <w:t>T</w:t>
      </w:r>
      <w:r w:rsidR="00CA603A" w:rsidRPr="00AA1ACD">
        <w:rPr>
          <w:rStyle w:val="href"/>
          <w:rFonts w:eastAsia="Times New Roman" w:cs="Times New Roman"/>
          <w:szCs w:val="20"/>
          <w:lang w:eastAsia="en-US" w:bidi="ar-SA"/>
        </w:rPr>
        <w:t>.</w:t>
      </w:r>
      <w:r w:rsidR="00F15389">
        <w:rPr>
          <w:rStyle w:val="href"/>
          <w:rFonts w:eastAsia="Times New Roman" w:cs="Times New Roman"/>
          <w:szCs w:val="20"/>
          <w:lang w:eastAsia="en-US" w:bidi="ar-SA"/>
        </w:rPr>
        <w:t>1775-1</w:t>
      </w:r>
    </w:p>
    <w:p w14:paraId="34596713" w14:textId="5714DA6F" w:rsidR="002E6ECC" w:rsidRDefault="00F15389" w:rsidP="00F15389">
      <w:pPr>
        <w:pStyle w:val="Rectitle"/>
        <w:rPr>
          <w:rtl/>
        </w:rPr>
      </w:pPr>
      <w:r>
        <w:rPr>
          <w:rtl/>
        </w:rPr>
        <w:t>نسق الملفات مع إمكانية تحريرها من أجل تبادل البيانات المرجعية</w:t>
      </w:r>
      <w:r>
        <w:br/>
      </w:r>
      <w:r>
        <w:rPr>
          <w:rtl/>
        </w:rPr>
        <w:t>والسمعية والفيديوية والجوهرية والإضافية لاستعمالها في الإذاعة</w:t>
      </w:r>
    </w:p>
    <w:p w14:paraId="27831AA9" w14:textId="54CE43BA" w:rsidR="0082770F" w:rsidRPr="0023138B" w:rsidRDefault="0082770F" w:rsidP="0082770F">
      <w:pPr>
        <w:pStyle w:val="Recref"/>
        <w:rPr>
          <w:i w:val="0"/>
          <w:lang w:bidi="ar-EG"/>
        </w:rPr>
      </w:pPr>
      <w:r w:rsidRPr="0082770F">
        <w:rPr>
          <w:rFonts w:hint="cs"/>
          <w:i w:val="0"/>
          <w:rtl/>
          <w:lang w:bidi="ar-EG"/>
        </w:rPr>
        <w:t>(الم</w:t>
      </w:r>
      <w:r w:rsidRPr="0023138B">
        <w:rPr>
          <w:rFonts w:hint="cs"/>
          <w:i w:val="0"/>
          <w:rtl/>
          <w:lang w:bidi="ar-EG"/>
        </w:rPr>
        <w:t xml:space="preserve">سألة </w:t>
      </w:r>
      <w:hyperlink r:id="rId19" w:history="1">
        <w:r w:rsidRPr="0023138B">
          <w:rPr>
            <w:rStyle w:val="Hyperlink"/>
            <w:i w:val="0"/>
            <w:color w:val="auto"/>
            <w:u w:val="none"/>
            <w:lang w:bidi="ar-EG"/>
          </w:rPr>
          <w:t>ITU-R 34-3/6</w:t>
        </w:r>
      </w:hyperlink>
      <w:r w:rsidRPr="0023138B">
        <w:rPr>
          <w:rFonts w:hint="cs"/>
          <w:i w:val="0"/>
          <w:rtl/>
          <w:lang w:bidi="ar-EG"/>
        </w:rPr>
        <w:t>)</w:t>
      </w:r>
    </w:p>
    <w:p w14:paraId="64D41EDD" w14:textId="5167FFC2" w:rsidR="002E6ECC" w:rsidRPr="006E3D0D" w:rsidRDefault="002E6ECC" w:rsidP="005425A3">
      <w:pPr>
        <w:pStyle w:val="Recdate"/>
        <w:spacing w:before="240"/>
        <w:rPr>
          <w:rtl/>
        </w:rPr>
      </w:pPr>
      <w:r w:rsidRPr="006E3D0D">
        <w:t>(</w:t>
      </w:r>
      <w:r w:rsidR="00F15389">
        <w:t>2023-2006</w:t>
      </w:r>
      <w:r w:rsidRPr="006E3D0D">
        <w:t>)</w:t>
      </w:r>
    </w:p>
    <w:p w14:paraId="163D26C0" w14:textId="77777777" w:rsidR="00825361" w:rsidRPr="000A7439" w:rsidRDefault="00825361" w:rsidP="00754F10">
      <w:pPr>
        <w:pStyle w:val="HeadingSum"/>
        <w:rPr>
          <w:rtl/>
        </w:rPr>
      </w:pPr>
      <w:r>
        <w:rPr>
          <w:rFonts w:hint="cs"/>
          <w:rtl/>
        </w:rPr>
        <w:t>مجال التطبيق</w:t>
      </w:r>
    </w:p>
    <w:p w14:paraId="43044F05" w14:textId="77777777" w:rsidR="00825361" w:rsidRDefault="00825361" w:rsidP="00825361">
      <w:pPr>
        <w:rPr>
          <w:rtl/>
          <w:lang w:bidi="ar-EG"/>
        </w:rPr>
      </w:pPr>
      <w:r>
        <w:rPr>
          <w:rFonts w:hint="cs"/>
          <w:rtl/>
          <w:lang w:bidi="ar-EG"/>
        </w:rPr>
        <w:t>تحدد هذه التوصية نسق الملفات المستخدم في البيئة الإذاعية. ويمكن تحرير نسق الملفات وتسييره في الوقت الفعلي وفي غير الوقت الفعلي، وهو لا يتطرق لأنساق الصور ولا للفيديو المضغوط.</w:t>
      </w:r>
    </w:p>
    <w:p w14:paraId="1758404C" w14:textId="77777777" w:rsidR="00825361" w:rsidRDefault="00825361" w:rsidP="0082770F">
      <w:pPr>
        <w:pStyle w:val="Normalaftertitle"/>
        <w:rPr>
          <w:rtl/>
          <w:lang w:bidi="ar-EG"/>
        </w:rPr>
      </w:pPr>
      <w:r>
        <w:rPr>
          <w:rFonts w:hint="cs"/>
          <w:rtl/>
          <w:lang w:bidi="ar-EG"/>
        </w:rPr>
        <w:t>إن جمعية الاتصالات الراديوية التابعة للاتحاد الدولي للاتصالات،</w:t>
      </w:r>
    </w:p>
    <w:p w14:paraId="2FA7500B" w14:textId="1BE136A7" w:rsidR="00825361" w:rsidRPr="000A7439" w:rsidRDefault="00825361" w:rsidP="0082770F">
      <w:pPr>
        <w:pStyle w:val="Call"/>
        <w:rPr>
          <w:rtl/>
        </w:rPr>
      </w:pPr>
      <w:r w:rsidRPr="000A7439">
        <w:rPr>
          <w:rFonts w:hint="cs"/>
          <w:rtl/>
        </w:rPr>
        <w:t>إذ تضع في اعتبارها</w:t>
      </w:r>
    </w:p>
    <w:p w14:paraId="40B684D2" w14:textId="23F0A517" w:rsidR="00825361" w:rsidRDefault="0082770F" w:rsidP="00825361">
      <w:pPr>
        <w:rPr>
          <w:rtl/>
          <w:lang w:bidi="ar-EG"/>
        </w:rPr>
      </w:pPr>
      <w:r>
        <w:rPr>
          <w:rFonts w:hint="cs"/>
          <w:i/>
          <w:iCs/>
          <w:rtl/>
          <w:lang w:bidi="ar-EG"/>
        </w:rPr>
        <w:t xml:space="preserve"> </w:t>
      </w:r>
      <w:r w:rsidR="00825361" w:rsidRPr="00825361">
        <w:rPr>
          <w:rFonts w:hint="cs"/>
          <w:i/>
          <w:iCs/>
          <w:rtl/>
          <w:lang w:bidi="ar-EG"/>
        </w:rPr>
        <w:t>أ )</w:t>
      </w:r>
      <w:r w:rsidR="00825361">
        <w:rPr>
          <w:rFonts w:hint="cs"/>
          <w:rtl/>
          <w:lang w:bidi="ar-EG"/>
        </w:rPr>
        <w:tab/>
        <w:t>أن أنظمة التخزين المستندة إلى تكنولوجيا المعلومات، بما في ذلك أقراص وشرائط البيانات اخترقت جميع مجالات البيئة الحرفية التلفزيونية، الإنتاج، التحرير غير الخطي، البلاي أوت، الإنتاج اللاحق، الإنتاج التسويقي، الأرشفة (إنشاء السجلات)، المساهمة والتوزيع؛</w:t>
      </w:r>
    </w:p>
    <w:p w14:paraId="3512496D" w14:textId="77777777" w:rsidR="00825361" w:rsidRDefault="00825361" w:rsidP="00825361">
      <w:pPr>
        <w:rPr>
          <w:rtl/>
          <w:lang w:bidi="ar-EG"/>
        </w:rPr>
      </w:pPr>
      <w:r w:rsidRPr="00825361">
        <w:rPr>
          <w:rFonts w:hint="cs"/>
          <w:i/>
          <w:iCs/>
          <w:rtl/>
          <w:lang w:bidi="ar-EG"/>
        </w:rPr>
        <w:t>ب)</w:t>
      </w:r>
      <w:r>
        <w:rPr>
          <w:rFonts w:hint="cs"/>
          <w:rtl/>
          <w:lang w:bidi="ar-EG"/>
        </w:rPr>
        <w:tab/>
        <w:t>أنه يدخل في مجالات الإنتاج التلفزيوني في الوقت الراهن الكثير والكثير من أنظمة عالم تكنولوجيا المعلومات مثل الشبكات وأنظمة التشغيل؛</w:t>
      </w:r>
    </w:p>
    <w:p w14:paraId="1997ABF9" w14:textId="523FCF7F" w:rsidR="00825361" w:rsidRDefault="00825361" w:rsidP="00825361">
      <w:pPr>
        <w:rPr>
          <w:rtl/>
          <w:lang w:bidi="ar-EG"/>
        </w:rPr>
      </w:pPr>
      <w:r w:rsidRPr="00825361">
        <w:rPr>
          <w:rFonts w:hint="cs"/>
          <w:i/>
          <w:iCs/>
          <w:rtl/>
          <w:lang w:bidi="ar-EG"/>
        </w:rPr>
        <w:t>ج)</w:t>
      </w:r>
      <w:r>
        <w:rPr>
          <w:rFonts w:hint="cs"/>
          <w:rtl/>
          <w:lang w:bidi="ar-EG"/>
        </w:rPr>
        <w:tab/>
        <w:t>أن تطبيقات المساهمة والتوزيع في مجال الإذاعة التلفزيونية يجري تنفيذها استناداً إلى منصات برامجية تضم محتوياتها (البيانات المرجعية والسمعية والفيديوية والجوهرية والإضافية) في صورة ملفات؛</w:t>
      </w:r>
    </w:p>
    <w:p w14:paraId="6AAD2CF9" w14:textId="77777777" w:rsidR="00825361" w:rsidRDefault="00825361" w:rsidP="00825361">
      <w:pPr>
        <w:rPr>
          <w:rtl/>
          <w:lang w:bidi="ar-EG"/>
        </w:rPr>
      </w:pPr>
      <w:r w:rsidRPr="00825361">
        <w:rPr>
          <w:rFonts w:hint="cs"/>
          <w:i/>
          <w:iCs/>
          <w:rtl/>
          <w:lang w:bidi="ar-EG"/>
        </w:rPr>
        <w:t>د )</w:t>
      </w:r>
      <w:r>
        <w:rPr>
          <w:rFonts w:hint="cs"/>
          <w:rtl/>
          <w:lang w:bidi="ar-EG"/>
        </w:rPr>
        <w:tab/>
        <w:t>أن تبادل الملفات لا يسبب مزيداً من التدهور في جودة الصوت والصورة إذا كانت الإشارات السمعية والفيديوية المضغوطة المقدمة في صلب الملف، على سبيل المثال، يتم نقلها في صورتها المضغوطة الأصلية؛</w:t>
      </w:r>
    </w:p>
    <w:p w14:paraId="10A32B2B" w14:textId="77777777" w:rsidR="00825361" w:rsidRDefault="00825361" w:rsidP="00825361">
      <w:pPr>
        <w:rPr>
          <w:rtl/>
          <w:lang w:bidi="ar-EG"/>
        </w:rPr>
      </w:pPr>
      <w:r w:rsidRPr="00825361">
        <w:rPr>
          <w:rFonts w:hint="cs"/>
          <w:i/>
          <w:iCs/>
          <w:rtl/>
          <w:lang w:bidi="ar-EG"/>
        </w:rPr>
        <w:t>ﻫ )</w:t>
      </w:r>
      <w:r>
        <w:rPr>
          <w:rFonts w:hint="cs"/>
          <w:rtl/>
          <w:lang w:bidi="ar-EG"/>
        </w:rPr>
        <w:tab/>
        <w:t>أن تبادل الملفات يمكن مواءمته بسهولة مع عرض نطاق القناة المتاحة بحيث يتسنى للمستخدم توفيق عرض نطاق النقل مع زمن النقل؛</w:t>
      </w:r>
    </w:p>
    <w:p w14:paraId="5EBBDAE0" w14:textId="77777777" w:rsidR="00825361" w:rsidRDefault="00825361" w:rsidP="00825361">
      <w:pPr>
        <w:rPr>
          <w:rtl/>
          <w:lang w:bidi="ar-EG"/>
        </w:rPr>
      </w:pPr>
      <w:r w:rsidRPr="00825361">
        <w:rPr>
          <w:rFonts w:hint="cs"/>
          <w:i/>
          <w:iCs/>
          <w:rtl/>
          <w:lang w:bidi="ar-EG"/>
        </w:rPr>
        <w:t>و )</w:t>
      </w:r>
      <w:r>
        <w:rPr>
          <w:rFonts w:hint="cs"/>
          <w:rtl/>
          <w:lang w:bidi="ar-EG"/>
        </w:rPr>
        <w:tab/>
        <w:t>أن مقدمي خدمات الإذاعة التلفزيونية ينشدون مخططاً يتسم بالقدرة على التشغيل البيني ويكون منسقاً لنقل البيانات المرجعية والسمعية والفيديوية والجوهرية والإضافية في ملف مشترك؛</w:t>
      </w:r>
    </w:p>
    <w:p w14:paraId="67C89D70" w14:textId="77777777" w:rsidR="00825361" w:rsidRDefault="00825361" w:rsidP="00825361">
      <w:pPr>
        <w:rPr>
          <w:rtl/>
          <w:lang w:bidi="ar-EG"/>
        </w:rPr>
      </w:pPr>
      <w:r w:rsidRPr="00825361">
        <w:rPr>
          <w:rFonts w:hint="cs"/>
          <w:i/>
          <w:iCs/>
          <w:rtl/>
          <w:lang w:bidi="ar-EG"/>
        </w:rPr>
        <w:t>ز )</w:t>
      </w:r>
      <w:r>
        <w:rPr>
          <w:rFonts w:hint="cs"/>
          <w:rtl/>
          <w:lang w:bidi="ar-EG"/>
        </w:rPr>
        <w:tab/>
        <w:t>أن البيانات المرجعية والسمعية والفيديوية والجوهرية والإضافية يمكن تخزينها كملفات مستقلة على أن يتم عمل التزامن فيما بينها في وقت لاحق؛</w:t>
      </w:r>
    </w:p>
    <w:p w14:paraId="164CB844" w14:textId="77777777" w:rsidR="00825361" w:rsidRDefault="00825361" w:rsidP="00825361">
      <w:pPr>
        <w:rPr>
          <w:rtl/>
          <w:lang w:bidi="ar-EG"/>
        </w:rPr>
      </w:pPr>
      <w:r w:rsidRPr="00825361">
        <w:rPr>
          <w:rFonts w:hint="cs"/>
          <w:i/>
          <w:iCs/>
          <w:rtl/>
          <w:lang w:bidi="ar-EG"/>
        </w:rPr>
        <w:t>ح)</w:t>
      </w:r>
      <w:r>
        <w:rPr>
          <w:rFonts w:hint="cs"/>
          <w:rtl/>
          <w:lang w:bidi="ar-EG"/>
        </w:rPr>
        <w:tab/>
        <w:t>أنه يمكن إنشاء أنظمة باستخدام حاسب نوعي يضيف فوائد اقتصادية للنظام ككل؛</w:t>
      </w:r>
    </w:p>
    <w:p w14:paraId="1845D5BB" w14:textId="77777777" w:rsidR="00825361" w:rsidRDefault="00825361" w:rsidP="00825361">
      <w:pPr>
        <w:rPr>
          <w:rtl/>
          <w:lang w:bidi="ar-EG"/>
        </w:rPr>
      </w:pPr>
      <w:r w:rsidRPr="00825361">
        <w:rPr>
          <w:rFonts w:hint="cs"/>
          <w:i/>
          <w:iCs/>
          <w:rtl/>
          <w:lang w:bidi="ar-EG"/>
        </w:rPr>
        <w:t>ط)</w:t>
      </w:r>
      <w:r>
        <w:rPr>
          <w:rFonts w:hint="cs"/>
          <w:rtl/>
          <w:lang w:bidi="ar-EG"/>
        </w:rPr>
        <w:tab/>
        <w:t>أن تكنولوجيا نسق وتبادل المعلومات تقدم مزايا كبيرة بالنسبة لمرونة التشغيل وتدفق الإنتاج وأتمتة المحطات؛</w:t>
      </w:r>
    </w:p>
    <w:p w14:paraId="4A253648" w14:textId="77777777" w:rsidR="00825361" w:rsidRPr="0023138B" w:rsidRDefault="00825361" w:rsidP="00825361">
      <w:pPr>
        <w:rPr>
          <w:spacing w:val="-4"/>
          <w:rtl/>
          <w:lang w:bidi="ar-EG"/>
        </w:rPr>
      </w:pPr>
      <w:r w:rsidRPr="0023138B">
        <w:rPr>
          <w:rFonts w:hint="cs"/>
          <w:i/>
          <w:iCs/>
          <w:spacing w:val="-4"/>
          <w:rtl/>
          <w:lang w:bidi="ar-EG"/>
        </w:rPr>
        <w:t>ي)</w:t>
      </w:r>
      <w:r w:rsidRPr="0023138B">
        <w:rPr>
          <w:rFonts w:hint="cs"/>
          <w:spacing w:val="-4"/>
          <w:rtl/>
          <w:lang w:bidi="ar-EG"/>
        </w:rPr>
        <w:tab/>
        <w:t>أن مقدمي خدمة الإذاعة التلفزيونية في كثير من الإدارات يبحثون عن طريقة للتحول من أنظمة التسجيل المستخدمة لشرائط الفيديو في الإنتاج والإنتاج اللاحق والأرشفة إلى نظام يستند إلى الملفات يصلح للعمل في الوقت الفعلي وفي غير الوقت الفعلي؛</w:t>
      </w:r>
    </w:p>
    <w:p w14:paraId="10A04FB6" w14:textId="77777777" w:rsidR="00825361" w:rsidRDefault="00825361" w:rsidP="00825361">
      <w:pPr>
        <w:rPr>
          <w:rtl/>
          <w:lang w:bidi="ar-EG"/>
        </w:rPr>
      </w:pPr>
      <w:r w:rsidRPr="00825361">
        <w:rPr>
          <w:rFonts w:hint="cs"/>
          <w:i/>
          <w:iCs/>
          <w:rtl/>
          <w:lang w:bidi="ar-EG"/>
        </w:rPr>
        <w:t>ك)</w:t>
      </w:r>
      <w:r>
        <w:rPr>
          <w:rFonts w:hint="cs"/>
          <w:rtl/>
          <w:lang w:bidi="ar-EG"/>
        </w:rPr>
        <w:tab/>
        <w:t>أن التواصل بين مقدمي الخدمة الإذاعية فيما بينهم وبينهم وبين مورديهم ووكالاتهم يعتمد على أنساق الملفات؛</w:t>
      </w:r>
    </w:p>
    <w:p w14:paraId="711EADA4" w14:textId="77777777" w:rsidR="00825361" w:rsidRDefault="00825361" w:rsidP="00825361">
      <w:pPr>
        <w:rPr>
          <w:rtl/>
          <w:lang w:bidi="ar-EG"/>
        </w:rPr>
      </w:pPr>
      <w:r w:rsidRPr="00825361">
        <w:rPr>
          <w:rFonts w:hint="cs"/>
          <w:i/>
          <w:iCs/>
          <w:rtl/>
          <w:lang w:bidi="ar-EG"/>
        </w:rPr>
        <w:lastRenderedPageBreak/>
        <w:t>ل)</w:t>
      </w:r>
      <w:r>
        <w:rPr>
          <w:rFonts w:hint="cs"/>
          <w:rtl/>
          <w:lang w:bidi="ar-EG"/>
        </w:rPr>
        <w:tab/>
        <w:t>أن المصطلحات والمواصفات الخاصة بتبادل البيانات المرجعية والسمعية والفيديوية والجوهرية والإضافية قد تم تحديدها طبقاً للمعايير ذات الصلة من جانب جمعية مهندسي الصور المتحركة والتلفزيون وأنها حازت على قبول كبير من الصناعات الإذاعية والصناعات المرتبطة بها؛</w:t>
      </w:r>
    </w:p>
    <w:p w14:paraId="40F85315" w14:textId="77777777" w:rsidR="00825361" w:rsidRDefault="00825361" w:rsidP="00825361">
      <w:pPr>
        <w:rPr>
          <w:rtl/>
          <w:lang w:bidi="ar-EG"/>
        </w:rPr>
      </w:pPr>
      <w:r w:rsidRPr="00825361">
        <w:rPr>
          <w:rFonts w:hint="cs"/>
          <w:i/>
          <w:iCs/>
          <w:rtl/>
          <w:lang w:bidi="ar-EG"/>
        </w:rPr>
        <w:t>م )</w:t>
      </w:r>
      <w:r>
        <w:rPr>
          <w:rFonts w:hint="cs"/>
          <w:rtl/>
          <w:lang w:bidi="ar-EG"/>
        </w:rPr>
        <w:tab/>
        <w:t>أن مصنعي معدات الإذاعة التلفزيونية وواضعي البرمجيات أنشأوا سلسلة من الإجراءات التنفيذية من أجل التبادل المرن والواسع للملفات المحتوية على بيانات مرجعية وسمعية وفيديوية وجوهرية وإضافية؛</w:t>
      </w:r>
    </w:p>
    <w:p w14:paraId="119812B1" w14:textId="77777777" w:rsidR="00825361" w:rsidRDefault="00825361" w:rsidP="00825361">
      <w:pPr>
        <w:rPr>
          <w:rtl/>
          <w:lang w:bidi="ar-EG"/>
        </w:rPr>
      </w:pPr>
      <w:r w:rsidRPr="00825361">
        <w:rPr>
          <w:rFonts w:hint="cs"/>
          <w:i/>
          <w:iCs/>
          <w:rtl/>
          <w:lang w:bidi="ar-EG"/>
        </w:rPr>
        <w:t>ن)</w:t>
      </w:r>
      <w:r>
        <w:rPr>
          <w:rFonts w:hint="cs"/>
          <w:rtl/>
          <w:lang w:bidi="ar-EG"/>
        </w:rPr>
        <w:tab/>
        <w:t>أن هذه المعايير الخاصة بأنساق الملفات تخضع للتطوير المستمر،</w:t>
      </w:r>
    </w:p>
    <w:p w14:paraId="1211BD69" w14:textId="447865A6" w:rsidR="00825361" w:rsidRPr="00BE7ADA" w:rsidRDefault="00825361" w:rsidP="0082770F">
      <w:pPr>
        <w:pStyle w:val="Call"/>
        <w:rPr>
          <w:rtl/>
        </w:rPr>
      </w:pPr>
      <w:r w:rsidRPr="00BE7ADA">
        <w:rPr>
          <w:rFonts w:hint="cs"/>
          <w:rtl/>
        </w:rPr>
        <w:t>توصي</w:t>
      </w:r>
    </w:p>
    <w:p w14:paraId="4D9C25F5" w14:textId="7C6F84B4" w:rsidR="00825361" w:rsidRPr="00A8298F" w:rsidRDefault="00825361" w:rsidP="00825361">
      <w:pPr>
        <w:rPr>
          <w:spacing w:val="-6"/>
          <w:rtl/>
          <w:lang w:bidi="ar-EG"/>
        </w:rPr>
      </w:pPr>
      <w:r w:rsidRPr="00A8298F">
        <w:rPr>
          <w:spacing w:val="-6"/>
          <w:lang w:bidi="ar-EG"/>
        </w:rPr>
        <w:t>1</w:t>
      </w:r>
      <w:r w:rsidRPr="00A8298F">
        <w:rPr>
          <w:rFonts w:hint="cs"/>
          <w:spacing w:val="-6"/>
          <w:rtl/>
          <w:lang w:bidi="ar-EG"/>
        </w:rPr>
        <w:tab/>
        <w:t>بأنه يجب أن تتفق المواصفة الخاصة بنسق الملفات القابلة للتحرير والمستخدمة في الإذاعة مع نسق الملفات الموضح في</w:t>
      </w:r>
      <w:r w:rsidR="0023138B" w:rsidRPr="00A8298F">
        <w:rPr>
          <w:rFonts w:hint="eastAsia"/>
          <w:spacing w:val="-6"/>
          <w:rtl/>
          <w:lang w:bidi="ar-EG"/>
        </w:rPr>
        <w:t> </w:t>
      </w:r>
      <w:r w:rsidRPr="00A8298F">
        <w:rPr>
          <w:rFonts w:hint="cs"/>
          <w:spacing w:val="-6"/>
          <w:rtl/>
          <w:lang w:bidi="ar-EG"/>
        </w:rPr>
        <w:t>الم</w:t>
      </w:r>
      <w:r w:rsidR="008502BB" w:rsidRPr="00A8298F">
        <w:rPr>
          <w:rFonts w:hint="cs"/>
          <w:spacing w:val="-6"/>
          <w:rtl/>
          <w:lang w:bidi="ar-EG"/>
        </w:rPr>
        <w:t>لحق</w:t>
      </w:r>
      <w:r w:rsidRPr="00A8298F">
        <w:rPr>
          <w:rFonts w:hint="cs"/>
          <w:spacing w:val="-6"/>
          <w:rtl/>
          <w:lang w:bidi="ar-EG"/>
        </w:rPr>
        <w:t xml:space="preserve"> </w:t>
      </w:r>
      <w:proofErr w:type="gramStart"/>
      <w:r w:rsidRPr="00A8298F">
        <w:rPr>
          <w:spacing w:val="-6"/>
          <w:lang w:bidi="ar-EG"/>
        </w:rPr>
        <w:t>1</w:t>
      </w:r>
      <w:r w:rsidRPr="00A8298F">
        <w:rPr>
          <w:rFonts w:hint="cs"/>
          <w:spacing w:val="-6"/>
          <w:rtl/>
          <w:lang w:bidi="ar-EG"/>
        </w:rPr>
        <w:t>؛</w:t>
      </w:r>
      <w:proofErr w:type="gramEnd"/>
    </w:p>
    <w:p w14:paraId="7A690669" w14:textId="4049141F" w:rsidR="00825361" w:rsidRDefault="00825361" w:rsidP="00825361">
      <w:pPr>
        <w:rPr>
          <w:rtl/>
          <w:lang w:bidi="ar-EG"/>
        </w:rPr>
      </w:pPr>
      <w:r w:rsidRPr="0023138B">
        <w:rPr>
          <w:lang w:bidi="ar-EG"/>
        </w:rPr>
        <w:t>2</w:t>
      </w:r>
      <w:r>
        <w:rPr>
          <w:rFonts w:hint="cs"/>
          <w:b/>
          <w:bCs/>
          <w:rtl/>
          <w:lang w:bidi="ar-EG"/>
        </w:rPr>
        <w:tab/>
      </w:r>
      <w:r>
        <w:rPr>
          <w:rFonts w:hint="cs"/>
          <w:rtl/>
          <w:lang w:bidi="ar-EG"/>
        </w:rPr>
        <w:t>بأنه يجب أن تتفق المواصفة الخاصة ب</w:t>
      </w:r>
      <w:r w:rsidR="00DD6AA4">
        <w:rPr>
          <w:rFonts w:hint="cs"/>
          <w:rtl/>
          <w:lang w:bidi="ar-EG"/>
        </w:rPr>
        <w:t>الحاوية العامة</w:t>
      </w:r>
      <w:r>
        <w:rPr>
          <w:rFonts w:hint="cs"/>
          <w:rtl/>
          <w:lang w:bidi="ar-EG"/>
        </w:rPr>
        <w:t xml:space="preserve"> مع </w:t>
      </w:r>
      <w:r w:rsidR="00DD6AA4">
        <w:rPr>
          <w:rFonts w:hint="cs"/>
          <w:rtl/>
          <w:lang w:bidi="ar-EG"/>
        </w:rPr>
        <w:t>الحاوية العامة</w:t>
      </w:r>
      <w:r>
        <w:rPr>
          <w:rFonts w:hint="cs"/>
          <w:rtl/>
          <w:lang w:bidi="ar-EG"/>
        </w:rPr>
        <w:t xml:space="preserve"> الموضحة في الم</w:t>
      </w:r>
      <w:r w:rsidR="00DD6AA4">
        <w:rPr>
          <w:rFonts w:hint="cs"/>
          <w:rtl/>
          <w:lang w:bidi="ar-EG"/>
        </w:rPr>
        <w:t>لح</w:t>
      </w:r>
      <w:r>
        <w:rPr>
          <w:rFonts w:hint="cs"/>
          <w:rtl/>
          <w:lang w:bidi="ar-EG"/>
        </w:rPr>
        <w:t xml:space="preserve">ق </w:t>
      </w:r>
      <w:proofErr w:type="gramStart"/>
      <w:r>
        <w:rPr>
          <w:lang w:bidi="ar-EG"/>
        </w:rPr>
        <w:t>2</w:t>
      </w:r>
      <w:r>
        <w:rPr>
          <w:rFonts w:hint="cs"/>
          <w:rtl/>
          <w:lang w:bidi="ar-EG"/>
        </w:rPr>
        <w:t>؛</w:t>
      </w:r>
      <w:proofErr w:type="gramEnd"/>
    </w:p>
    <w:p w14:paraId="2A27E541" w14:textId="77777777" w:rsidR="00825361" w:rsidRDefault="00825361" w:rsidP="00825361">
      <w:pPr>
        <w:rPr>
          <w:rtl/>
          <w:lang w:bidi="ar-EG"/>
        </w:rPr>
      </w:pPr>
      <w:r w:rsidRPr="0023138B">
        <w:rPr>
          <w:lang w:bidi="ar-EG"/>
        </w:rPr>
        <w:t>3</w:t>
      </w:r>
      <w:r>
        <w:rPr>
          <w:rFonts w:hint="cs"/>
          <w:rtl/>
          <w:lang w:bidi="ar-EG"/>
        </w:rPr>
        <w:tab/>
        <w:t xml:space="preserve">بأنه يجب ألا تؤثر أي بيانات مرجعية مظلمة بالسلب أو الإيجاب على القدرة على التشغيل البيني أو الأداء الخاص بأي من أجهزة فك التشفير بنسق تبادل المواد </w:t>
      </w:r>
      <w:r>
        <w:rPr>
          <w:lang w:bidi="ar-EG"/>
        </w:rPr>
        <w:t>MXF</w:t>
      </w:r>
      <w:r>
        <w:rPr>
          <w:rFonts w:hint="cs"/>
          <w:rtl/>
          <w:lang w:bidi="ar-EG"/>
        </w:rPr>
        <w:t>.</w:t>
      </w:r>
      <w:r>
        <w:rPr>
          <w:rStyle w:val="FootnoteReference"/>
          <w:rtl/>
          <w:lang w:bidi="ar-EG"/>
        </w:rPr>
        <w:footnoteReference w:id="1"/>
      </w:r>
    </w:p>
    <w:p w14:paraId="2CCF6DEB" w14:textId="77777777" w:rsidR="00A8298F" w:rsidRDefault="00A8298F" w:rsidP="00825361">
      <w:pPr>
        <w:rPr>
          <w:rtl/>
          <w:lang w:bidi="ar-EG"/>
        </w:rPr>
      </w:pPr>
    </w:p>
    <w:p w14:paraId="31E5010F" w14:textId="795E7C38" w:rsidR="00825361" w:rsidRPr="00E2481B" w:rsidRDefault="00825361" w:rsidP="006E5AAD">
      <w:pPr>
        <w:pStyle w:val="AnnexNoTitle"/>
        <w:rPr>
          <w:rtl/>
          <w:lang w:bidi="ar-EG"/>
        </w:rPr>
      </w:pPr>
      <w:r w:rsidRPr="00F6043B">
        <w:rPr>
          <w:rFonts w:hint="cs"/>
          <w:rtl/>
          <w:lang w:bidi="ar-EG"/>
        </w:rPr>
        <w:t>الم</w:t>
      </w:r>
      <w:r w:rsidR="00F6043B">
        <w:rPr>
          <w:rFonts w:hint="cs"/>
          <w:rtl/>
          <w:lang w:bidi="ar-EG"/>
        </w:rPr>
        <w:t>لح</w:t>
      </w:r>
      <w:r w:rsidRPr="00F6043B">
        <w:rPr>
          <w:rFonts w:hint="cs"/>
          <w:rtl/>
          <w:lang w:bidi="ar-EG"/>
        </w:rPr>
        <w:t xml:space="preserve">ق </w:t>
      </w:r>
      <w:r w:rsidRPr="00F6043B">
        <w:rPr>
          <w:lang w:bidi="ar-EG"/>
        </w:rPr>
        <w:t>1</w:t>
      </w:r>
      <w:r w:rsidR="008D418E" w:rsidRPr="00F6043B">
        <w:rPr>
          <w:lang w:bidi="ar-EG"/>
        </w:rPr>
        <w:br/>
      </w:r>
      <w:r w:rsidR="008D418E" w:rsidRPr="00F6043B">
        <w:rPr>
          <w:lang w:bidi="ar-EG"/>
        </w:rPr>
        <w:br/>
      </w:r>
      <w:r w:rsidR="00F6043B" w:rsidRPr="00F6043B">
        <w:rPr>
          <w:rFonts w:hint="cs"/>
          <w:rtl/>
          <w:lang w:bidi="ar-EG"/>
        </w:rPr>
        <w:t xml:space="preserve">المعيار </w:t>
      </w:r>
      <w:r w:rsidRPr="00F6043B">
        <w:rPr>
          <w:lang w:bidi="ar-EG"/>
        </w:rPr>
        <w:t xml:space="preserve">SMPTE </w:t>
      </w:r>
      <w:r w:rsidR="008D418E" w:rsidRPr="00F6043B">
        <w:rPr>
          <w:lang w:bidi="ar-EG"/>
        </w:rPr>
        <w:t>ST 377-1:2019</w:t>
      </w:r>
      <w:r w:rsidR="008D418E" w:rsidRPr="00F6043B">
        <w:rPr>
          <w:rStyle w:val="FootnoteReference"/>
          <w:rtl/>
          <w:lang w:bidi="ar-EG"/>
        </w:rPr>
        <w:footnoteReference w:id="2"/>
      </w:r>
    </w:p>
    <w:p w14:paraId="39667371" w14:textId="77777777" w:rsidR="00825361" w:rsidRPr="00E2481B" w:rsidRDefault="00825361" w:rsidP="006E5AAD">
      <w:pPr>
        <w:pStyle w:val="AnnexNoTitle"/>
        <w:rPr>
          <w:rtl/>
          <w:lang w:bidi="ar-EG"/>
        </w:rPr>
      </w:pPr>
      <w:r w:rsidRPr="00E2481B">
        <w:rPr>
          <w:rFonts w:hint="cs"/>
          <w:rtl/>
          <w:lang w:bidi="ar-EG"/>
        </w:rPr>
        <w:t>نسق تبادل المو</w:t>
      </w:r>
      <w:r>
        <w:rPr>
          <w:rFonts w:hint="cs"/>
          <w:rtl/>
          <w:lang w:bidi="ar-EG"/>
        </w:rPr>
        <w:t>ا</w:t>
      </w:r>
      <w:r w:rsidRPr="00E2481B">
        <w:rPr>
          <w:rFonts w:hint="cs"/>
          <w:rtl/>
          <w:lang w:bidi="ar-EG"/>
        </w:rPr>
        <w:t xml:space="preserve">د </w:t>
      </w:r>
      <w:r w:rsidRPr="00E2481B">
        <w:rPr>
          <w:lang w:bidi="ar-EG"/>
        </w:rPr>
        <w:t>(MXF)</w:t>
      </w:r>
      <w:r>
        <w:rPr>
          <w:rtl/>
          <w:lang w:bidi="ar-EG"/>
        </w:rPr>
        <w:br/>
      </w:r>
      <w:r w:rsidRPr="00E2481B">
        <w:rPr>
          <w:rFonts w:hint="cs"/>
          <w:rtl/>
          <w:lang w:bidi="ar-EG"/>
        </w:rPr>
        <w:t>المواصفة الخاصة بنسق الملفات</w:t>
      </w:r>
    </w:p>
    <w:p w14:paraId="2A678B78" w14:textId="40BFE3A2" w:rsidR="00825361" w:rsidRPr="003B6E84" w:rsidRDefault="00BF3EF5" w:rsidP="008D418E">
      <w:pPr>
        <w:pStyle w:val="Headingb"/>
        <w:rPr>
          <w:rtl/>
          <w:lang w:bidi="ar-EG"/>
        </w:rPr>
      </w:pPr>
      <w:r>
        <w:rPr>
          <w:rFonts w:hint="cs"/>
          <w:rtl/>
          <w:lang w:bidi="ar-JO"/>
        </w:rPr>
        <w:t>ملخص</w:t>
      </w:r>
    </w:p>
    <w:p w14:paraId="615E5721" w14:textId="3AC4823A" w:rsidR="00825361" w:rsidRDefault="00825361" w:rsidP="00825361">
      <w:pPr>
        <w:rPr>
          <w:rtl/>
          <w:lang w:bidi="ar-EG"/>
        </w:rPr>
      </w:pPr>
      <w:r>
        <w:rPr>
          <w:rFonts w:hint="cs"/>
          <w:rtl/>
          <w:lang w:bidi="ar-EG"/>
        </w:rPr>
        <w:t xml:space="preserve">يحدد هذا المعيار هيكل البيانات الخاص بنسق تبادل المواد </w:t>
      </w:r>
      <w:r>
        <w:rPr>
          <w:lang w:bidi="ar-EG"/>
        </w:rPr>
        <w:t>(MXF)</w:t>
      </w:r>
      <w:r>
        <w:rPr>
          <w:rFonts w:hint="cs"/>
          <w:rtl/>
          <w:lang w:bidi="ar-EG"/>
        </w:rPr>
        <w:t xml:space="preserve"> من أجل تبادل المواد السمعية المرئية. ويحدد هيكل البيانات بالنسبة لنقل الشبكة ويمكن استخدامه في أوساط التخزين. ولا يحدد هذا المعيار أنساق التخزين الداخلية للأجهزة المسايرة لنسق تبادل المواد </w:t>
      </w:r>
      <w:r>
        <w:rPr>
          <w:lang w:bidi="ar-EG"/>
        </w:rPr>
        <w:t>MXF</w:t>
      </w:r>
      <w:r>
        <w:rPr>
          <w:rFonts w:hint="cs"/>
          <w:rtl/>
          <w:lang w:bidi="ar-EG"/>
        </w:rPr>
        <w:t>.</w:t>
      </w:r>
    </w:p>
    <w:p w14:paraId="7B417356" w14:textId="4293D3E6" w:rsidR="00825361" w:rsidRDefault="00825361" w:rsidP="008D418E">
      <w:pPr>
        <w:rPr>
          <w:rtl/>
          <w:lang w:bidi="ar-EG"/>
        </w:rPr>
      </w:pPr>
      <w:r>
        <w:rPr>
          <w:rFonts w:hint="cs"/>
          <w:rtl/>
          <w:lang w:bidi="ar-EG"/>
        </w:rPr>
        <w:t xml:space="preserve">ويحدد هذا المعيار جميع مكونات المواصفة الخاصة بملف نسق تبادل المواد، بما في ذلك جميع المكونات الموجودة في عنوان الملف، وفي مضمون الملف وحواشيه. كما يحدد استخدام عملية تقسيم الملف إلى أقسام مما يوفر مزايا </w:t>
      </w:r>
      <w:r w:rsidR="00F6043B">
        <w:rPr>
          <w:rFonts w:hint="cs"/>
          <w:rtl/>
          <w:lang w:bidi="ar-EG"/>
        </w:rPr>
        <w:t xml:space="preserve">قيِّمة </w:t>
      </w:r>
      <w:r>
        <w:rPr>
          <w:rFonts w:hint="cs"/>
          <w:rtl/>
          <w:lang w:bidi="ar-EG"/>
        </w:rPr>
        <w:t xml:space="preserve">على غرار قدرة ملف نسق نقل المواد على تنفيذ الكثير من مطالب الاستخدام واسترداد الملفات المستلمة جزئياً. </w:t>
      </w:r>
      <w:r w:rsidR="00F6043B">
        <w:rPr>
          <w:rFonts w:hint="cs"/>
          <w:rtl/>
          <w:lang w:bidi="ar-EG"/>
        </w:rPr>
        <w:t>و</w:t>
      </w:r>
      <w:r>
        <w:rPr>
          <w:rFonts w:hint="cs"/>
          <w:rtl/>
          <w:lang w:bidi="ar-EG"/>
        </w:rPr>
        <w:t xml:space="preserve">تحدد </w:t>
      </w:r>
      <w:r w:rsidR="00F6043B">
        <w:rPr>
          <w:rFonts w:hint="cs"/>
          <w:rtl/>
          <w:lang w:bidi="ar-EG"/>
        </w:rPr>
        <w:t>هذا المعيار أيضاً</w:t>
      </w:r>
      <w:r>
        <w:rPr>
          <w:rFonts w:hint="cs"/>
          <w:rtl/>
          <w:lang w:bidi="ar-EG"/>
        </w:rPr>
        <w:t xml:space="preserve"> مزايا رئيسية لهيكل الملف بما في ذلك حزم التقسيم، البيانات المرجعية البنائية، الحزمة الأساسية وحزمة الدليل العشوائي والجداول الدليلية.</w:t>
      </w:r>
    </w:p>
    <w:p w14:paraId="18F2AF18" w14:textId="79DDE9A0" w:rsidR="00825361" w:rsidRDefault="00825361" w:rsidP="008D418E">
      <w:pPr>
        <w:rPr>
          <w:lang w:bidi="ar-EG"/>
        </w:rPr>
      </w:pPr>
      <w:r>
        <w:rPr>
          <w:rFonts w:hint="cs"/>
          <w:rtl/>
          <w:lang w:bidi="ar-EG"/>
        </w:rPr>
        <w:t xml:space="preserve">ولا يحدد المعيار </w:t>
      </w:r>
      <w:r w:rsidR="00DD6AA4">
        <w:rPr>
          <w:rFonts w:hint="cs"/>
          <w:rtl/>
          <w:lang w:bidi="ar-EG"/>
        </w:rPr>
        <w:t>الحاوية العامة</w:t>
      </w:r>
      <w:r>
        <w:rPr>
          <w:rFonts w:hint="cs"/>
          <w:rtl/>
          <w:lang w:bidi="ar-EG"/>
        </w:rPr>
        <w:t xml:space="preserve"> ولا البيانات المرجعية ال</w:t>
      </w:r>
      <w:r w:rsidR="005B4E21">
        <w:rPr>
          <w:rFonts w:hint="cs"/>
          <w:rtl/>
          <w:lang w:bidi="ar-EG"/>
        </w:rPr>
        <w:t>شرحية</w:t>
      </w:r>
      <w:r>
        <w:rPr>
          <w:rFonts w:hint="cs"/>
          <w:rtl/>
          <w:lang w:bidi="ar-EG"/>
        </w:rPr>
        <w:t>. ولكنه يحدد عوضاً عن ذلك الشروط الخاصة بالمكونات التي يجب إضافتها كمدخلات تقبس لملف نسق تبادل المواد.</w:t>
      </w:r>
    </w:p>
    <w:p w14:paraId="20498A5A" w14:textId="0D9CA43D" w:rsidR="008D418E" w:rsidRDefault="00F6043B" w:rsidP="00F6043B">
      <w:pPr>
        <w:rPr>
          <w:rtl/>
          <w:lang w:bidi="ar-EG"/>
        </w:rPr>
      </w:pPr>
      <w:r w:rsidRPr="00F6043B">
        <w:rPr>
          <w:rtl/>
          <w:lang w:bidi="ar-JO"/>
        </w:rPr>
        <w:t>ويمكن تنزيل المعيار</w:t>
      </w:r>
      <w:r>
        <w:rPr>
          <w:rFonts w:hint="cs"/>
          <w:rtl/>
          <w:lang w:bidi="ar-JO"/>
        </w:rPr>
        <w:t xml:space="preserve"> </w:t>
      </w:r>
      <w:r w:rsidRPr="00F6043B">
        <w:rPr>
          <w:lang w:val="en-GB" w:bidi="ar-JO"/>
        </w:rPr>
        <w:t>SMPTE ST 377-1:2019</w:t>
      </w:r>
      <w:r>
        <w:rPr>
          <w:rFonts w:hint="cs"/>
          <w:rtl/>
          <w:lang w:val="en-GB" w:bidi="ar-JO"/>
        </w:rPr>
        <w:t xml:space="preserve"> </w:t>
      </w:r>
      <w:r w:rsidRPr="00F6043B">
        <w:rPr>
          <w:rFonts w:hint="cs"/>
          <w:rtl/>
          <w:lang w:val="en-GB"/>
        </w:rPr>
        <w:t>عبر الرابط</w:t>
      </w:r>
      <w:r w:rsidRPr="00F6043B">
        <w:rPr>
          <w:rtl/>
          <w:lang w:val="en-GB"/>
        </w:rPr>
        <w:t>:</w:t>
      </w:r>
      <w:r>
        <w:rPr>
          <w:rFonts w:hint="cs"/>
          <w:rtl/>
          <w:lang w:val="en-GB"/>
        </w:rPr>
        <w:t xml:space="preserve"> </w:t>
      </w:r>
      <w:hyperlink r:id="rId20" w:history="1">
        <w:r w:rsidRPr="009A2DB0">
          <w:rPr>
            <w:rStyle w:val="Hyperlink"/>
            <w:shd w:val="clear" w:color="auto" w:fill="FFFFFF"/>
          </w:rPr>
          <w:t>https://ieeexplore.ieee.org/document/8984681</w:t>
        </w:r>
      </w:hyperlink>
    </w:p>
    <w:p w14:paraId="2E510F7A" w14:textId="13F37B4B" w:rsidR="00825361" w:rsidRPr="00E2481B" w:rsidRDefault="00825361" w:rsidP="006E5AAD">
      <w:pPr>
        <w:pStyle w:val="AnnexNoTitle"/>
        <w:rPr>
          <w:lang w:bidi="ar-EG"/>
        </w:rPr>
      </w:pPr>
      <w:r w:rsidRPr="00E2481B">
        <w:rPr>
          <w:rFonts w:hint="cs"/>
          <w:rtl/>
          <w:lang w:bidi="ar-EG"/>
        </w:rPr>
        <w:lastRenderedPageBreak/>
        <w:t>الم</w:t>
      </w:r>
      <w:r w:rsidR="00F6043B">
        <w:rPr>
          <w:rFonts w:hint="cs"/>
          <w:rtl/>
          <w:lang w:bidi="ar-EG"/>
        </w:rPr>
        <w:t>لح</w:t>
      </w:r>
      <w:r w:rsidRPr="00E2481B">
        <w:rPr>
          <w:rFonts w:hint="cs"/>
          <w:rtl/>
          <w:lang w:bidi="ar-EG"/>
        </w:rPr>
        <w:t xml:space="preserve">ق </w:t>
      </w:r>
      <w:r>
        <w:rPr>
          <w:lang w:bidi="ar-EG"/>
        </w:rPr>
        <w:t>2</w:t>
      </w:r>
      <w:r w:rsidR="008D418E">
        <w:rPr>
          <w:lang w:bidi="ar-EG"/>
        </w:rPr>
        <w:br/>
      </w:r>
      <w:r w:rsidR="008D418E">
        <w:rPr>
          <w:lang w:bidi="ar-EG"/>
        </w:rPr>
        <w:br/>
      </w:r>
      <w:r w:rsidRPr="00E2481B">
        <w:rPr>
          <w:lang w:bidi="ar-EG"/>
        </w:rPr>
        <w:t xml:space="preserve">SMPTE </w:t>
      </w:r>
      <w:r w:rsidR="008D418E">
        <w:rPr>
          <w:lang w:bidi="ar-EG"/>
        </w:rPr>
        <w:t>ST 379-2:2010</w:t>
      </w:r>
    </w:p>
    <w:p w14:paraId="76CB7649" w14:textId="50BED169" w:rsidR="00825361" w:rsidRPr="00E2481B" w:rsidRDefault="00825361" w:rsidP="006E5AAD">
      <w:pPr>
        <w:pStyle w:val="AnnexNoTitle"/>
        <w:rPr>
          <w:rtl/>
          <w:lang w:bidi="ar-EG"/>
        </w:rPr>
      </w:pPr>
      <w:r w:rsidRPr="00E2481B">
        <w:rPr>
          <w:rFonts w:hint="cs"/>
          <w:rtl/>
          <w:lang w:bidi="ar-EG"/>
        </w:rPr>
        <w:t xml:space="preserve">نسق تبادل المواد </w:t>
      </w:r>
      <w:r w:rsidRPr="00E2481B">
        <w:rPr>
          <w:lang w:bidi="ar-EG"/>
        </w:rPr>
        <w:t>(MXF)</w:t>
      </w:r>
      <w:r>
        <w:rPr>
          <w:rtl/>
          <w:lang w:bidi="ar-EG"/>
        </w:rPr>
        <w:br/>
      </w:r>
      <w:r w:rsidR="00DD6AA4">
        <w:rPr>
          <w:rFonts w:hint="cs"/>
          <w:rtl/>
          <w:lang w:bidi="ar-EG"/>
        </w:rPr>
        <w:t>الحاوية العامة</w:t>
      </w:r>
      <w:r>
        <w:rPr>
          <w:rFonts w:hint="cs"/>
          <w:rtl/>
          <w:lang w:bidi="ar-EG"/>
        </w:rPr>
        <w:t xml:space="preserve"> لنسق تبادل المواد</w:t>
      </w:r>
    </w:p>
    <w:p w14:paraId="5B862D17" w14:textId="600A036F" w:rsidR="008D418E" w:rsidRPr="003B6E84" w:rsidRDefault="00DD6AA4" w:rsidP="00DD6AA4">
      <w:pPr>
        <w:pStyle w:val="Headingb"/>
        <w:rPr>
          <w:rtl/>
          <w:lang w:bidi="ar-EG"/>
        </w:rPr>
      </w:pPr>
      <w:r w:rsidRPr="00DD6AA4">
        <w:rPr>
          <w:rFonts w:hint="cs"/>
          <w:rtl/>
          <w:lang w:bidi="ar-JO"/>
        </w:rPr>
        <w:t>ملخص</w:t>
      </w:r>
    </w:p>
    <w:p w14:paraId="06108444" w14:textId="56C1C363" w:rsidR="00825361" w:rsidRDefault="00825361" w:rsidP="00385FF3">
      <w:pPr>
        <w:spacing w:line="180" w:lineRule="auto"/>
        <w:rPr>
          <w:rtl/>
          <w:lang w:bidi="ar-EG"/>
        </w:rPr>
      </w:pPr>
      <w:r>
        <w:rPr>
          <w:rFonts w:hint="cs"/>
          <w:rtl/>
          <w:lang w:bidi="ar-EG"/>
        </w:rPr>
        <w:t xml:space="preserve">يحدد هذا المعيار </w:t>
      </w:r>
      <w:r w:rsidR="00DD6AA4" w:rsidRPr="00DD6AA4">
        <w:rPr>
          <w:rtl/>
        </w:rPr>
        <w:t>العديد من التحسينات بناء على</w:t>
      </w:r>
      <w:r w:rsidR="00DD6AA4" w:rsidRPr="00DD6AA4">
        <w:rPr>
          <w:rFonts w:hint="cs"/>
          <w:rtl/>
        </w:rPr>
        <w:t xml:space="preserve"> معيار</w:t>
      </w:r>
      <w:r w:rsidR="00DD6AA4" w:rsidRPr="00DD6AA4">
        <w:rPr>
          <w:rtl/>
        </w:rPr>
        <w:t xml:space="preserve"> </w:t>
      </w:r>
      <w:r w:rsidR="00DD6AA4" w:rsidRPr="00DD6AA4">
        <w:rPr>
          <w:cs/>
        </w:rPr>
        <w:t>‎</w:t>
      </w:r>
      <w:r w:rsidR="00DD6AA4" w:rsidRPr="00DD6AA4">
        <w:rPr>
          <w:lang w:bidi="ar-EG"/>
        </w:rPr>
        <w:t>SMPTE 379-1</w:t>
      </w:r>
      <w:r w:rsidR="00DD6AA4" w:rsidRPr="00DD6AA4">
        <w:rPr>
          <w:rtl/>
        </w:rPr>
        <w:t>. ‏</w:t>
      </w:r>
      <w:r w:rsidR="00DD6AA4" w:rsidRPr="00DD6AA4">
        <w:rPr>
          <w:rFonts w:hint="cs"/>
          <w:rtl/>
        </w:rPr>
        <w:t>ويوصِّف</w:t>
      </w:r>
      <w:r w:rsidR="00DD6AA4" w:rsidRPr="00DD6AA4">
        <w:rPr>
          <w:rtl/>
        </w:rPr>
        <w:t xml:space="preserve"> هذ</w:t>
      </w:r>
      <w:r w:rsidR="00DD6AA4" w:rsidRPr="00DD6AA4">
        <w:rPr>
          <w:rFonts w:hint="cs"/>
          <w:rtl/>
        </w:rPr>
        <w:t>ا</w:t>
      </w:r>
      <w:r w:rsidR="00DD6AA4" w:rsidRPr="00DD6AA4">
        <w:rPr>
          <w:rtl/>
        </w:rPr>
        <w:t xml:space="preserve"> </w:t>
      </w:r>
      <w:r w:rsidR="00DD6AA4" w:rsidRPr="00DD6AA4">
        <w:rPr>
          <w:rFonts w:hint="cs"/>
          <w:rtl/>
        </w:rPr>
        <w:t>المعيار</w:t>
      </w:r>
      <w:r w:rsidR="00DD6AA4" w:rsidRPr="00DD6AA4">
        <w:rPr>
          <w:rtl/>
        </w:rPr>
        <w:t xml:space="preserve"> </w:t>
      </w:r>
      <w:r>
        <w:rPr>
          <w:rFonts w:hint="cs"/>
          <w:rtl/>
          <w:lang w:bidi="ar-EG"/>
        </w:rPr>
        <w:t xml:space="preserve">نسق </w:t>
      </w:r>
      <w:r w:rsidR="00DD6AA4">
        <w:rPr>
          <w:rFonts w:hint="cs"/>
          <w:rtl/>
          <w:lang w:bidi="ar-EG"/>
        </w:rPr>
        <w:t>الحاوية العامة</w:t>
      </w:r>
      <w:r w:rsidR="00880588">
        <w:rPr>
          <w:rFonts w:hint="cs"/>
          <w:rtl/>
          <w:lang w:bidi="ar-EG"/>
        </w:rPr>
        <w:t xml:space="preserve"> </w:t>
      </w:r>
      <w:r w:rsidR="00AF5504">
        <w:rPr>
          <w:lang w:bidi="ar-EG"/>
        </w:rPr>
        <w:t>(</w:t>
      </w:r>
      <w:r w:rsidR="00880588" w:rsidRPr="00880588">
        <w:rPr>
          <w:lang w:bidi="ar-EG"/>
        </w:rPr>
        <w:t>GC</w:t>
      </w:r>
      <w:r w:rsidR="00AF5504">
        <w:rPr>
          <w:lang w:bidi="ar-EG"/>
        </w:rPr>
        <w:t>)</w:t>
      </w:r>
      <w:r>
        <w:rPr>
          <w:rFonts w:hint="cs"/>
          <w:rtl/>
          <w:lang w:bidi="ar-EG"/>
        </w:rPr>
        <w:t xml:space="preserve"> لنسق تبادل المواد. و</w:t>
      </w:r>
      <w:r w:rsidR="00DD6AA4">
        <w:rPr>
          <w:rFonts w:hint="cs"/>
          <w:rtl/>
          <w:lang w:bidi="ar-EG"/>
        </w:rPr>
        <w:t>الحاوية العامة</w:t>
      </w:r>
      <w:r>
        <w:rPr>
          <w:rFonts w:hint="cs"/>
          <w:rtl/>
          <w:lang w:bidi="ar-EG"/>
        </w:rPr>
        <w:t xml:space="preserve"> لنسق تبادل المواد هي الحاوية الأصلية </w:t>
      </w:r>
      <w:bookmarkStart w:id="0" w:name="_Hlk174527679"/>
      <w:r>
        <w:rPr>
          <w:rFonts w:hint="cs"/>
          <w:rtl/>
          <w:lang w:bidi="ar-EG"/>
        </w:rPr>
        <w:t xml:space="preserve">الأساسية </w:t>
      </w:r>
      <w:bookmarkEnd w:id="0"/>
      <w:r>
        <w:rPr>
          <w:rFonts w:hint="cs"/>
          <w:rtl/>
          <w:lang w:bidi="ar-EG"/>
        </w:rPr>
        <w:t xml:space="preserve">لهيكل ملف </w:t>
      </w:r>
      <w:bookmarkStart w:id="1" w:name="_Hlk174527620"/>
      <w:r>
        <w:rPr>
          <w:rFonts w:hint="cs"/>
          <w:rtl/>
          <w:lang w:bidi="ar-EG"/>
        </w:rPr>
        <w:t xml:space="preserve">نسق تبادل المواد </w:t>
      </w:r>
      <w:r>
        <w:rPr>
          <w:lang w:bidi="ar-EG"/>
        </w:rPr>
        <w:t>(MXF)</w:t>
      </w:r>
      <w:bookmarkEnd w:id="1"/>
      <w:r>
        <w:rPr>
          <w:rFonts w:hint="cs"/>
          <w:rtl/>
          <w:lang w:bidi="ar-EG"/>
        </w:rPr>
        <w:t xml:space="preserve"> وتحدد </w:t>
      </w:r>
      <w:r w:rsidR="00DD6AA4">
        <w:rPr>
          <w:rFonts w:hint="cs"/>
          <w:rtl/>
          <w:lang w:bidi="ar-EG"/>
        </w:rPr>
        <w:t>الحاوية العامة</w:t>
      </w:r>
      <w:r>
        <w:rPr>
          <w:rFonts w:hint="cs"/>
          <w:rtl/>
          <w:lang w:bidi="ar-EG"/>
        </w:rPr>
        <w:t xml:space="preserve"> لنسق تبادل المواد من أجل تبادل المواد السمعية المرئية المتدفقة.</w:t>
      </w:r>
    </w:p>
    <w:p w14:paraId="42AED9AD" w14:textId="4E5F7C1E" w:rsidR="00825361" w:rsidRDefault="00825361" w:rsidP="00385FF3">
      <w:pPr>
        <w:spacing w:line="180" w:lineRule="auto"/>
        <w:rPr>
          <w:rtl/>
          <w:lang w:bidi="ar-EG"/>
        </w:rPr>
      </w:pPr>
      <w:r>
        <w:rPr>
          <w:rFonts w:hint="cs"/>
          <w:rtl/>
          <w:lang w:bidi="ar-EG"/>
        </w:rPr>
        <w:t xml:space="preserve">ويحدد هذا المعيار هيكل البيانات عند </w:t>
      </w:r>
      <w:r w:rsidR="00386858">
        <w:rPr>
          <w:rFonts w:hint="cs"/>
          <w:rtl/>
          <w:lang w:bidi="ar-EG"/>
        </w:rPr>
        <w:t>السطوح</w:t>
      </w:r>
      <w:r>
        <w:rPr>
          <w:rFonts w:hint="cs"/>
          <w:rtl/>
          <w:lang w:bidi="ar-EG"/>
        </w:rPr>
        <w:t xml:space="preserve"> البينية الفردية للشبكات أو أوساط التخزين. ولا يحدد هذا المعيار أنساق التخزين الداخلية للأجهزة المسايرة لنسق تبادل المواد.</w:t>
      </w:r>
    </w:p>
    <w:p w14:paraId="48E1ABCC" w14:textId="1CD44844" w:rsidR="00825361" w:rsidRDefault="00880588" w:rsidP="00385FF3">
      <w:pPr>
        <w:spacing w:line="180" w:lineRule="auto"/>
        <w:rPr>
          <w:rtl/>
          <w:lang w:bidi="ar-EG"/>
        </w:rPr>
      </w:pPr>
      <w:r w:rsidRPr="00880588">
        <w:rPr>
          <w:rtl/>
          <w:lang w:bidi="ar-EG"/>
        </w:rPr>
        <w:t xml:space="preserve">ويرد ‏في الوثائق ذات الصلة تعريف </w:t>
      </w:r>
      <w:r w:rsidR="00825361">
        <w:rPr>
          <w:rFonts w:hint="cs"/>
          <w:rtl/>
          <w:lang w:bidi="ar-EG"/>
        </w:rPr>
        <w:t xml:space="preserve">الحمولات النافعة الأصلية </w:t>
      </w:r>
      <w:r w:rsidRPr="00880588">
        <w:rPr>
          <w:rFonts w:hint="cs"/>
          <w:rtl/>
          <w:lang w:bidi="ar-EG"/>
        </w:rPr>
        <w:t xml:space="preserve">الأساسية </w:t>
      </w:r>
      <w:r w:rsidR="00825361">
        <w:rPr>
          <w:rFonts w:hint="cs"/>
          <w:rtl/>
          <w:lang w:bidi="ar-EG"/>
        </w:rPr>
        <w:t>للبيانات ال</w:t>
      </w:r>
      <w:r w:rsidR="005B4E21">
        <w:rPr>
          <w:rFonts w:hint="cs"/>
          <w:rtl/>
          <w:lang w:bidi="ar-EG"/>
        </w:rPr>
        <w:t>شرحية</w:t>
      </w:r>
      <w:r w:rsidR="00825361">
        <w:rPr>
          <w:rFonts w:hint="cs"/>
          <w:rtl/>
          <w:lang w:bidi="ar-EG"/>
        </w:rPr>
        <w:t xml:space="preserve"> المناسبة التي يمكن </w:t>
      </w:r>
      <w:r w:rsidRPr="00880588">
        <w:rPr>
          <w:rtl/>
          <w:lang w:bidi="ar-EG"/>
        </w:rPr>
        <w:t xml:space="preserve">رسم خارطة ارتباطاتها مع </w:t>
      </w:r>
      <w:r w:rsidR="00825361">
        <w:rPr>
          <w:rFonts w:hint="cs"/>
          <w:rtl/>
          <w:lang w:bidi="ar-EG"/>
        </w:rPr>
        <w:t xml:space="preserve">حاوية </w:t>
      </w:r>
      <w:r w:rsidR="005B4E21">
        <w:rPr>
          <w:rFonts w:hint="cs"/>
          <w:rtl/>
          <w:lang w:bidi="ar-EG"/>
        </w:rPr>
        <w:t>عامة</w:t>
      </w:r>
      <w:r w:rsidR="00825361">
        <w:rPr>
          <w:rFonts w:hint="cs"/>
          <w:rtl/>
          <w:lang w:bidi="ar-EG"/>
        </w:rPr>
        <w:t xml:space="preserve"> من حاويات نسق تبادل المواد</w:t>
      </w:r>
      <w:r>
        <w:rPr>
          <w:rFonts w:hint="cs"/>
          <w:rtl/>
          <w:lang w:bidi="ar-EG"/>
        </w:rPr>
        <w:t>.</w:t>
      </w:r>
    </w:p>
    <w:p w14:paraId="64DC4120" w14:textId="54239628" w:rsidR="00880588" w:rsidRPr="009B1587" w:rsidRDefault="00880588" w:rsidP="00385FF3">
      <w:pPr>
        <w:spacing w:line="180" w:lineRule="auto"/>
      </w:pPr>
      <w:r w:rsidRPr="009B1587">
        <w:rPr>
          <w:rtl/>
        </w:rPr>
        <w:t>‏</w:t>
      </w:r>
      <w:r w:rsidRPr="009B1587">
        <w:rPr>
          <w:rFonts w:hint="cs"/>
          <w:rtl/>
        </w:rPr>
        <w:t>وي</w:t>
      </w:r>
      <w:r w:rsidRPr="009B1587">
        <w:rPr>
          <w:rtl/>
        </w:rPr>
        <w:t xml:space="preserve">تضمن </w:t>
      </w:r>
      <w:r w:rsidRPr="009B1587">
        <w:rPr>
          <w:rFonts w:hint="cs"/>
          <w:rtl/>
        </w:rPr>
        <w:t>توصيف</w:t>
      </w:r>
      <w:r w:rsidRPr="009B1587">
        <w:rPr>
          <w:rtl/>
        </w:rPr>
        <w:t xml:space="preserve"> </w:t>
      </w:r>
      <w:r w:rsidRPr="009B1587">
        <w:rPr>
          <w:cs/>
        </w:rPr>
        <w:t>‎</w:t>
      </w:r>
      <w:r w:rsidRPr="00281336">
        <w:rPr>
          <w:rtl/>
        </w:rPr>
        <w:t xml:space="preserve"> نسق تبادل المواد </w:t>
      </w:r>
      <w:r w:rsidR="00E71F57">
        <w:t>(</w:t>
      </w:r>
      <w:r w:rsidRPr="00281336">
        <w:t>MXF</w:t>
      </w:r>
      <w:r w:rsidR="00E71F57">
        <w:t>)</w:t>
      </w:r>
      <w:r>
        <w:rPr>
          <w:rFonts w:hint="cs"/>
          <w:rtl/>
        </w:rPr>
        <w:t xml:space="preserve"> </w:t>
      </w:r>
      <w:r w:rsidRPr="009B1587">
        <w:rPr>
          <w:rtl/>
        </w:rPr>
        <w:t xml:space="preserve">‏مواصفات نمط التشغيل التي قد تحدد القيود على الطريقة التي </w:t>
      </w:r>
      <w:r w:rsidRPr="009B1587">
        <w:rPr>
          <w:rFonts w:hint="cs"/>
          <w:rtl/>
        </w:rPr>
        <w:t>ينبغي</w:t>
      </w:r>
      <w:r w:rsidRPr="009B1587">
        <w:rPr>
          <w:rtl/>
        </w:rPr>
        <w:t xml:space="preserve"> بها تنفيذ </w:t>
      </w:r>
      <w:r w:rsidRPr="009B1587">
        <w:rPr>
          <w:rFonts w:hint="cs"/>
          <w:rtl/>
        </w:rPr>
        <w:t>نوع</w:t>
      </w:r>
      <w:r w:rsidRPr="009B1587">
        <w:rPr>
          <w:rtl/>
        </w:rPr>
        <w:t xml:space="preserve"> </w:t>
      </w:r>
      <w:r>
        <w:rPr>
          <w:rFonts w:hint="cs"/>
          <w:rtl/>
        </w:rPr>
        <w:t>ال</w:t>
      </w:r>
      <w:r w:rsidRPr="009B1587">
        <w:rPr>
          <w:rtl/>
        </w:rPr>
        <w:t xml:space="preserve">حاوية </w:t>
      </w:r>
      <w:r w:rsidRPr="00281336">
        <w:rPr>
          <w:rFonts w:hint="cs"/>
          <w:rtl/>
          <w:lang w:bidi="ar-EG"/>
        </w:rPr>
        <w:t xml:space="preserve">الأساسية </w:t>
      </w:r>
      <w:r w:rsidRPr="009B1587">
        <w:rPr>
          <w:rtl/>
        </w:rPr>
        <w:t xml:space="preserve">هذا. </w:t>
      </w:r>
      <w:r w:rsidRPr="009B1587">
        <w:rPr>
          <w:rFonts w:hint="cs"/>
          <w:rtl/>
        </w:rPr>
        <w:t>و</w:t>
      </w:r>
      <w:r w:rsidRPr="009B1587">
        <w:rPr>
          <w:rtl/>
        </w:rPr>
        <w:t>ي</w:t>
      </w:r>
      <w:r w:rsidRPr="009B1587">
        <w:rPr>
          <w:rFonts w:hint="cs"/>
          <w:rtl/>
        </w:rPr>
        <w:t>ُ</w:t>
      </w:r>
      <w:r w:rsidRPr="009B1587">
        <w:rPr>
          <w:rtl/>
        </w:rPr>
        <w:t xml:space="preserve">نصح القارئ بدراسة وثيقة النمط التشغيلي المناسب بعناية </w:t>
      </w:r>
      <w:r w:rsidRPr="009B1587">
        <w:rPr>
          <w:rFonts w:hint="cs"/>
          <w:rtl/>
        </w:rPr>
        <w:t>للالتزام</w:t>
      </w:r>
      <w:r w:rsidRPr="009B1587">
        <w:rPr>
          <w:rtl/>
        </w:rPr>
        <w:t xml:space="preserve"> </w:t>
      </w:r>
      <w:r w:rsidRPr="009B1587">
        <w:rPr>
          <w:rFonts w:hint="cs"/>
          <w:rtl/>
        </w:rPr>
        <w:t>ب</w:t>
      </w:r>
      <w:r w:rsidRPr="009B1587">
        <w:rPr>
          <w:rtl/>
        </w:rPr>
        <w:t xml:space="preserve">تنفيذ </w:t>
      </w:r>
      <w:r w:rsidRPr="009B1587">
        <w:rPr>
          <w:rFonts w:hint="cs"/>
          <w:rtl/>
        </w:rPr>
        <w:t>معرَّف</w:t>
      </w:r>
      <w:r w:rsidRPr="009B1587">
        <w:rPr>
          <w:rtl/>
        </w:rPr>
        <w:t>.</w:t>
      </w:r>
      <w:r w:rsidRPr="009B1587">
        <w:rPr>
          <w:cs/>
        </w:rPr>
        <w:t>‎</w:t>
      </w:r>
    </w:p>
    <w:p w14:paraId="1C187031" w14:textId="2F6DC49C" w:rsidR="00880588" w:rsidRPr="009B1587" w:rsidRDefault="00880588" w:rsidP="00385FF3">
      <w:pPr>
        <w:spacing w:line="180" w:lineRule="auto"/>
      </w:pPr>
      <w:r w:rsidRPr="009B1587">
        <w:rPr>
          <w:rFonts w:hint="cs"/>
          <w:rtl/>
        </w:rPr>
        <w:t>و</w:t>
      </w:r>
      <w:r w:rsidRPr="009B1587">
        <w:rPr>
          <w:rtl/>
        </w:rPr>
        <w:t>يمكن تنزيل</w:t>
      </w:r>
      <w:r w:rsidRPr="009B1587">
        <w:rPr>
          <w:rFonts w:hint="cs"/>
          <w:rtl/>
        </w:rPr>
        <w:t xml:space="preserve"> المعيار</w:t>
      </w:r>
      <w:r w:rsidRPr="009B1587">
        <w:rPr>
          <w:rtl/>
        </w:rPr>
        <w:t xml:space="preserve"> </w:t>
      </w:r>
      <w:r w:rsidRPr="009B1587">
        <w:rPr>
          <w:cs/>
        </w:rPr>
        <w:t>‎</w:t>
      </w:r>
      <w:r w:rsidRPr="009B1587">
        <w:t>SMPTE ST 379-2: 2010</w:t>
      </w:r>
      <w:r w:rsidRPr="009B1587">
        <w:rPr>
          <w:rtl/>
        </w:rPr>
        <w:t xml:space="preserve"> ‏</w:t>
      </w:r>
      <w:r w:rsidRPr="009B1587">
        <w:rPr>
          <w:rFonts w:hint="cs"/>
          <w:rtl/>
        </w:rPr>
        <w:t>عبر الرابط</w:t>
      </w:r>
      <w:r w:rsidRPr="009B1587">
        <w:rPr>
          <w:rtl/>
        </w:rPr>
        <w:t xml:space="preserve">: </w:t>
      </w:r>
      <w:hyperlink r:id="rId21" w:history="1">
        <w:r w:rsidR="006E5AAD" w:rsidRPr="006E5AAD">
          <w:rPr>
            <w:rStyle w:val="Hyperlink"/>
            <w:lang w:val="en-GB"/>
          </w:rPr>
          <w:t>https://ieeexplore.ieee.org/document/7291800</w:t>
        </w:r>
      </w:hyperlink>
    </w:p>
    <w:p w14:paraId="45E822F5" w14:textId="1416A408" w:rsidR="00AE17C6" w:rsidRDefault="00880588" w:rsidP="00385FF3">
      <w:pPr>
        <w:spacing w:line="180" w:lineRule="auto"/>
        <w:rPr>
          <w:rtl/>
          <w:lang w:bidi="ar-JO"/>
        </w:rPr>
      </w:pPr>
      <w:r w:rsidRPr="009B1587">
        <w:rPr>
          <w:rtl/>
        </w:rPr>
        <w:t>‏</w:t>
      </w:r>
      <w:r w:rsidRPr="009B1587">
        <w:rPr>
          <w:rFonts w:hint="cs"/>
          <w:rtl/>
        </w:rPr>
        <w:t>و</w:t>
      </w:r>
      <w:r w:rsidRPr="009B1587">
        <w:rPr>
          <w:rtl/>
        </w:rPr>
        <w:t>يمكن تنزيل</w:t>
      </w:r>
      <w:r w:rsidRPr="009B1587">
        <w:rPr>
          <w:rFonts w:hint="cs"/>
          <w:rtl/>
        </w:rPr>
        <w:t xml:space="preserve"> المعيار</w:t>
      </w:r>
      <w:r w:rsidRPr="009B1587">
        <w:rPr>
          <w:rtl/>
        </w:rPr>
        <w:t xml:space="preserve"> </w:t>
      </w:r>
      <w:r w:rsidRPr="009B1587">
        <w:rPr>
          <w:cs/>
        </w:rPr>
        <w:t>‎</w:t>
      </w:r>
      <w:r w:rsidRPr="009B1587">
        <w:t>SMPTE ST 379-1: 2009</w:t>
      </w:r>
      <w:r w:rsidRPr="009B1587">
        <w:rPr>
          <w:rtl/>
        </w:rPr>
        <w:t xml:space="preserve"> ‏</w:t>
      </w:r>
      <w:r w:rsidRPr="009B1587">
        <w:rPr>
          <w:rFonts w:hint="cs"/>
          <w:rtl/>
        </w:rPr>
        <w:t xml:space="preserve"> عبر الرابط</w:t>
      </w:r>
      <w:r w:rsidRPr="009B1587">
        <w:rPr>
          <w:rtl/>
        </w:rPr>
        <w:t xml:space="preserve">: </w:t>
      </w:r>
      <w:r w:rsidRPr="009B1587">
        <w:rPr>
          <w:cs/>
        </w:rPr>
        <w:t>‎</w:t>
      </w:r>
      <w:hyperlink r:id="rId22" w:history="1">
        <w:r w:rsidR="006E5AAD" w:rsidRPr="006E5AAD">
          <w:rPr>
            <w:rStyle w:val="Hyperlink"/>
            <w:lang w:val="en-GB"/>
          </w:rPr>
          <w:t>https://ieeexplore.ieee.org/document/7292040</w:t>
        </w:r>
      </w:hyperlink>
    </w:p>
    <w:p w14:paraId="20D19C40" w14:textId="1789334E" w:rsidR="00AE17C6" w:rsidRPr="003B6E84" w:rsidRDefault="00880588" w:rsidP="00AE17C6">
      <w:pPr>
        <w:pStyle w:val="Headingb"/>
        <w:rPr>
          <w:rtl/>
          <w:lang w:bidi="ar-EG"/>
        </w:rPr>
      </w:pPr>
      <w:r w:rsidRPr="00880588">
        <w:rPr>
          <w:rtl/>
          <w:lang w:bidi="ar-JO"/>
        </w:rPr>
        <w:t xml:space="preserve">‏نظرة عامة على الحاوية العامة </w:t>
      </w:r>
      <w:r w:rsidRPr="00880588">
        <w:rPr>
          <w:cs/>
          <w:lang w:bidi="ar-JO"/>
        </w:rPr>
        <w:t>‎</w:t>
      </w:r>
      <w:r w:rsidRPr="00880588">
        <w:rPr>
          <w:rtl/>
          <w:lang w:bidi="ar-JO"/>
        </w:rPr>
        <w:t xml:space="preserve">لنسق تبادل المواد </w:t>
      </w:r>
      <w:r w:rsidR="00E71F57">
        <w:rPr>
          <w:lang w:bidi="ar-JO"/>
        </w:rPr>
        <w:t>(</w:t>
      </w:r>
      <w:r w:rsidRPr="00880588">
        <w:rPr>
          <w:lang w:bidi="ar-JO"/>
        </w:rPr>
        <w:t>MXF</w:t>
      </w:r>
      <w:r w:rsidR="00E71F57">
        <w:rPr>
          <w:lang w:bidi="ar-JO"/>
        </w:rPr>
        <w:t>)</w:t>
      </w:r>
      <w:r w:rsidRPr="00880588">
        <w:rPr>
          <w:rtl/>
          <w:lang w:bidi="ar-JO"/>
        </w:rPr>
        <w:t xml:space="preserve"> (إعلامية)</w:t>
      </w:r>
      <w:r w:rsidRPr="00880588">
        <w:rPr>
          <w:cs/>
          <w:lang w:bidi="ar-JO"/>
        </w:rPr>
        <w:t>‎</w:t>
      </w:r>
    </w:p>
    <w:p w14:paraId="0A64CF95" w14:textId="2B0C9FA7" w:rsidR="00E87EF1" w:rsidRPr="009B1587" w:rsidRDefault="00E87EF1" w:rsidP="00385FF3">
      <w:pPr>
        <w:spacing w:line="180" w:lineRule="auto"/>
      </w:pPr>
      <w:r w:rsidRPr="009B1587">
        <w:rPr>
          <w:rtl/>
        </w:rPr>
        <w:t xml:space="preserve">الحاوية العامة </w:t>
      </w:r>
      <w:r w:rsidRPr="00281336">
        <w:rPr>
          <w:rtl/>
        </w:rPr>
        <w:t xml:space="preserve">لنسق تبادل المواد </w:t>
      </w:r>
      <w:r w:rsidR="00E71F57">
        <w:t>(</w:t>
      </w:r>
      <w:r w:rsidRPr="00281336">
        <w:t>MXF</w:t>
      </w:r>
      <w:r w:rsidR="00E71F57">
        <w:t>)</w:t>
      </w:r>
      <w:r w:rsidRPr="00281336">
        <w:rPr>
          <w:rtl/>
        </w:rPr>
        <w:t xml:space="preserve"> </w:t>
      </w:r>
      <w:r w:rsidRPr="009B1587">
        <w:rPr>
          <w:rtl/>
        </w:rPr>
        <w:t>‏هي حاوية بيانات قابلة للتدفق يمكن وضعها على أي وسيلة نقل مناسبة ويحتمل تخزينها.</w:t>
      </w:r>
      <w:r w:rsidRPr="009B1587">
        <w:rPr>
          <w:cs/>
        </w:rPr>
        <w:t>‎</w:t>
      </w:r>
    </w:p>
    <w:p w14:paraId="587C2B18" w14:textId="219F46C9" w:rsidR="00E87EF1" w:rsidRPr="009B1587" w:rsidRDefault="00E87EF1" w:rsidP="00385FF3">
      <w:pPr>
        <w:spacing w:line="180" w:lineRule="auto"/>
      </w:pPr>
      <w:r w:rsidRPr="009B1587">
        <w:rPr>
          <w:rtl/>
        </w:rPr>
        <w:t>‏</w:t>
      </w:r>
      <w:r w:rsidRPr="009B1587">
        <w:rPr>
          <w:rFonts w:hint="cs"/>
          <w:rtl/>
        </w:rPr>
        <w:t>ويراد لنسق</w:t>
      </w:r>
      <w:r w:rsidRPr="009B1587">
        <w:rPr>
          <w:rtl/>
        </w:rPr>
        <w:t xml:space="preserve"> الحاوية العامة </w:t>
      </w:r>
      <w:r w:rsidRPr="00281336">
        <w:rPr>
          <w:rtl/>
        </w:rPr>
        <w:t xml:space="preserve">لنسق تبادل المواد </w:t>
      </w:r>
      <w:r w:rsidRPr="009B1587">
        <w:rPr>
          <w:rtl/>
        </w:rPr>
        <w:t>‏تضمينه في ملف</w:t>
      </w:r>
      <w:r w:rsidRPr="00FE679F">
        <w:rPr>
          <w:rFonts w:hint="cs"/>
          <w:rtl/>
        </w:rPr>
        <w:t xml:space="preserve"> نسق</w:t>
      </w:r>
      <w:r w:rsidRPr="00FE679F">
        <w:rPr>
          <w:rtl/>
        </w:rPr>
        <w:t xml:space="preserve"> تبادل المواد</w:t>
      </w:r>
      <w:r w:rsidRPr="009B1587">
        <w:rPr>
          <w:rtl/>
        </w:rPr>
        <w:t xml:space="preserve"> </w:t>
      </w:r>
      <w:r w:rsidR="00E71F57">
        <w:t>(</w:t>
      </w:r>
      <w:r w:rsidRPr="00FE679F">
        <w:t>MXF</w:t>
      </w:r>
      <w:r w:rsidR="00E71F57">
        <w:t>)</w:t>
      </w:r>
      <w:r w:rsidRPr="009B1587">
        <w:rPr>
          <w:rtl/>
        </w:rPr>
        <w:t xml:space="preserve"> كحاوية </w:t>
      </w:r>
      <w:r>
        <w:rPr>
          <w:rFonts w:hint="cs"/>
          <w:rtl/>
        </w:rPr>
        <w:t>أساسية</w:t>
      </w:r>
      <w:r w:rsidRPr="009B1587">
        <w:rPr>
          <w:rtl/>
        </w:rPr>
        <w:t>.</w:t>
      </w:r>
      <w:r w:rsidRPr="009B1587">
        <w:rPr>
          <w:cs/>
        </w:rPr>
        <w:t>‎</w:t>
      </w:r>
    </w:p>
    <w:p w14:paraId="6249A395" w14:textId="388C26E1" w:rsidR="00814305" w:rsidRDefault="00E87EF1" w:rsidP="00385FF3">
      <w:pPr>
        <w:spacing w:line="180" w:lineRule="auto"/>
        <w:rPr>
          <w:rtl/>
          <w:lang w:bidi="ar-EG"/>
        </w:rPr>
      </w:pPr>
      <w:r>
        <w:rPr>
          <w:rtl/>
        </w:rPr>
        <w:t>‏</w:t>
      </w:r>
      <w:r>
        <w:rPr>
          <w:rFonts w:hint="cs"/>
          <w:rtl/>
        </w:rPr>
        <w:t>وتتمثل مسلَّمة</w:t>
      </w:r>
      <w:r>
        <w:rPr>
          <w:rtl/>
        </w:rPr>
        <w:t xml:space="preserve"> نسق الحاوية العامة </w:t>
      </w:r>
      <w:r>
        <w:rPr>
          <w:cs/>
        </w:rPr>
        <w:t>‎</w:t>
      </w:r>
      <w:r>
        <w:t>MXF</w:t>
      </w:r>
      <w:r>
        <w:rPr>
          <w:rtl/>
        </w:rPr>
        <w:t xml:space="preserve"> ‏</w:t>
      </w:r>
      <w:r>
        <w:rPr>
          <w:rFonts w:hint="cs"/>
          <w:rtl/>
        </w:rPr>
        <w:t>ف</w:t>
      </w:r>
      <w:r>
        <w:rPr>
          <w:rtl/>
        </w:rPr>
        <w:t xml:space="preserve">ي وجود بيانات </w:t>
      </w:r>
      <w:r w:rsidRPr="00FE679F">
        <w:rPr>
          <w:rFonts w:hint="cs"/>
          <w:rtl/>
        </w:rPr>
        <w:t>أساسية</w:t>
      </w:r>
      <w:r w:rsidRPr="00FE679F">
        <w:rPr>
          <w:rtl/>
        </w:rPr>
        <w:t xml:space="preserve"> </w:t>
      </w:r>
      <w:r>
        <w:rPr>
          <w:rtl/>
        </w:rPr>
        <w:t xml:space="preserve">وبيانات </w:t>
      </w:r>
      <w:r>
        <w:rPr>
          <w:rFonts w:hint="cs"/>
          <w:rtl/>
        </w:rPr>
        <w:t>شرحية</w:t>
      </w:r>
      <w:r>
        <w:rPr>
          <w:rtl/>
        </w:rPr>
        <w:t xml:space="preserve"> للأغراض العامة لاحتواء العديد من الأنواع المختلفة من </w:t>
      </w:r>
      <w:r>
        <w:rPr>
          <w:rFonts w:hint="cs"/>
          <w:rtl/>
        </w:rPr>
        <w:t>ال</w:t>
      </w:r>
      <w:r>
        <w:rPr>
          <w:rtl/>
        </w:rPr>
        <w:t xml:space="preserve">عناصر </w:t>
      </w:r>
      <w:r>
        <w:rPr>
          <w:rFonts w:hint="cs"/>
          <w:rtl/>
        </w:rPr>
        <w:t>ال</w:t>
      </w:r>
      <w:r w:rsidRPr="00FE679F">
        <w:rPr>
          <w:rFonts w:hint="cs"/>
          <w:rtl/>
        </w:rPr>
        <w:t>أساسية</w:t>
      </w:r>
      <w:r w:rsidRPr="00FE679F">
        <w:rPr>
          <w:rtl/>
        </w:rPr>
        <w:t xml:space="preserve"> </w:t>
      </w:r>
      <w:r>
        <w:rPr>
          <w:rtl/>
        </w:rPr>
        <w:t xml:space="preserve">والبيانات الشرحية في كيان واحد </w:t>
      </w:r>
      <w:r>
        <w:rPr>
          <w:rFonts w:hint="cs"/>
          <w:rtl/>
        </w:rPr>
        <w:t>ب</w:t>
      </w:r>
      <w:r>
        <w:rPr>
          <w:rtl/>
        </w:rPr>
        <w:t xml:space="preserve">تشذير تدفقات البيانات بطريقة </w:t>
      </w:r>
      <w:r>
        <w:rPr>
          <w:rFonts w:hint="cs"/>
          <w:rtl/>
        </w:rPr>
        <w:t>معرَّفة</w:t>
      </w:r>
      <w:r>
        <w:rPr>
          <w:rtl/>
        </w:rPr>
        <w:t xml:space="preserve"> ومتزامنة </w:t>
      </w:r>
      <w:r>
        <w:rPr>
          <w:rFonts w:hint="cs"/>
          <w:rtl/>
        </w:rPr>
        <w:t>بمرور الوقت</w:t>
      </w:r>
      <w:r>
        <w:rPr>
          <w:rtl/>
        </w:rPr>
        <w:t xml:space="preserve"> (عادة</w:t>
      </w:r>
      <w:r w:rsidR="00385FF3">
        <w:rPr>
          <w:rFonts w:hint="cs"/>
          <w:rtl/>
        </w:rPr>
        <w:t> </w:t>
      </w:r>
      <w:r>
        <w:rPr>
          <w:rFonts w:hint="cs"/>
          <w:rtl/>
        </w:rPr>
        <w:t>عبر</w:t>
      </w:r>
      <w:r>
        <w:rPr>
          <w:rtl/>
        </w:rPr>
        <w:t xml:space="preserve"> مدة إطار واحد). </w:t>
      </w:r>
      <w:r>
        <w:rPr>
          <w:rFonts w:hint="cs"/>
          <w:rtl/>
        </w:rPr>
        <w:t>وتعرِّف</w:t>
      </w:r>
      <w:r>
        <w:rPr>
          <w:rtl/>
        </w:rPr>
        <w:t xml:space="preserve"> وثائق رسم خرائط</w:t>
      </w:r>
      <w:r>
        <w:rPr>
          <w:rFonts w:hint="cs"/>
          <w:rtl/>
        </w:rPr>
        <w:t xml:space="preserve"> ارتباطات المعيار</w:t>
      </w:r>
      <w:r>
        <w:rPr>
          <w:rtl/>
        </w:rPr>
        <w:t xml:space="preserve"> </w:t>
      </w:r>
      <w:r>
        <w:rPr>
          <w:cs/>
        </w:rPr>
        <w:t>‎</w:t>
      </w:r>
      <w:r>
        <w:t>SMPTE</w:t>
      </w:r>
      <w:r>
        <w:rPr>
          <w:rtl/>
        </w:rPr>
        <w:t xml:space="preserve"> ‏</w:t>
      </w:r>
      <w:r>
        <w:rPr>
          <w:rFonts w:hint="cs"/>
          <w:rtl/>
        </w:rPr>
        <w:t>المصاحبة</w:t>
      </w:r>
      <w:r>
        <w:rPr>
          <w:rtl/>
        </w:rPr>
        <w:t xml:space="preserve"> البيانات الأساسية وعناصر البيانات </w:t>
      </w:r>
      <w:r w:rsidRPr="003D0334">
        <w:rPr>
          <w:rtl/>
        </w:rPr>
        <w:t xml:space="preserve">الشرحية </w:t>
      </w:r>
      <w:r>
        <w:rPr>
          <w:rtl/>
        </w:rPr>
        <w:t xml:space="preserve">التي يمكن وضعها في الحاوية العامة. </w:t>
      </w:r>
      <w:r w:rsidRPr="003D0334">
        <w:rPr>
          <w:rFonts w:hint="cs"/>
          <w:rtl/>
        </w:rPr>
        <w:t>و</w:t>
      </w:r>
      <w:r>
        <w:rPr>
          <w:rFonts w:hint="cs"/>
          <w:rtl/>
        </w:rPr>
        <w:t>ي</w:t>
      </w:r>
      <w:r w:rsidRPr="003D0334">
        <w:rPr>
          <w:rFonts w:hint="cs"/>
          <w:rtl/>
        </w:rPr>
        <w:t>عرِّف</w:t>
      </w:r>
      <w:r w:rsidRPr="003D0334">
        <w:rPr>
          <w:rtl/>
        </w:rPr>
        <w:t xml:space="preserve"> </w:t>
      </w:r>
      <w:r>
        <w:rPr>
          <w:rtl/>
        </w:rPr>
        <w:t xml:space="preserve">بعض </w:t>
      </w:r>
      <w:r w:rsidRPr="003D0334">
        <w:rPr>
          <w:rtl/>
        </w:rPr>
        <w:t>وثائق رسم خرائط ا</w:t>
      </w:r>
      <w:r>
        <w:rPr>
          <w:rFonts w:hint="cs"/>
          <w:rtl/>
        </w:rPr>
        <w:t>لا</w:t>
      </w:r>
      <w:r w:rsidRPr="003D0334">
        <w:rPr>
          <w:rtl/>
        </w:rPr>
        <w:t>رتباطات خرائط</w:t>
      </w:r>
      <w:r w:rsidRPr="003D0334">
        <w:rPr>
          <w:rFonts w:hint="cs"/>
          <w:rtl/>
        </w:rPr>
        <w:t xml:space="preserve"> ارتباطات </w:t>
      </w:r>
      <w:r>
        <w:rPr>
          <w:rtl/>
        </w:rPr>
        <w:t xml:space="preserve">كاملة لحزمة محتوى كاملة بينما </w:t>
      </w:r>
      <w:r w:rsidRPr="003D0334">
        <w:rPr>
          <w:rtl/>
        </w:rPr>
        <w:t xml:space="preserve">يعرِّف </w:t>
      </w:r>
      <w:r>
        <w:rPr>
          <w:rtl/>
        </w:rPr>
        <w:t xml:space="preserve">البعض الآخر </w:t>
      </w:r>
      <w:r>
        <w:rPr>
          <w:rFonts w:hint="cs"/>
          <w:rtl/>
        </w:rPr>
        <w:t>مجرد</w:t>
      </w:r>
      <w:r>
        <w:rPr>
          <w:rtl/>
        </w:rPr>
        <w:t xml:space="preserve"> </w:t>
      </w:r>
      <w:r>
        <w:rPr>
          <w:rFonts w:hint="cs"/>
          <w:rtl/>
        </w:rPr>
        <w:t>خارطة</w:t>
      </w:r>
      <w:r>
        <w:rPr>
          <w:rtl/>
        </w:rPr>
        <w:t xml:space="preserve"> </w:t>
      </w:r>
      <w:r w:rsidRPr="003D0334">
        <w:rPr>
          <w:rFonts w:hint="cs"/>
          <w:rtl/>
        </w:rPr>
        <w:t xml:space="preserve">ارتباطات </w:t>
      </w:r>
      <w:r>
        <w:rPr>
          <w:rtl/>
        </w:rPr>
        <w:t xml:space="preserve">البيانات </w:t>
      </w:r>
      <w:r w:rsidRPr="00B57772">
        <w:rPr>
          <w:rtl/>
        </w:rPr>
        <w:t xml:space="preserve">الشرحية </w:t>
      </w:r>
      <w:r>
        <w:rPr>
          <w:rtl/>
        </w:rPr>
        <w:t xml:space="preserve">أو </w:t>
      </w:r>
      <w:r>
        <w:rPr>
          <w:rFonts w:hint="cs"/>
          <w:rtl/>
        </w:rPr>
        <w:t>ال</w:t>
      </w:r>
      <w:r>
        <w:rPr>
          <w:rtl/>
        </w:rPr>
        <w:t xml:space="preserve">بيانات </w:t>
      </w:r>
      <w:r w:rsidRPr="00FE679F">
        <w:rPr>
          <w:rFonts w:hint="cs"/>
          <w:rtl/>
        </w:rPr>
        <w:t>الأساسية</w:t>
      </w:r>
      <w:r w:rsidRPr="00FE679F">
        <w:rPr>
          <w:rtl/>
        </w:rPr>
        <w:t xml:space="preserve"> </w:t>
      </w:r>
      <w:r>
        <w:rPr>
          <w:rFonts w:hint="cs"/>
          <w:rtl/>
        </w:rPr>
        <w:t>مع</w:t>
      </w:r>
      <w:r>
        <w:rPr>
          <w:rtl/>
        </w:rPr>
        <w:t xml:space="preserve"> عنصر</w:t>
      </w:r>
      <w:r>
        <w:rPr>
          <w:rFonts w:hint="cs"/>
          <w:rtl/>
        </w:rPr>
        <w:t xml:space="preserve"> ما</w:t>
      </w:r>
      <w:r>
        <w:rPr>
          <w:rtl/>
        </w:rPr>
        <w:t>.</w:t>
      </w:r>
      <w:r>
        <w:rPr>
          <w:cs/>
        </w:rPr>
        <w:t>‎</w:t>
      </w:r>
    </w:p>
    <w:p w14:paraId="669CD9E7" w14:textId="74027D7D" w:rsidR="00814305" w:rsidRPr="003B6E84" w:rsidRDefault="00E87EF1" w:rsidP="00814305">
      <w:pPr>
        <w:pStyle w:val="Headingb"/>
        <w:rPr>
          <w:rtl/>
          <w:lang w:bidi="ar-EG"/>
        </w:rPr>
      </w:pPr>
      <w:r w:rsidRPr="00E87EF1">
        <w:rPr>
          <w:rtl/>
          <w:lang w:bidi="ar-JO"/>
        </w:rPr>
        <w:t xml:space="preserve">‏لماذا المعيار </w:t>
      </w:r>
      <w:r w:rsidRPr="00E87EF1">
        <w:rPr>
          <w:cs/>
          <w:lang w:bidi="ar-JO"/>
        </w:rPr>
        <w:t>‎</w:t>
      </w:r>
      <w:r w:rsidRPr="00E87EF1">
        <w:rPr>
          <w:lang w:bidi="ar-JO"/>
        </w:rPr>
        <w:t>SMPTE ST 379-1</w:t>
      </w:r>
      <w:r w:rsidRPr="00E87EF1">
        <w:rPr>
          <w:rtl/>
          <w:lang w:bidi="ar-JO"/>
        </w:rPr>
        <w:t xml:space="preserve"> ‏والإصدار </w:t>
      </w:r>
      <w:r w:rsidRPr="00E87EF1">
        <w:rPr>
          <w:cs/>
          <w:lang w:bidi="ar-JO"/>
        </w:rPr>
        <w:t>‎</w:t>
      </w:r>
      <w:r w:rsidRPr="00E87EF1">
        <w:rPr>
          <w:lang w:bidi="ar-JO"/>
        </w:rPr>
        <w:t>379-2</w:t>
      </w:r>
      <w:r w:rsidRPr="00E87EF1">
        <w:rPr>
          <w:rtl/>
          <w:lang w:bidi="ar-JO"/>
        </w:rPr>
        <w:t>‏؟</w:t>
      </w:r>
      <w:r w:rsidRPr="00E87EF1">
        <w:rPr>
          <w:cs/>
          <w:lang w:bidi="ar-JO"/>
        </w:rPr>
        <w:t>‎</w:t>
      </w:r>
    </w:p>
    <w:p w14:paraId="6E0DB033" w14:textId="77777777" w:rsidR="00E87EF1" w:rsidRDefault="00E87EF1" w:rsidP="00385FF3">
      <w:pPr>
        <w:spacing w:line="180" w:lineRule="auto"/>
      </w:pPr>
      <w:r>
        <w:rPr>
          <w:rtl/>
        </w:rPr>
        <w:t>يهدف</w:t>
      </w:r>
      <w:r w:rsidRPr="000033A0">
        <w:rPr>
          <w:rFonts w:hint="cs"/>
          <w:rtl/>
        </w:rPr>
        <w:t xml:space="preserve"> المعيار</w:t>
      </w:r>
      <w:r w:rsidRPr="000033A0">
        <w:rPr>
          <w:rtl/>
        </w:rPr>
        <w:t xml:space="preserve"> </w:t>
      </w:r>
      <w:r>
        <w:rPr>
          <w:cs/>
        </w:rPr>
        <w:t>‎</w:t>
      </w:r>
      <w:r>
        <w:t>SMPTE ST 379-2</w:t>
      </w:r>
      <w:r>
        <w:rPr>
          <w:rtl/>
        </w:rPr>
        <w:t xml:space="preserve"> ‏</w:t>
      </w:r>
      <w:r>
        <w:rPr>
          <w:rFonts w:hint="cs"/>
          <w:rtl/>
        </w:rPr>
        <w:t>ل</w:t>
      </w:r>
      <w:r>
        <w:rPr>
          <w:rtl/>
        </w:rPr>
        <w:t xml:space="preserve">أن يكون مجموعة فرعية مناسبة من </w:t>
      </w:r>
      <w:r w:rsidRPr="000033A0">
        <w:rPr>
          <w:rFonts w:hint="cs"/>
          <w:rtl/>
        </w:rPr>
        <w:t>المعيار</w:t>
      </w:r>
      <w:r w:rsidRPr="000033A0">
        <w:rPr>
          <w:rtl/>
        </w:rPr>
        <w:t xml:space="preserve"> </w:t>
      </w:r>
      <w:r>
        <w:rPr>
          <w:cs/>
        </w:rPr>
        <w:t>‎</w:t>
      </w:r>
      <w:r>
        <w:t>SMPTE ST 379-1</w:t>
      </w:r>
      <w:r>
        <w:rPr>
          <w:rtl/>
        </w:rPr>
        <w:t xml:space="preserve">. </w:t>
      </w:r>
      <w:r>
        <w:rPr>
          <w:rFonts w:hint="cs"/>
          <w:rtl/>
        </w:rPr>
        <w:t>و</w:t>
      </w:r>
      <w:r>
        <w:rPr>
          <w:rtl/>
        </w:rPr>
        <w:t xml:space="preserve">‏في بعض الحالات، يسمح </w:t>
      </w:r>
      <w:r w:rsidRPr="000033A0">
        <w:rPr>
          <w:rFonts w:hint="cs"/>
          <w:rtl/>
        </w:rPr>
        <w:t>المعيار</w:t>
      </w:r>
      <w:r w:rsidRPr="000033A0">
        <w:rPr>
          <w:rtl/>
        </w:rPr>
        <w:t xml:space="preserve"> </w:t>
      </w:r>
      <w:r>
        <w:rPr>
          <w:cs/>
        </w:rPr>
        <w:t>‎</w:t>
      </w:r>
      <w:r>
        <w:t>SMPTE ST 379-1</w:t>
      </w:r>
      <w:r>
        <w:rPr>
          <w:rtl/>
        </w:rPr>
        <w:t xml:space="preserve"> ‏</w:t>
      </w:r>
      <w:r>
        <w:rPr>
          <w:rFonts w:hint="cs"/>
          <w:rtl/>
        </w:rPr>
        <w:t>بهامش حركة</w:t>
      </w:r>
      <w:r>
        <w:rPr>
          <w:rtl/>
        </w:rPr>
        <w:t xml:space="preserve"> أكبر من خلال ترك القيود غير محددة، ويتضمن</w:t>
      </w:r>
      <w:r w:rsidRPr="000033A0">
        <w:rPr>
          <w:rFonts w:hint="cs"/>
          <w:rtl/>
        </w:rPr>
        <w:t xml:space="preserve"> المعيار</w:t>
      </w:r>
      <w:r>
        <w:rPr>
          <w:rtl/>
        </w:rPr>
        <w:t xml:space="preserve"> </w:t>
      </w:r>
      <w:r>
        <w:rPr>
          <w:cs/>
        </w:rPr>
        <w:t>‎</w:t>
      </w:r>
      <w:r>
        <w:t>SMPTE ST 379-2</w:t>
      </w:r>
      <w:r>
        <w:rPr>
          <w:rtl/>
        </w:rPr>
        <w:t xml:space="preserve"> ‏قيودا إضافية بهدف السماح بتنفيذ أبسط لأجهزة فك التشفير </w:t>
      </w:r>
      <w:r>
        <w:rPr>
          <w:rFonts w:hint="cs"/>
          <w:rtl/>
        </w:rPr>
        <w:t>الملتزمة</w:t>
      </w:r>
      <w:r>
        <w:rPr>
          <w:rtl/>
        </w:rPr>
        <w:t>.</w:t>
      </w:r>
      <w:r>
        <w:rPr>
          <w:cs/>
        </w:rPr>
        <w:t>‎</w:t>
      </w:r>
    </w:p>
    <w:p w14:paraId="1E2D90E9" w14:textId="1ADD9EBE" w:rsidR="00E87EF1" w:rsidRDefault="00E87EF1" w:rsidP="00385FF3">
      <w:pPr>
        <w:spacing w:line="180" w:lineRule="auto"/>
      </w:pPr>
      <w:r>
        <w:rPr>
          <w:rtl/>
        </w:rPr>
        <w:t>‏</w:t>
      </w:r>
      <w:r>
        <w:rPr>
          <w:rFonts w:hint="cs"/>
          <w:rtl/>
        </w:rPr>
        <w:t>وقد ألغي</w:t>
      </w:r>
      <w:r>
        <w:rPr>
          <w:rtl/>
        </w:rPr>
        <w:t xml:space="preserve"> استخدام</w:t>
      </w:r>
      <w:r w:rsidRPr="000033A0">
        <w:rPr>
          <w:rFonts w:hint="cs"/>
          <w:rtl/>
        </w:rPr>
        <w:t xml:space="preserve"> المعيار</w:t>
      </w:r>
      <w:r>
        <w:rPr>
          <w:rtl/>
        </w:rPr>
        <w:t xml:space="preserve"> </w:t>
      </w:r>
      <w:r>
        <w:rPr>
          <w:cs/>
        </w:rPr>
        <w:t>‎</w:t>
      </w:r>
      <w:r>
        <w:t>SMPTE ST 379-1</w:t>
      </w:r>
      <w:r>
        <w:rPr>
          <w:rtl/>
        </w:rPr>
        <w:t xml:space="preserve"> ‏؛ </w:t>
      </w:r>
      <w:r>
        <w:rPr>
          <w:rFonts w:hint="cs"/>
          <w:rtl/>
        </w:rPr>
        <w:t>ولكن</w:t>
      </w:r>
      <w:r>
        <w:rPr>
          <w:rtl/>
        </w:rPr>
        <w:t xml:space="preserve"> لا يزال هناك العديد من التطبيقات قيد الاستخدام التي تستخدم هذا</w:t>
      </w:r>
      <w:r w:rsidR="00385FF3">
        <w:rPr>
          <w:rFonts w:hint="cs"/>
          <w:rtl/>
        </w:rPr>
        <w:t> </w:t>
      </w:r>
      <w:r>
        <w:rPr>
          <w:rtl/>
        </w:rPr>
        <w:t xml:space="preserve">المعيار. </w:t>
      </w:r>
      <w:r>
        <w:rPr>
          <w:rFonts w:hint="cs"/>
          <w:rtl/>
        </w:rPr>
        <w:t>و</w:t>
      </w:r>
      <w:r>
        <w:rPr>
          <w:rtl/>
        </w:rPr>
        <w:t>تشج</w:t>
      </w:r>
      <w:r>
        <w:rPr>
          <w:rFonts w:hint="cs"/>
          <w:rtl/>
        </w:rPr>
        <w:t>َّع</w:t>
      </w:r>
      <w:r>
        <w:rPr>
          <w:rtl/>
        </w:rPr>
        <w:t xml:space="preserve"> التطبيقات الجديدة على استخدام</w:t>
      </w:r>
      <w:r w:rsidRPr="000033A0">
        <w:rPr>
          <w:rFonts w:hint="cs"/>
          <w:rtl/>
        </w:rPr>
        <w:t xml:space="preserve"> المعيار</w:t>
      </w:r>
      <w:r>
        <w:rPr>
          <w:rtl/>
        </w:rPr>
        <w:t xml:space="preserve"> </w:t>
      </w:r>
      <w:r>
        <w:rPr>
          <w:cs/>
        </w:rPr>
        <w:t>‎</w:t>
      </w:r>
      <w:r>
        <w:t>SMPTE ST 379-2</w:t>
      </w:r>
      <w:r>
        <w:rPr>
          <w:rtl/>
        </w:rPr>
        <w:t>.</w:t>
      </w:r>
    </w:p>
    <w:p w14:paraId="56205210" w14:textId="1741F81B" w:rsidR="00814305" w:rsidRPr="00385FF3" w:rsidRDefault="00E87EF1" w:rsidP="00385FF3">
      <w:pPr>
        <w:spacing w:line="180" w:lineRule="auto"/>
        <w:rPr>
          <w:spacing w:val="-6"/>
          <w:rtl/>
          <w:lang w:bidi="ar-EG"/>
        </w:rPr>
      </w:pPr>
      <w:r w:rsidRPr="00385FF3">
        <w:rPr>
          <w:spacing w:val="-6"/>
          <w:rtl/>
        </w:rPr>
        <w:t>‏</w:t>
      </w:r>
      <w:r w:rsidRPr="00385FF3">
        <w:rPr>
          <w:rFonts w:hint="cs"/>
          <w:spacing w:val="-6"/>
          <w:rtl/>
        </w:rPr>
        <w:t>وبوجه عام</w:t>
      </w:r>
      <w:r w:rsidRPr="00385FF3">
        <w:rPr>
          <w:spacing w:val="-6"/>
          <w:rtl/>
        </w:rPr>
        <w:t>، تتوافق البيانات</w:t>
      </w:r>
      <w:r w:rsidRPr="00385FF3">
        <w:rPr>
          <w:rFonts w:hint="cs"/>
          <w:spacing w:val="-6"/>
          <w:rtl/>
        </w:rPr>
        <w:t xml:space="preserve"> </w:t>
      </w:r>
      <w:bookmarkStart w:id="2" w:name="_Hlk174457830"/>
      <w:r w:rsidRPr="00385FF3">
        <w:rPr>
          <w:rFonts w:hint="cs"/>
          <w:spacing w:val="-6"/>
          <w:rtl/>
        </w:rPr>
        <w:t>الملتزمة</w:t>
      </w:r>
      <w:r w:rsidRPr="00385FF3">
        <w:rPr>
          <w:spacing w:val="-6"/>
          <w:rtl/>
        </w:rPr>
        <w:t xml:space="preserve"> </w:t>
      </w:r>
      <w:r w:rsidRPr="00385FF3">
        <w:rPr>
          <w:rFonts w:hint="cs"/>
          <w:spacing w:val="-6"/>
          <w:rtl/>
        </w:rPr>
        <w:t>بالمعيار</w:t>
      </w:r>
      <w:r w:rsidRPr="00385FF3">
        <w:rPr>
          <w:spacing w:val="-6"/>
          <w:rtl/>
        </w:rPr>
        <w:t xml:space="preserve"> </w:t>
      </w:r>
      <w:bookmarkEnd w:id="2"/>
      <w:r w:rsidRPr="00385FF3">
        <w:rPr>
          <w:spacing w:val="-6"/>
          <w:cs/>
        </w:rPr>
        <w:t>‎</w:t>
      </w:r>
      <w:r w:rsidRPr="00385FF3">
        <w:rPr>
          <w:spacing w:val="-6"/>
        </w:rPr>
        <w:t>SMPTE ST 379-2</w:t>
      </w:r>
      <w:r w:rsidRPr="00385FF3">
        <w:rPr>
          <w:spacing w:val="-6"/>
          <w:rtl/>
        </w:rPr>
        <w:t xml:space="preserve"> ‏مع المعال</w:t>
      </w:r>
      <w:r w:rsidRPr="00385FF3">
        <w:rPr>
          <w:rFonts w:hint="cs"/>
          <w:spacing w:val="-6"/>
          <w:rtl/>
        </w:rPr>
        <w:t>ِ</w:t>
      </w:r>
      <w:r w:rsidRPr="00385FF3">
        <w:rPr>
          <w:spacing w:val="-6"/>
          <w:rtl/>
        </w:rPr>
        <w:t>جات التي تتوافق مع</w:t>
      </w:r>
      <w:r w:rsidRPr="00385FF3">
        <w:rPr>
          <w:rFonts w:hint="cs"/>
          <w:spacing w:val="-6"/>
          <w:rtl/>
        </w:rPr>
        <w:t xml:space="preserve"> المعيار</w:t>
      </w:r>
      <w:r w:rsidRPr="00385FF3">
        <w:rPr>
          <w:spacing w:val="-6"/>
          <w:rtl/>
        </w:rPr>
        <w:t xml:space="preserve"> </w:t>
      </w:r>
      <w:r w:rsidRPr="00385FF3">
        <w:rPr>
          <w:spacing w:val="-6"/>
          <w:cs/>
        </w:rPr>
        <w:t>‎</w:t>
      </w:r>
      <w:r w:rsidRPr="00385FF3">
        <w:rPr>
          <w:spacing w:val="-6"/>
        </w:rPr>
        <w:t>SMPTE ST 379-1</w:t>
      </w:r>
      <w:r w:rsidRPr="00385FF3">
        <w:rPr>
          <w:spacing w:val="-6"/>
          <w:rtl/>
        </w:rPr>
        <w:t>. ‏</w:t>
      </w:r>
      <w:r w:rsidRPr="00385FF3">
        <w:rPr>
          <w:rFonts w:hint="cs"/>
          <w:spacing w:val="-6"/>
          <w:rtl/>
        </w:rPr>
        <w:t>و</w:t>
      </w:r>
      <w:r w:rsidRPr="00385FF3">
        <w:rPr>
          <w:spacing w:val="-6"/>
          <w:rtl/>
        </w:rPr>
        <w:t xml:space="preserve">قد لا يكون العكس صحيحا. </w:t>
      </w:r>
      <w:r w:rsidRPr="00385FF3">
        <w:rPr>
          <w:rFonts w:hint="cs"/>
          <w:spacing w:val="-6"/>
          <w:rtl/>
        </w:rPr>
        <w:t>ف</w:t>
      </w:r>
      <w:r w:rsidRPr="00385FF3">
        <w:rPr>
          <w:spacing w:val="-6"/>
          <w:rtl/>
        </w:rPr>
        <w:t xml:space="preserve">قد لا تتوافق البيانات الملتزمة بالمعيار </w:t>
      </w:r>
      <w:r w:rsidRPr="00385FF3">
        <w:rPr>
          <w:spacing w:val="-6"/>
          <w:cs/>
        </w:rPr>
        <w:t>‎</w:t>
      </w:r>
      <w:r w:rsidRPr="00385FF3">
        <w:rPr>
          <w:spacing w:val="-6"/>
        </w:rPr>
        <w:t>SMPTE ST 379-1</w:t>
      </w:r>
      <w:r w:rsidRPr="00385FF3">
        <w:rPr>
          <w:spacing w:val="-6"/>
          <w:rtl/>
        </w:rPr>
        <w:t xml:space="preserve"> ‏مع المعال</w:t>
      </w:r>
      <w:r w:rsidRPr="00385FF3">
        <w:rPr>
          <w:rFonts w:hint="cs"/>
          <w:spacing w:val="-6"/>
          <w:rtl/>
        </w:rPr>
        <w:t>ِ</w:t>
      </w:r>
      <w:r w:rsidRPr="00385FF3">
        <w:rPr>
          <w:spacing w:val="-6"/>
          <w:rtl/>
        </w:rPr>
        <w:t>جات التي تتوافق مع</w:t>
      </w:r>
      <w:r w:rsidRPr="00385FF3">
        <w:rPr>
          <w:rFonts w:hint="cs"/>
          <w:spacing w:val="-6"/>
          <w:rtl/>
        </w:rPr>
        <w:t xml:space="preserve"> المعيار</w:t>
      </w:r>
      <w:r w:rsidR="00385FF3" w:rsidRPr="00385FF3">
        <w:rPr>
          <w:rFonts w:hint="cs"/>
          <w:spacing w:val="-6"/>
          <w:rtl/>
        </w:rPr>
        <w:t> </w:t>
      </w:r>
      <w:r w:rsidRPr="00385FF3">
        <w:rPr>
          <w:spacing w:val="-6"/>
          <w:cs/>
        </w:rPr>
        <w:t>‎</w:t>
      </w:r>
      <w:r w:rsidRPr="00385FF3">
        <w:rPr>
          <w:spacing w:val="-6"/>
        </w:rPr>
        <w:t>SMPTE ST 379-2</w:t>
      </w:r>
      <w:r w:rsidRPr="00385FF3">
        <w:rPr>
          <w:spacing w:val="-6"/>
          <w:rtl/>
        </w:rPr>
        <w:t>.</w:t>
      </w:r>
    </w:p>
    <w:p w14:paraId="2A2C117F" w14:textId="3154225B" w:rsidR="00814305" w:rsidRPr="00825361" w:rsidRDefault="00814305" w:rsidP="00385FF3">
      <w:pPr>
        <w:spacing w:before="16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814305" w:rsidRPr="00825361" w:rsidSect="0045598B">
      <w:headerReference w:type="even" r:id="rId23"/>
      <w:headerReference w:type="default" r:id="rId24"/>
      <w:footerReference w:type="even" r:id="rId25"/>
      <w:footerReference w:type="default" r:id="rId26"/>
      <w:headerReference w:type="first" r:id="rId27"/>
      <w:footerReference w:type="first" r:id="rId28"/>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2B2C" w14:textId="77777777" w:rsidR="00915528" w:rsidRDefault="00915528">
      <w:r>
        <w:separator/>
      </w:r>
    </w:p>
  </w:endnote>
  <w:endnote w:type="continuationSeparator" w:id="0">
    <w:p w14:paraId="56229B8A" w14:textId="77777777" w:rsidR="00915528" w:rsidRDefault="0091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E19A" w14:textId="77777777" w:rsidR="00CD2510" w:rsidRDefault="00CD2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2E037" w14:textId="77777777" w:rsidR="00CD2510" w:rsidRDefault="00CD2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AE06" w14:textId="77777777" w:rsidR="00CD2510" w:rsidRDefault="00CD25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6A092" w14:textId="77777777" w:rsidR="000B4F10" w:rsidRDefault="000B4F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B64B" w14:textId="77777777" w:rsidR="000B4F10" w:rsidRPr="005E066B" w:rsidRDefault="000B4F10" w:rsidP="005E066B">
    <w:pPr>
      <w:pStyle w:val="Footer"/>
      <w:rPr>
        <w:szCs w:val="18"/>
        <w:rtl/>
        <w:lang w:bidi="ar-EG"/>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EC74" w14:textId="4085149E"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504CB3">
      <w:rPr>
        <w:lang w:val="fr-FR"/>
      </w:rPr>
      <w:t>P:\QPUB\BR\REC\BT\1775-1\BT1775-1A.docx</w:t>
    </w:r>
    <w:r>
      <w:fldChar w:fldCharType="end"/>
    </w:r>
    <w:r w:rsidRPr="002E6ECC">
      <w:rPr>
        <w:lang w:val="fr-FR"/>
      </w:rPr>
      <w:tab/>
    </w:r>
    <w:r>
      <w:fldChar w:fldCharType="begin"/>
    </w:r>
    <w:r>
      <w:instrText xml:space="preserve"> savedate \@ dd.MM.yy </w:instrText>
    </w:r>
    <w:r>
      <w:fldChar w:fldCharType="separate"/>
    </w:r>
    <w:r w:rsidR="00504CB3">
      <w:t>29.08.24</w:t>
    </w:r>
    <w:r>
      <w:fldChar w:fldCharType="end"/>
    </w:r>
    <w:r w:rsidRPr="002E6ECC">
      <w:rPr>
        <w:lang w:val="fr-FR"/>
      </w:rPr>
      <w:tab/>
    </w:r>
    <w:r>
      <w:fldChar w:fldCharType="begin"/>
    </w:r>
    <w:r>
      <w:instrText xml:space="preserve"> printdate \@ dd.MM.yy </w:instrText>
    </w:r>
    <w:r>
      <w:fldChar w:fldCharType="separate"/>
    </w:r>
    <w:r w:rsidR="00504CB3">
      <w:t>29.08.24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FEC5E" w14:textId="77777777" w:rsidR="00915528" w:rsidRDefault="00915528" w:rsidP="00E1601B">
      <w:pPr>
        <w:spacing w:line="240" w:lineRule="auto"/>
      </w:pPr>
      <w:r>
        <w:t>____________________</w:t>
      </w:r>
    </w:p>
  </w:footnote>
  <w:footnote w:type="continuationSeparator" w:id="0">
    <w:p w14:paraId="30B2FA99" w14:textId="77777777" w:rsidR="00915528" w:rsidRDefault="00915528">
      <w:r>
        <w:continuationSeparator/>
      </w:r>
    </w:p>
  </w:footnote>
  <w:footnote w:id="1">
    <w:p w14:paraId="541087D3" w14:textId="6DBBA918" w:rsidR="00825361" w:rsidRPr="008D418E" w:rsidRDefault="00825361" w:rsidP="008D418E">
      <w:pPr>
        <w:pStyle w:val="FootnoteText"/>
        <w:rPr>
          <w:rtl/>
        </w:rPr>
      </w:pPr>
      <w:r w:rsidRPr="008D418E">
        <w:rPr>
          <w:rStyle w:val="FootnoteReference"/>
          <w:rFonts w:cs="Traditional Arabic"/>
          <w:position w:val="0"/>
          <w:sz w:val="20"/>
          <w:szCs w:val="26"/>
          <w:vertAlign w:val="baseline"/>
        </w:rPr>
        <w:footnoteRef/>
      </w:r>
      <w:r w:rsidRPr="008D418E">
        <w:rPr>
          <w:rFonts w:hint="cs"/>
          <w:rtl/>
        </w:rPr>
        <w:tab/>
        <w:t xml:space="preserve">قد تحتوي ملفات </w:t>
      </w:r>
      <w:r w:rsidRPr="008D418E">
        <w:t>MXF</w:t>
      </w:r>
      <w:r w:rsidRPr="008D418E">
        <w:rPr>
          <w:rFonts w:hint="cs"/>
          <w:rtl/>
        </w:rPr>
        <w:t xml:space="preserve"> على بيانات متخصصة مغلفة داخل رزم نقل </w:t>
      </w:r>
      <w:r w:rsidR="005B4E21">
        <w:rPr>
          <w:rFonts w:hint="cs"/>
          <w:rtl/>
        </w:rPr>
        <w:t>البيانات</w:t>
      </w:r>
      <w:r w:rsidRPr="008D418E">
        <w:rPr>
          <w:rFonts w:hint="cs"/>
          <w:rtl/>
        </w:rPr>
        <w:t xml:space="preserve"> ال</w:t>
      </w:r>
      <w:r w:rsidR="005B4E21">
        <w:rPr>
          <w:rFonts w:hint="cs"/>
          <w:rtl/>
        </w:rPr>
        <w:t>شرحية</w:t>
      </w:r>
      <w:r w:rsidRPr="008D418E">
        <w:rPr>
          <w:rFonts w:hint="cs"/>
          <w:rtl/>
        </w:rPr>
        <w:t xml:space="preserve"> </w:t>
      </w:r>
      <w:r w:rsidRPr="008D418E">
        <w:t>KLV</w:t>
      </w:r>
      <w:r w:rsidRPr="008D418E">
        <w:rPr>
          <w:rFonts w:hint="cs"/>
          <w:rtl/>
        </w:rPr>
        <w:t xml:space="preserve"> والتي لم يتم تحديد مفاتيح علم النحو خاصتها في</w:t>
      </w:r>
      <w:r w:rsidR="006E5AAD">
        <w:rPr>
          <w:rFonts w:hint="eastAsia"/>
          <w:rtl/>
        </w:rPr>
        <w:t> </w:t>
      </w:r>
      <w:r w:rsidRPr="008D418E">
        <w:rPr>
          <w:rFonts w:hint="cs"/>
          <w:rtl/>
        </w:rPr>
        <w:t xml:space="preserve">أي من مواصفات </w:t>
      </w:r>
      <w:r w:rsidRPr="008D418E">
        <w:t>MXF</w:t>
      </w:r>
      <w:r w:rsidRPr="008D418E">
        <w:rPr>
          <w:rFonts w:hint="cs"/>
          <w:rtl/>
        </w:rPr>
        <w:t xml:space="preserve"> (تعرف البيانات المرجعية المظلمة).</w:t>
      </w:r>
    </w:p>
  </w:footnote>
  <w:footnote w:id="2">
    <w:p w14:paraId="739453DC" w14:textId="755FD9B6" w:rsidR="008D418E" w:rsidRPr="008D418E" w:rsidRDefault="008D418E" w:rsidP="00F6043B">
      <w:pPr>
        <w:pStyle w:val="FootnoteText"/>
        <w:rPr>
          <w:rtl/>
        </w:rPr>
      </w:pPr>
      <w:r w:rsidRPr="008D418E">
        <w:rPr>
          <w:rStyle w:val="FootnoteReference"/>
          <w:rFonts w:cs="Traditional Arabic"/>
          <w:position w:val="0"/>
          <w:sz w:val="20"/>
          <w:szCs w:val="26"/>
          <w:vertAlign w:val="baseline"/>
        </w:rPr>
        <w:footnoteRef/>
      </w:r>
      <w:r w:rsidRPr="008D418E">
        <w:rPr>
          <w:rFonts w:hint="cs"/>
          <w:rtl/>
        </w:rPr>
        <w:tab/>
      </w:r>
      <w:r w:rsidR="00F6043B" w:rsidRPr="00F6043B">
        <w:rPr>
          <w:rtl/>
        </w:rPr>
        <w:t xml:space="preserve">‏في </w:t>
      </w:r>
      <w:r w:rsidR="00F6043B" w:rsidRPr="00F6043B">
        <w:rPr>
          <w:rtl/>
        </w:rPr>
        <w:t xml:space="preserve">حين ترد </w:t>
      </w:r>
      <w:r w:rsidR="00F6043B" w:rsidRPr="00F6043B">
        <w:rPr>
          <w:rFonts w:hint="cs"/>
          <w:rtl/>
        </w:rPr>
        <w:t>إحالات</w:t>
      </w:r>
      <w:r w:rsidR="00F6043B" w:rsidRPr="00F6043B">
        <w:rPr>
          <w:rtl/>
        </w:rPr>
        <w:t xml:space="preserve"> إلى النسخ الحالية من هذه المعايير، تجدر الإشارة إلى أن هناك </w:t>
      </w:r>
      <w:r w:rsidR="00F6043B" w:rsidRPr="00F6043B">
        <w:rPr>
          <w:rFonts w:hint="cs"/>
          <w:rtl/>
        </w:rPr>
        <w:t>مراجعات</w:t>
      </w:r>
      <w:r w:rsidR="00F6043B" w:rsidRPr="00F6043B">
        <w:rPr>
          <w:rtl/>
        </w:rPr>
        <w:t xml:space="preserve"> أخرى جارية وأن هناك مذكرة استشارية عامة متاحة.</w:t>
      </w:r>
      <w:r w:rsidR="00F6043B" w:rsidRPr="00F6043B">
        <w:rPr>
          <w: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737A"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693795" w:rsidRPr="00A239D1" w14:paraId="7E95811F" w14:textId="77777777" w:rsidTr="00CE26F9">
      <w:trPr>
        <w:jc w:val="right"/>
      </w:trPr>
      <w:tc>
        <w:tcPr>
          <w:tcW w:w="5972" w:type="dxa"/>
        </w:tcPr>
        <w:p w14:paraId="69DE648F" w14:textId="77777777" w:rsidR="00693795" w:rsidRPr="00CB4BD6" w:rsidRDefault="00693795" w:rsidP="00693795">
          <w:pPr>
            <w:pStyle w:val="Header"/>
            <w:spacing w:before="60" w:after="120"/>
            <w:jc w:val="right"/>
            <w:rPr>
              <w:rFonts w:ascii="Arial Black" w:hAnsi="Arial Black" w:cs="Dubai"/>
              <w:color w:val="FFFFFF" w:themeColor="background1"/>
              <w:sz w:val="32"/>
              <w:szCs w:val="32"/>
            </w:rPr>
          </w:pPr>
        </w:p>
      </w:tc>
      <w:tc>
        <w:tcPr>
          <w:tcW w:w="4518" w:type="dxa"/>
        </w:tcPr>
        <w:p w14:paraId="13C4C3BA" w14:textId="77777777" w:rsidR="00693795" w:rsidRPr="00CB4BD6" w:rsidRDefault="00693795" w:rsidP="00693795">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693795" w:rsidRPr="00A239D1" w14:paraId="79ABEC06" w14:textId="77777777" w:rsidTr="00CE26F9">
      <w:trPr>
        <w:jc w:val="right"/>
      </w:trPr>
      <w:tc>
        <w:tcPr>
          <w:tcW w:w="5972" w:type="dxa"/>
        </w:tcPr>
        <w:p w14:paraId="48877833" w14:textId="77777777" w:rsidR="00693795" w:rsidRPr="00CB4BD6" w:rsidRDefault="00693795" w:rsidP="00693795">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101B12C6" w14:textId="77777777" w:rsidR="00693795" w:rsidRPr="00CB4BD6" w:rsidRDefault="00693795" w:rsidP="00693795">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538AA7ED"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39C1F207" wp14:editId="606EB94D">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12C7B91C" wp14:editId="13151D7F">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00DB1"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2C195F10" wp14:editId="6460BF0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A2E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C5227" w14:textId="77777777" w:rsidR="00CD2510" w:rsidRDefault="00CD25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71F7" w14:textId="6708D187"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04CB3">
      <w:rPr>
        <w:rFonts w:ascii="Times New Roman Bold" w:hAnsi="Times New Roman Bold"/>
        <w:b/>
        <w:bCs/>
        <w:noProof/>
      </w:rPr>
      <w:t>ITU-R BT.1775-1</w:t>
    </w:r>
    <w:r w:rsidRPr="00E33FA2">
      <w:rPr>
        <w:rFonts w:ascii="Times New Roman Bold" w:hAnsi="Times New Roman Bold"/>
        <w:b/>
        <w:bCs/>
      </w:rPr>
      <w:fldChar w:fldCharType="end"/>
    </w:r>
    <w:r>
      <w:rPr>
        <w:b/>
        <w:b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4E97B"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r>
      <w:rPr>
        <w:b w:val="0"/>
        <w:bCs w:val="0"/>
      </w:rPr>
      <w:t>.</w:t>
    </w:r>
    <w:r w:rsidR="00E16062">
      <w:rPr>
        <w:b w:val="0"/>
        <w:bCs w:val="0"/>
      </w:rPr>
      <w:t>xxxx</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0DBA" w14:textId="639732ED"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504CB3">
      <w:rPr>
        <w:rFonts w:ascii="Times New Roman Bold" w:hAnsi="Times New Roman Bold"/>
        <w:b/>
        <w:bCs/>
        <w:noProof/>
      </w:rPr>
      <w:t>ITU-R BT.1775-1</w:t>
    </w:r>
    <w:r w:rsidRPr="00E33FA2">
      <w:rPr>
        <w:rFonts w:ascii="Times New Roman Bold" w:hAnsi="Times New Roman Bold"/>
        <w:b/>
        <w:bCs/>
      </w:rPr>
      <w:fldChar w:fldCharType="end"/>
    </w:r>
    <w:r>
      <w:rPr>
        <w:b/>
        <w:bC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B457" w14:textId="3EF15C78"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B1188">
      <w:rPr>
        <w:rFonts w:ascii="Times New Roman Bold" w:hAnsi="Times New Roman Bold"/>
        <w:b/>
        <w:bCs/>
        <w:noProof/>
      </w:rPr>
      <w:t>ITU-R BT.1775-1</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430"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29"/>
    <w:rsid w:val="00002849"/>
    <w:rsid w:val="00004474"/>
    <w:rsid w:val="00027907"/>
    <w:rsid w:val="000473FF"/>
    <w:rsid w:val="000522D1"/>
    <w:rsid w:val="00067954"/>
    <w:rsid w:val="00081122"/>
    <w:rsid w:val="00091A6B"/>
    <w:rsid w:val="00096F01"/>
    <w:rsid w:val="000A079C"/>
    <w:rsid w:val="000B30D7"/>
    <w:rsid w:val="000B4F10"/>
    <w:rsid w:val="000D02E3"/>
    <w:rsid w:val="000F312E"/>
    <w:rsid w:val="000F6D38"/>
    <w:rsid w:val="001048FC"/>
    <w:rsid w:val="00113EE4"/>
    <w:rsid w:val="001231D6"/>
    <w:rsid w:val="00132731"/>
    <w:rsid w:val="00134026"/>
    <w:rsid w:val="00140B98"/>
    <w:rsid w:val="001568ED"/>
    <w:rsid w:val="00160047"/>
    <w:rsid w:val="00160200"/>
    <w:rsid w:val="0017413D"/>
    <w:rsid w:val="00174247"/>
    <w:rsid w:val="00182385"/>
    <w:rsid w:val="00183CAB"/>
    <w:rsid w:val="00196389"/>
    <w:rsid w:val="00197749"/>
    <w:rsid w:val="001B03B8"/>
    <w:rsid w:val="001D2146"/>
    <w:rsid w:val="001E0B6B"/>
    <w:rsid w:val="001E77BC"/>
    <w:rsid w:val="001F23C7"/>
    <w:rsid w:val="00201143"/>
    <w:rsid w:val="002137FD"/>
    <w:rsid w:val="002144CB"/>
    <w:rsid w:val="00230502"/>
    <w:rsid w:val="0023138B"/>
    <w:rsid w:val="002434E6"/>
    <w:rsid w:val="00271843"/>
    <w:rsid w:val="002971E7"/>
    <w:rsid w:val="002B261D"/>
    <w:rsid w:val="002B706F"/>
    <w:rsid w:val="002C0F17"/>
    <w:rsid w:val="002C1FE8"/>
    <w:rsid w:val="002D3483"/>
    <w:rsid w:val="002D7A41"/>
    <w:rsid w:val="002E6ECC"/>
    <w:rsid w:val="002E7058"/>
    <w:rsid w:val="00303491"/>
    <w:rsid w:val="00304728"/>
    <w:rsid w:val="0030719D"/>
    <w:rsid w:val="00314E5F"/>
    <w:rsid w:val="00322952"/>
    <w:rsid w:val="00340205"/>
    <w:rsid w:val="00374B5D"/>
    <w:rsid w:val="00380511"/>
    <w:rsid w:val="00385FF3"/>
    <w:rsid w:val="00386858"/>
    <w:rsid w:val="00390B1B"/>
    <w:rsid w:val="00393745"/>
    <w:rsid w:val="003D017C"/>
    <w:rsid w:val="003D307E"/>
    <w:rsid w:val="003D40E1"/>
    <w:rsid w:val="003F15D8"/>
    <w:rsid w:val="00402F6B"/>
    <w:rsid w:val="004044EE"/>
    <w:rsid w:val="00422D17"/>
    <w:rsid w:val="0042647B"/>
    <w:rsid w:val="0044201D"/>
    <w:rsid w:val="0045598B"/>
    <w:rsid w:val="0047085B"/>
    <w:rsid w:val="004910A2"/>
    <w:rsid w:val="004B094A"/>
    <w:rsid w:val="004D79B4"/>
    <w:rsid w:val="004E1620"/>
    <w:rsid w:val="004E7D1E"/>
    <w:rsid w:val="00504CB3"/>
    <w:rsid w:val="00506547"/>
    <w:rsid w:val="00511801"/>
    <w:rsid w:val="00527EAF"/>
    <w:rsid w:val="005425A3"/>
    <w:rsid w:val="005514CA"/>
    <w:rsid w:val="005570BF"/>
    <w:rsid w:val="0056060A"/>
    <w:rsid w:val="00573F3E"/>
    <w:rsid w:val="00577803"/>
    <w:rsid w:val="00584B8F"/>
    <w:rsid w:val="0059020C"/>
    <w:rsid w:val="00591053"/>
    <w:rsid w:val="005960C8"/>
    <w:rsid w:val="005A018F"/>
    <w:rsid w:val="005A750D"/>
    <w:rsid w:val="005B4E21"/>
    <w:rsid w:val="005B530B"/>
    <w:rsid w:val="005C397A"/>
    <w:rsid w:val="005C43CD"/>
    <w:rsid w:val="005C462C"/>
    <w:rsid w:val="005D6161"/>
    <w:rsid w:val="005D6A35"/>
    <w:rsid w:val="005E066B"/>
    <w:rsid w:val="005F01A2"/>
    <w:rsid w:val="005F24EB"/>
    <w:rsid w:val="005F3E06"/>
    <w:rsid w:val="005F3FD2"/>
    <w:rsid w:val="00607FA9"/>
    <w:rsid w:val="00617A19"/>
    <w:rsid w:val="006405DD"/>
    <w:rsid w:val="00665EBF"/>
    <w:rsid w:val="00667C08"/>
    <w:rsid w:val="00680CA6"/>
    <w:rsid w:val="00686ACA"/>
    <w:rsid w:val="00693795"/>
    <w:rsid w:val="006D24D6"/>
    <w:rsid w:val="006E5AAD"/>
    <w:rsid w:val="006F0DD4"/>
    <w:rsid w:val="007362CE"/>
    <w:rsid w:val="00754F10"/>
    <w:rsid w:val="00794E1C"/>
    <w:rsid w:val="00796478"/>
    <w:rsid w:val="00796F0C"/>
    <w:rsid w:val="007B1188"/>
    <w:rsid w:val="007B1739"/>
    <w:rsid w:val="007C58FE"/>
    <w:rsid w:val="007C78A5"/>
    <w:rsid w:val="007D7E68"/>
    <w:rsid w:val="007F1856"/>
    <w:rsid w:val="00800F29"/>
    <w:rsid w:val="00802B34"/>
    <w:rsid w:val="00811188"/>
    <w:rsid w:val="008113E9"/>
    <w:rsid w:val="00814305"/>
    <w:rsid w:val="008151F0"/>
    <w:rsid w:val="00815E12"/>
    <w:rsid w:val="00825361"/>
    <w:rsid w:val="0082770F"/>
    <w:rsid w:val="0083115C"/>
    <w:rsid w:val="00846C0D"/>
    <w:rsid w:val="008502BB"/>
    <w:rsid w:val="008656C3"/>
    <w:rsid w:val="0087705A"/>
    <w:rsid w:val="00880588"/>
    <w:rsid w:val="00894394"/>
    <w:rsid w:val="00897041"/>
    <w:rsid w:val="008B76A0"/>
    <w:rsid w:val="008C5CCB"/>
    <w:rsid w:val="008C6A66"/>
    <w:rsid w:val="008C733D"/>
    <w:rsid w:val="008D418E"/>
    <w:rsid w:val="00904910"/>
    <w:rsid w:val="00904F65"/>
    <w:rsid w:val="009067BA"/>
    <w:rsid w:val="00912A86"/>
    <w:rsid w:val="00915528"/>
    <w:rsid w:val="00925FAA"/>
    <w:rsid w:val="00930F9D"/>
    <w:rsid w:val="009352F6"/>
    <w:rsid w:val="00936CB4"/>
    <w:rsid w:val="009533AE"/>
    <w:rsid w:val="0096112A"/>
    <w:rsid w:val="009643BD"/>
    <w:rsid w:val="00964A11"/>
    <w:rsid w:val="00972570"/>
    <w:rsid w:val="0097703C"/>
    <w:rsid w:val="009845C0"/>
    <w:rsid w:val="009C27BA"/>
    <w:rsid w:val="009C6655"/>
    <w:rsid w:val="00A0453F"/>
    <w:rsid w:val="00A161D3"/>
    <w:rsid w:val="00A163C1"/>
    <w:rsid w:val="00A177D7"/>
    <w:rsid w:val="00A2420C"/>
    <w:rsid w:val="00A35603"/>
    <w:rsid w:val="00A56CCF"/>
    <w:rsid w:val="00A70D90"/>
    <w:rsid w:val="00A8298F"/>
    <w:rsid w:val="00A96D62"/>
    <w:rsid w:val="00AA1ACD"/>
    <w:rsid w:val="00AB0789"/>
    <w:rsid w:val="00AB2BD9"/>
    <w:rsid w:val="00AE09F4"/>
    <w:rsid w:val="00AE17C6"/>
    <w:rsid w:val="00AE2234"/>
    <w:rsid w:val="00AE46C8"/>
    <w:rsid w:val="00AE7C5A"/>
    <w:rsid w:val="00AF5504"/>
    <w:rsid w:val="00AF5F81"/>
    <w:rsid w:val="00AF6ABB"/>
    <w:rsid w:val="00B16E8C"/>
    <w:rsid w:val="00B22D33"/>
    <w:rsid w:val="00B244FA"/>
    <w:rsid w:val="00B452E5"/>
    <w:rsid w:val="00B60FFE"/>
    <w:rsid w:val="00B978E1"/>
    <w:rsid w:val="00B97F45"/>
    <w:rsid w:val="00BE0D0E"/>
    <w:rsid w:val="00BE5AAE"/>
    <w:rsid w:val="00BF0907"/>
    <w:rsid w:val="00BF3DD6"/>
    <w:rsid w:val="00BF3EF5"/>
    <w:rsid w:val="00C04244"/>
    <w:rsid w:val="00C1100F"/>
    <w:rsid w:val="00C46925"/>
    <w:rsid w:val="00C50B28"/>
    <w:rsid w:val="00C53F27"/>
    <w:rsid w:val="00C71576"/>
    <w:rsid w:val="00C93F89"/>
    <w:rsid w:val="00C94B6E"/>
    <w:rsid w:val="00CA603A"/>
    <w:rsid w:val="00CB4BE8"/>
    <w:rsid w:val="00CC48AA"/>
    <w:rsid w:val="00CC6EA6"/>
    <w:rsid w:val="00CD2510"/>
    <w:rsid w:val="00CD71D4"/>
    <w:rsid w:val="00CF545E"/>
    <w:rsid w:val="00CF6960"/>
    <w:rsid w:val="00CF73A8"/>
    <w:rsid w:val="00D2107D"/>
    <w:rsid w:val="00D231CE"/>
    <w:rsid w:val="00D23D39"/>
    <w:rsid w:val="00D30FE6"/>
    <w:rsid w:val="00D34703"/>
    <w:rsid w:val="00D53BE6"/>
    <w:rsid w:val="00D83D71"/>
    <w:rsid w:val="00D85FA6"/>
    <w:rsid w:val="00DA348F"/>
    <w:rsid w:val="00DB3D2A"/>
    <w:rsid w:val="00DC46DB"/>
    <w:rsid w:val="00DC7E91"/>
    <w:rsid w:val="00DD670F"/>
    <w:rsid w:val="00DD6AA4"/>
    <w:rsid w:val="00DF4E37"/>
    <w:rsid w:val="00E103BB"/>
    <w:rsid w:val="00E12EB0"/>
    <w:rsid w:val="00E15CD6"/>
    <w:rsid w:val="00E1601B"/>
    <w:rsid w:val="00E16062"/>
    <w:rsid w:val="00E27A46"/>
    <w:rsid w:val="00E3032C"/>
    <w:rsid w:val="00E45AFF"/>
    <w:rsid w:val="00E577A6"/>
    <w:rsid w:val="00E6418C"/>
    <w:rsid w:val="00E650A3"/>
    <w:rsid w:val="00E71F57"/>
    <w:rsid w:val="00E726E9"/>
    <w:rsid w:val="00E736B4"/>
    <w:rsid w:val="00E87EF1"/>
    <w:rsid w:val="00E9048A"/>
    <w:rsid w:val="00E964C9"/>
    <w:rsid w:val="00EC2BCA"/>
    <w:rsid w:val="00EC44EE"/>
    <w:rsid w:val="00ED3659"/>
    <w:rsid w:val="00EF0744"/>
    <w:rsid w:val="00EF6496"/>
    <w:rsid w:val="00EF7CB5"/>
    <w:rsid w:val="00F03CE4"/>
    <w:rsid w:val="00F1320B"/>
    <w:rsid w:val="00F15389"/>
    <w:rsid w:val="00F15682"/>
    <w:rsid w:val="00F22C87"/>
    <w:rsid w:val="00F254C4"/>
    <w:rsid w:val="00F3359B"/>
    <w:rsid w:val="00F36830"/>
    <w:rsid w:val="00F40BC5"/>
    <w:rsid w:val="00F6043B"/>
    <w:rsid w:val="00F615CE"/>
    <w:rsid w:val="00F82FD6"/>
    <w:rsid w:val="00F939BC"/>
    <w:rsid w:val="00F9575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21929"/>
  <w15:docId w15:val="{971CC8DF-45FD-49C8-8D6B-3705ECD4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38B"/>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autoRedefine/>
    <w:rsid w:val="006E5AAD"/>
    <w:pPr>
      <w:keepNext/>
      <w:keepLines/>
      <w:spacing w:before="360" w:after="12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_Sum"/>
    <w:basedOn w:val="Headingb"/>
    <w:qFormat/>
    <w:rsid w:val="00754F10"/>
    <w:rPr>
      <w:lang w:bidi="ar-EG"/>
    </w:rPr>
  </w:style>
  <w:style w:type="character" w:styleId="UnresolvedMention">
    <w:name w:val="Unresolved Mention"/>
    <w:basedOn w:val="DefaultParagraphFont"/>
    <w:uiPriority w:val="99"/>
    <w:semiHidden/>
    <w:unhideWhenUsed/>
    <w:rsid w:val="00827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ieeexplore.ieee.org/document/729180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publ/R-REC/en" TargetMode="External"/><Relationship Id="rId20" Type="http://schemas.openxmlformats.org/officeDocument/2006/relationships/hyperlink" Target="https://ieeexplore.ieee.org/document/89846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tu.int/ITU-R/go/patents/en" TargetMode="Externa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www.itu.int/pub/R-QUE-SG06.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eeexplore.ieee.org/document/7292040" TargetMode="Externa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4\ITU-R%20(BR)\PA_ITU-R%20Rec\2023-ITU-R-REC_B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2023-ITU-R-REC_BT-A.dotx</Template>
  <TotalTime>53</TotalTime>
  <Pages>5</Pages>
  <Words>1406</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التوصيـة ITU-R BT.1775-1 (2023/11) نسق الملفات مع إمكانية تحريرها من أجل تبادل البيانات المرجعية والسمعية والفيديوية والجوهرية والإضافية لاستعمالها في الإذاعة</vt:lpstr>
    </vt:vector>
  </TitlesOfParts>
  <Company>ITU</Company>
  <LinksUpToDate>false</LinksUpToDate>
  <CharactersWithSpaces>9709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BT.1775-1 (2023/11) نسق الملفات مع إمكانية تحريرها من أجل تبادل البيانات المرجعية والسمعية والفيديوية والجوهرية والإضافية لاستعمالها في الإذاعة</dc:title>
  <dc:creator>AAK</dc:creator>
  <cp:lastModifiedBy>Gergis, Mina</cp:lastModifiedBy>
  <cp:revision>14</cp:revision>
  <cp:lastPrinted>2024-08-29T12:36:00Z</cp:lastPrinted>
  <dcterms:created xsi:type="dcterms:W3CDTF">2024-08-29T11:39:00Z</dcterms:created>
  <dcterms:modified xsi:type="dcterms:W3CDTF">2024-08-29T12:41:00Z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96263e79-baa9-483d-912d-9ae806d3a94a</vt:lpwstr>
  </property>
</Properties>
</file>