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E00246"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E0024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E00246">
              <w:rPr>
                <w:rFonts w:ascii="Tahoma" w:hAnsi="Tahoma" w:cs="Tahoma"/>
                <w:b/>
                <w:bCs/>
                <w:iCs/>
                <w:color w:val="243285"/>
                <w:sz w:val="36"/>
                <w:szCs w:val="36"/>
                <w:lang w:val="es-ES_tradnl"/>
              </w:rPr>
              <w:t>1735-3</w:t>
            </w:r>
          </w:p>
          <w:p w:rsidR="00227CED" w:rsidRPr="0010336F" w:rsidRDefault="00227CED" w:rsidP="00E0024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00246">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E00246">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227CED" w:rsidRPr="00E00246"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E00246" w:rsidP="00E00246">
            <w:pPr>
              <w:spacing w:before="80" w:line="500" w:lineRule="exact"/>
              <w:jc w:val="right"/>
              <w:rPr>
                <w:rFonts w:ascii="Tahoma" w:hAnsi="Tahoma" w:cs="Tahoma"/>
                <w:b/>
                <w:bCs/>
                <w:color w:val="243285"/>
                <w:sz w:val="44"/>
                <w:szCs w:val="44"/>
                <w:lang w:val="es-ES_tradnl"/>
              </w:rPr>
            </w:pPr>
            <w:r w:rsidRPr="00E00246">
              <w:rPr>
                <w:rFonts w:ascii="Tahoma" w:hAnsi="Tahoma" w:cs="Tahoma"/>
                <w:b/>
                <w:bCs/>
                <w:color w:val="243285"/>
                <w:sz w:val="44"/>
                <w:szCs w:val="44"/>
                <w:lang w:val="es-ES_tradnl"/>
              </w:rPr>
              <w:t>Métodos de evaluación objetiva de la calidad de recepción de las señales</w:t>
            </w:r>
            <w:r>
              <w:rPr>
                <w:rFonts w:ascii="Tahoma" w:hAnsi="Tahoma" w:cs="Tahoma"/>
                <w:b/>
                <w:bCs/>
                <w:color w:val="243285"/>
                <w:sz w:val="44"/>
                <w:szCs w:val="44"/>
                <w:lang w:val="es-ES_tradnl"/>
              </w:rPr>
              <w:t xml:space="preserve"> </w:t>
            </w:r>
            <w:r w:rsidRPr="00E00246">
              <w:rPr>
                <w:rFonts w:ascii="Tahoma" w:hAnsi="Tahoma" w:cs="Tahoma"/>
                <w:b/>
                <w:bCs/>
                <w:color w:val="243285"/>
                <w:sz w:val="44"/>
                <w:szCs w:val="44"/>
                <w:lang w:val="es-ES_tradnl"/>
              </w:rPr>
              <w:t>de radiodifusión de televisión digital terrenal del Sistema B</w:t>
            </w:r>
            <w:r>
              <w:rPr>
                <w:rFonts w:ascii="Tahoma" w:hAnsi="Tahoma" w:cs="Tahoma"/>
                <w:b/>
                <w:bCs/>
                <w:color w:val="243285"/>
                <w:sz w:val="44"/>
                <w:szCs w:val="44"/>
                <w:lang w:val="es-ES_tradnl"/>
              </w:rPr>
              <w:t xml:space="preserve"> </w:t>
            </w:r>
            <w:r w:rsidRPr="00E00246">
              <w:rPr>
                <w:rFonts w:ascii="Tahoma" w:hAnsi="Tahoma" w:cs="Tahoma"/>
                <w:b/>
                <w:bCs/>
                <w:color w:val="243285"/>
                <w:sz w:val="44"/>
                <w:szCs w:val="44"/>
                <w:lang w:val="es-ES_tradnl"/>
              </w:rPr>
              <w:t>especificado en la Recomendación UIT</w:t>
            </w:r>
            <w:r w:rsidRPr="00E00246">
              <w:rPr>
                <w:rFonts w:ascii="Tahoma" w:hAnsi="Tahoma" w:cs="Tahoma"/>
                <w:b/>
                <w:bCs/>
                <w:color w:val="243285"/>
                <w:sz w:val="44"/>
                <w:szCs w:val="44"/>
                <w:lang w:val="es-ES_tradnl"/>
              </w:rPr>
              <w:noBreakHyphen/>
              <w:t>R BT.1306</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E00246"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E00246"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E00246"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E00246"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E00246"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E0024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E0024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E0024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E00246"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E00246" w:rsidRDefault="00E00246" w:rsidP="00E00246">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1735-3</w:t>
      </w:r>
    </w:p>
    <w:p w:rsidR="00E00246" w:rsidRPr="00067EBA" w:rsidRDefault="00E00246" w:rsidP="00E00246">
      <w:pPr>
        <w:pStyle w:val="Rectitle"/>
        <w:rPr>
          <w:bCs/>
          <w:szCs w:val="28"/>
          <w:lang w:val="es-ES_tradnl"/>
        </w:rPr>
      </w:pPr>
      <w:r w:rsidRPr="00067EBA">
        <w:rPr>
          <w:bCs/>
          <w:szCs w:val="28"/>
          <w:lang w:val="es-ES_tradnl"/>
        </w:rPr>
        <w:t>Métodos de evaluación objetiva de la calidad de recepción de las señales</w:t>
      </w:r>
      <w:r w:rsidRPr="00067EBA">
        <w:rPr>
          <w:bCs/>
          <w:szCs w:val="28"/>
          <w:lang w:val="es-ES_tradnl"/>
        </w:rPr>
        <w:br/>
        <w:t>de radiodifusión de televisión digital terrenal del Sistema B</w:t>
      </w:r>
      <w:r w:rsidRPr="00067EBA">
        <w:rPr>
          <w:bCs/>
          <w:szCs w:val="28"/>
          <w:lang w:val="es-ES_tradnl"/>
        </w:rPr>
        <w:br/>
        <w:t>especificado en la Recomendación UIT</w:t>
      </w:r>
      <w:r w:rsidRPr="00067EBA">
        <w:rPr>
          <w:bCs/>
          <w:szCs w:val="28"/>
          <w:lang w:val="es-ES_tradnl"/>
        </w:rPr>
        <w:noBreakHyphen/>
        <w:t>R BT.1306</w:t>
      </w:r>
    </w:p>
    <w:p w:rsidR="00E00246" w:rsidRPr="00067EBA" w:rsidRDefault="00E00246" w:rsidP="00E00246">
      <w:pPr>
        <w:pStyle w:val="Recref"/>
        <w:rPr>
          <w:lang w:val="es-ES_tradnl"/>
        </w:rPr>
      </w:pPr>
      <w:r w:rsidRPr="00067EBA">
        <w:rPr>
          <w:lang w:val="es-ES_tradnl"/>
        </w:rPr>
        <w:t>(Cuestión UIT-R 100/6)</w:t>
      </w:r>
    </w:p>
    <w:p w:rsidR="00E00246" w:rsidRPr="00067EBA" w:rsidRDefault="00E00246" w:rsidP="00E00246">
      <w:pPr>
        <w:pStyle w:val="Recdate"/>
        <w:rPr>
          <w:lang w:val="es-ES_tradnl"/>
        </w:rPr>
      </w:pPr>
      <w:r w:rsidRPr="00067EBA">
        <w:rPr>
          <w:lang w:val="es-ES_tradnl"/>
        </w:rPr>
        <w:t>(2005-2012-2014-2015)</w:t>
      </w:r>
    </w:p>
    <w:p w:rsidR="00E00246" w:rsidRPr="00067EBA" w:rsidRDefault="00E00246" w:rsidP="00E00246">
      <w:pPr>
        <w:pStyle w:val="HeadingSum"/>
      </w:pPr>
      <w:r w:rsidRPr="00067EBA">
        <w:t>Cometido</w:t>
      </w:r>
    </w:p>
    <w:p w:rsidR="00E00246" w:rsidRPr="00067EBA" w:rsidRDefault="00E00246" w:rsidP="00E00246">
      <w:pPr>
        <w:pStyle w:val="Summary"/>
      </w:pPr>
      <w:r w:rsidRPr="00067EBA">
        <w:t>El objetivo de la presente Recomendación es proporcionar métodos para evaluar la calidad de la recepción de los servicios de radiodifusión de televisión digital terrenal del Sistema B. En esta Recomendación se tienen en cuenta las Recomendaciones del UIT-R pertinentes. Para realizar dicha evaluación, se exponen dos métodos: uno para la red multifrecuencia (MFN) y otro para la red de frecuencia única (SFN).</w:t>
      </w:r>
    </w:p>
    <w:p w:rsidR="00E00246" w:rsidRPr="00067EBA" w:rsidRDefault="00E00246" w:rsidP="00E00246">
      <w:pPr>
        <w:pStyle w:val="Normalaftertitle"/>
        <w:rPr>
          <w:lang w:val="es-ES_tradnl"/>
        </w:rPr>
      </w:pPr>
      <w:r w:rsidRPr="00067EBA">
        <w:rPr>
          <w:lang w:val="es-ES_tradnl"/>
        </w:rPr>
        <w:t>La Asamblea de Radiocomunicaciones de la UIT,</w:t>
      </w:r>
    </w:p>
    <w:p w:rsidR="00E00246" w:rsidRPr="00067EBA" w:rsidRDefault="00E00246" w:rsidP="00E00246">
      <w:pPr>
        <w:pStyle w:val="Call"/>
        <w:rPr>
          <w:i w:val="0"/>
          <w:lang w:val="es-ES_tradnl"/>
        </w:rPr>
      </w:pPr>
      <w:r w:rsidRPr="00067EBA">
        <w:rPr>
          <w:lang w:val="es-ES_tradnl"/>
        </w:rPr>
        <w:t>considerando</w:t>
      </w:r>
    </w:p>
    <w:p w:rsidR="00E00246" w:rsidRPr="00067EBA" w:rsidRDefault="00E00246" w:rsidP="00E00246">
      <w:pPr>
        <w:rPr>
          <w:lang w:val="es-ES_tradnl"/>
        </w:rPr>
      </w:pPr>
      <w:r w:rsidRPr="00067EBA">
        <w:rPr>
          <w:i/>
          <w:iCs/>
          <w:lang w:val="es-ES_tradnl"/>
        </w:rPr>
        <w:t>a)</w:t>
      </w:r>
      <w:r w:rsidRPr="00067EBA">
        <w:rPr>
          <w:lang w:val="es-ES_tradnl"/>
        </w:rPr>
        <w:tab/>
        <w:t>que la Recomendación UIT-R SM.1682 – Métodos para efectuar mediciones en señales de radiodifusión digital, especifica en su § 2.6 los parámetros que han de medirse para evaluar la cobertura;</w:t>
      </w:r>
    </w:p>
    <w:p w:rsidR="00E00246" w:rsidRPr="00067EBA" w:rsidRDefault="00E00246" w:rsidP="00E00246">
      <w:pPr>
        <w:rPr>
          <w:lang w:val="es-ES_tradnl"/>
        </w:rPr>
      </w:pPr>
      <w:r w:rsidRPr="00067EBA">
        <w:rPr>
          <w:i/>
          <w:iCs/>
          <w:lang w:val="es-ES_tradnl"/>
        </w:rPr>
        <w:t>b)</w:t>
      </w:r>
      <w:r w:rsidRPr="00067EBA">
        <w:rPr>
          <w:lang w:val="es-ES_tradnl"/>
        </w:rPr>
        <w:tab/>
        <w:t>que en la Recomendación UIT-R BT.1368 se definen parámetros de planificación tales como la mínima intensidad de campo, la relación de protección y la relación entre la mínima intensidad de campo y tensión a la entrada del receptor, ampliamente utilizados por las administraciones;</w:t>
      </w:r>
    </w:p>
    <w:p w:rsidR="00E00246" w:rsidRPr="00067EBA" w:rsidRDefault="00E00246" w:rsidP="00E00246">
      <w:pPr>
        <w:rPr>
          <w:lang w:val="es-ES_tradnl"/>
        </w:rPr>
      </w:pPr>
      <w:r w:rsidRPr="00067EBA">
        <w:rPr>
          <w:i/>
          <w:iCs/>
          <w:lang w:val="es-ES_tradnl"/>
        </w:rPr>
        <w:t>c)</w:t>
      </w:r>
      <w:r w:rsidRPr="00067EBA">
        <w:rPr>
          <w:lang w:val="es-ES_tradnl"/>
        </w:rPr>
        <w:tab/>
        <w:t xml:space="preserve">que en la Recomendación UIT-R P.1546 se indican los métodos de predicción de intensidad de campo y altura de los obstáculos para la evaluación </w:t>
      </w:r>
      <w:r w:rsidRPr="00067EBA">
        <w:rPr>
          <w:i/>
          <w:iCs/>
          <w:lang w:val="es-ES_tradnl"/>
        </w:rPr>
        <w:t>in situ</w:t>
      </w:r>
      <w:r w:rsidRPr="00067EBA">
        <w:rPr>
          <w:lang w:val="es-ES_tradnl"/>
        </w:rPr>
        <w:t>, que utilizan ampliamente las administraciones;</w:t>
      </w:r>
    </w:p>
    <w:p w:rsidR="00E00246" w:rsidRPr="00067EBA" w:rsidRDefault="00E00246" w:rsidP="00E00246">
      <w:pPr>
        <w:rPr>
          <w:lang w:val="es-ES_tradnl"/>
        </w:rPr>
      </w:pPr>
      <w:r w:rsidRPr="00067EBA">
        <w:rPr>
          <w:i/>
          <w:iCs/>
          <w:lang w:val="es-ES_tradnl"/>
        </w:rPr>
        <w:t>d)</w:t>
      </w:r>
      <w:r w:rsidRPr="00067EBA">
        <w:rPr>
          <w:lang w:val="es-ES_tradnl"/>
        </w:rPr>
        <w:tab/>
        <w:t>que el UIT-R estableció en la Recomendación UIT-R BT.500 una metodología para la evaluación subjetiva de la calidad de las imágenes de televisión;</w:t>
      </w:r>
    </w:p>
    <w:p w:rsidR="00E00246" w:rsidRPr="00067EBA" w:rsidRDefault="00E00246" w:rsidP="00E00246">
      <w:pPr>
        <w:rPr>
          <w:lang w:val="es-ES_tradnl"/>
        </w:rPr>
      </w:pPr>
      <w:r w:rsidRPr="00067EBA">
        <w:rPr>
          <w:i/>
          <w:iCs/>
          <w:lang w:val="es-ES_tradnl"/>
        </w:rPr>
        <w:t>e)</w:t>
      </w:r>
      <w:r w:rsidRPr="00067EBA">
        <w:rPr>
          <w:lang w:val="es-ES_tradnl"/>
        </w:rPr>
        <w:tab/>
        <w:t>que, con la introducción de los servicios de televisión digital, se ha observado que la evaluación subjetiva de las imágenes de televisión digital se considera menos relevante en la evaluación de calidad, dado que el funcionamiento de las tecnologías digitales no presenta las mismas tolerancias que el de las analógicas;</w:t>
      </w:r>
    </w:p>
    <w:p w:rsidR="00E00246" w:rsidRPr="00067EBA" w:rsidRDefault="00E00246" w:rsidP="00E00246">
      <w:pPr>
        <w:rPr>
          <w:lang w:val="es-ES_tradnl"/>
        </w:rPr>
      </w:pPr>
      <w:r w:rsidRPr="00067EBA">
        <w:rPr>
          <w:i/>
          <w:iCs/>
          <w:lang w:val="es-ES_tradnl"/>
        </w:rPr>
        <w:t>f)</w:t>
      </w:r>
      <w:r w:rsidRPr="00067EBA">
        <w:rPr>
          <w:lang w:val="es-ES_tradnl"/>
        </w:rPr>
        <w:tab/>
        <w:t>que, con la evaluación de los sistemas de televisión digital, resulta indispensable que el sistema se encuentre por encima del umbral;</w:t>
      </w:r>
    </w:p>
    <w:p w:rsidR="00E00246" w:rsidRPr="00067EBA" w:rsidRDefault="00E00246" w:rsidP="00E00246">
      <w:pPr>
        <w:rPr>
          <w:lang w:val="es-ES_tradnl"/>
        </w:rPr>
      </w:pPr>
      <w:r w:rsidRPr="00067EBA">
        <w:rPr>
          <w:i/>
          <w:iCs/>
          <w:lang w:val="es-ES_tradnl"/>
        </w:rPr>
        <w:t>g)</w:t>
      </w:r>
      <w:r w:rsidRPr="00067EBA">
        <w:rPr>
          <w:lang w:val="es-ES_tradnl"/>
        </w:rPr>
        <w:tab/>
        <w:t>que el análisis subjetivo de la calidad de la imagen no puede utilizarse como medida para calcular el nivel de interferencia o las relaciones de protección necesarias de los sistemas digitales;</w:t>
      </w:r>
    </w:p>
    <w:p w:rsidR="00E00246" w:rsidRPr="00067EBA" w:rsidRDefault="00E00246" w:rsidP="00E00246">
      <w:pPr>
        <w:rPr>
          <w:lang w:val="es-ES_tradnl"/>
        </w:rPr>
      </w:pPr>
      <w:r w:rsidRPr="00067EBA">
        <w:rPr>
          <w:i/>
          <w:iCs/>
          <w:lang w:val="es-ES_tradnl"/>
        </w:rPr>
        <w:t>h)</w:t>
      </w:r>
      <w:r w:rsidRPr="00067EBA">
        <w:rPr>
          <w:lang w:val="es-ES_tradnl"/>
        </w:rPr>
        <w:tab/>
        <w:t>que la planificación satisfactoria de los sistemas digitales requiere el establecimiento de operaciones que cuenten con un margen suficiente por encima del umbral de señal casi sin error (QEF, </w:t>
      </w:r>
      <w:r w:rsidRPr="00067EBA">
        <w:rPr>
          <w:i/>
          <w:iCs/>
          <w:lang w:val="es-ES_tradnl"/>
        </w:rPr>
        <w:t>quasi error free</w:t>
      </w:r>
      <w:r w:rsidRPr="00067EBA">
        <w:rPr>
          <w:lang w:val="es-ES_tradnl"/>
        </w:rPr>
        <w:t>), teniendo en cuenta las variables de tiempo y ubicación;</w:t>
      </w:r>
    </w:p>
    <w:p w:rsidR="00E00246" w:rsidRPr="00067EBA" w:rsidRDefault="00E00246" w:rsidP="00E00246">
      <w:pPr>
        <w:rPr>
          <w:lang w:val="es-ES_tradnl"/>
        </w:rPr>
      </w:pPr>
      <w:r w:rsidRPr="00067EBA">
        <w:rPr>
          <w:i/>
          <w:iCs/>
          <w:lang w:val="es-ES_tradnl"/>
        </w:rPr>
        <w:t>i)</w:t>
      </w:r>
      <w:r w:rsidRPr="00067EBA">
        <w:rPr>
          <w:lang w:val="es-ES_tradnl"/>
        </w:rPr>
        <w:tab/>
        <w:t>que para determinar el umbral de la condición QEF se utiliza la BER después de la decodificación de Viterbi (vBER);</w:t>
      </w:r>
    </w:p>
    <w:p w:rsidR="00E00246" w:rsidRPr="00067EBA" w:rsidRDefault="00E00246" w:rsidP="00E00246">
      <w:pPr>
        <w:rPr>
          <w:lang w:val="es-ES_tradnl"/>
        </w:rPr>
      </w:pPr>
      <w:r w:rsidRPr="00067EBA">
        <w:rPr>
          <w:i/>
          <w:iCs/>
          <w:lang w:val="es-ES_tradnl"/>
        </w:rPr>
        <w:t>j)</w:t>
      </w:r>
      <w:r w:rsidRPr="00067EBA">
        <w:rPr>
          <w:lang w:val="es-ES_tradnl"/>
        </w:rPr>
        <w:tab/>
        <w:t xml:space="preserve">que para </w:t>
      </w:r>
      <w:r w:rsidRPr="00067EBA">
        <w:rPr>
          <w:rFonts w:ascii="TimesNewRoman,Bold" w:hAnsi="TimesNewRoman,Bold" w:cs="TimesNewRoman,Bold"/>
          <w:lang w:val="es-ES_tradnl"/>
        </w:rPr>
        <w:t>establecer</w:t>
      </w:r>
      <w:r w:rsidRPr="00067EBA">
        <w:rPr>
          <w:lang w:val="es-ES_tradnl"/>
        </w:rPr>
        <w:t xml:space="preserve"> el umbral de errores visibles se emplea el método de punto de fallo subjetivo (SFP, </w:t>
      </w:r>
      <w:r w:rsidRPr="00067EBA">
        <w:rPr>
          <w:i/>
          <w:iCs/>
          <w:lang w:val="es-ES_tradnl"/>
        </w:rPr>
        <w:t>subjective failure point</w:t>
      </w:r>
      <w:r w:rsidRPr="00067EBA">
        <w:rPr>
          <w:lang w:val="es-ES_tradnl"/>
        </w:rPr>
        <w:t>);</w:t>
      </w:r>
    </w:p>
    <w:p w:rsidR="00E00246" w:rsidRPr="00067EBA" w:rsidRDefault="00E00246" w:rsidP="00E00246">
      <w:pPr>
        <w:rPr>
          <w:lang w:val="es-ES_tradnl"/>
        </w:rPr>
      </w:pPr>
      <w:r w:rsidRPr="00067EBA">
        <w:rPr>
          <w:i/>
          <w:iCs/>
          <w:lang w:val="es-ES_tradnl"/>
        </w:rPr>
        <w:lastRenderedPageBreak/>
        <w:t>k)</w:t>
      </w:r>
      <w:r w:rsidRPr="00067EBA">
        <w:rPr>
          <w:lang w:val="es-ES_tradnl"/>
        </w:rPr>
        <w:tab/>
        <w:t>que se necesitan metodologías de campo para que las Administraciones y Miembros de Sector puedan evaluar la calidad de recepción de la cobertura de la radiodifusión de televisión digital terrenal (RTDT),</w:t>
      </w:r>
    </w:p>
    <w:p w:rsidR="00E00246" w:rsidRPr="00067EBA" w:rsidRDefault="00E00246" w:rsidP="00E00246">
      <w:pPr>
        <w:pStyle w:val="Call"/>
        <w:rPr>
          <w:i w:val="0"/>
          <w:lang w:val="es-ES_tradnl"/>
        </w:rPr>
      </w:pPr>
      <w:r w:rsidRPr="00067EBA">
        <w:rPr>
          <w:lang w:val="es-ES_tradnl"/>
        </w:rPr>
        <w:t>recomienda</w:t>
      </w:r>
    </w:p>
    <w:p w:rsidR="00E00246" w:rsidRPr="00067EBA" w:rsidRDefault="00E00246" w:rsidP="00E00246">
      <w:pPr>
        <w:rPr>
          <w:lang w:val="es-ES_tradnl"/>
        </w:rPr>
      </w:pPr>
      <w:r w:rsidRPr="00067EBA">
        <w:rPr>
          <w:b/>
          <w:bCs/>
          <w:lang w:val="es-ES_tradnl"/>
        </w:rPr>
        <w:t>1</w:t>
      </w:r>
      <w:r w:rsidRPr="00067EBA">
        <w:rPr>
          <w:lang w:val="es-ES_tradnl"/>
        </w:rPr>
        <w:tab/>
        <w:t>que se utilice el modelo para describir la calidad de recepción objetiva de las señales digitales basado en los valores calculados de proporción de bits erróneos (BER) e intensidad de campo, de conformidad con el § 3 del Anexo 1;</w:t>
      </w:r>
    </w:p>
    <w:p w:rsidR="00E00246" w:rsidRPr="00067EBA" w:rsidRDefault="00E00246" w:rsidP="00E00246">
      <w:pPr>
        <w:rPr>
          <w:lang w:val="es-ES_tradnl"/>
        </w:rPr>
      </w:pPr>
      <w:r w:rsidRPr="00067EBA">
        <w:rPr>
          <w:b/>
          <w:bCs/>
          <w:lang w:val="es-ES_tradnl"/>
        </w:rPr>
        <w:t>2</w:t>
      </w:r>
      <w:r w:rsidRPr="00067EBA">
        <w:rPr>
          <w:lang w:val="es-ES_tradnl"/>
        </w:rPr>
        <w:tab/>
        <w:t>que para la red multifrecuencia (MFN) se utilice la escala de calidad que figura en los Cuadros 1 y 2 del § 3.1 del Anexo 1;</w:t>
      </w:r>
    </w:p>
    <w:p w:rsidR="00E00246" w:rsidRPr="00067EBA" w:rsidRDefault="00E00246" w:rsidP="00E00246">
      <w:pPr>
        <w:rPr>
          <w:lang w:val="es-ES_tradnl"/>
        </w:rPr>
      </w:pPr>
      <w:r w:rsidRPr="00067EBA">
        <w:rPr>
          <w:b/>
          <w:bCs/>
          <w:lang w:val="es-ES_tradnl"/>
        </w:rPr>
        <w:t>3</w:t>
      </w:r>
      <w:r w:rsidRPr="00067EBA">
        <w:rPr>
          <w:lang w:val="es-ES_tradnl"/>
        </w:rPr>
        <w:tab/>
        <w:t>que para la red de frecuencia única (SFN) se utilicen las escalas de calidad que figuran en el Cuadro 3 del § 3.2 y el Cuadro 2 del § 3.1 del Anexo 1;</w:t>
      </w:r>
    </w:p>
    <w:p w:rsidR="00E00246" w:rsidRPr="00067EBA" w:rsidRDefault="00E00246" w:rsidP="00E00246">
      <w:pPr>
        <w:rPr>
          <w:lang w:val="es-ES_tradnl"/>
        </w:rPr>
      </w:pPr>
      <w:r w:rsidRPr="00067EBA">
        <w:rPr>
          <w:b/>
          <w:bCs/>
          <w:lang w:val="es-ES_tradnl"/>
        </w:rPr>
        <w:t>4</w:t>
      </w:r>
      <w:r w:rsidRPr="00067EBA">
        <w:rPr>
          <w:lang w:val="es-ES_tradnl"/>
        </w:rPr>
        <w:tab/>
        <w:t>que se utilicen los métodos de medición descritos en los § 5, 6 y 7 del Anexo 1.</w:t>
      </w:r>
    </w:p>
    <w:p w:rsidR="00E00246" w:rsidRPr="00067EBA" w:rsidRDefault="00E00246" w:rsidP="00E00246">
      <w:pPr>
        <w:rPr>
          <w:lang w:val="es-ES_tradnl"/>
        </w:rPr>
      </w:pPr>
      <w:bookmarkStart w:id="4" w:name="_Toc117308790"/>
    </w:p>
    <w:p w:rsidR="00E00246" w:rsidRPr="00067EBA" w:rsidRDefault="00E00246" w:rsidP="00E00246">
      <w:pPr>
        <w:pStyle w:val="AnnexNoTitle"/>
        <w:rPr>
          <w:b w:val="0"/>
          <w:lang w:val="es-ES_tradnl"/>
        </w:rPr>
      </w:pPr>
      <w:r w:rsidRPr="00067EBA">
        <w:rPr>
          <w:lang w:val="es-ES_tradnl"/>
        </w:rPr>
        <w:t>Anexo 1</w:t>
      </w:r>
      <w:r w:rsidRPr="00067EBA">
        <w:rPr>
          <w:lang w:val="es-ES_tradnl"/>
        </w:rPr>
        <w:br/>
      </w:r>
      <w:r w:rsidRPr="00067EBA">
        <w:rPr>
          <w:lang w:val="es-ES_tradnl"/>
        </w:rPr>
        <w:br/>
        <w:t>Método normalizado para la evaluación objetiva de la calidad de recepción</w:t>
      </w:r>
      <w:r w:rsidRPr="00067EBA">
        <w:rPr>
          <w:lang w:val="es-ES_tradnl"/>
        </w:rPr>
        <w:br/>
        <w:t>de las señales de radiodifusión de televisión digital del Sistema B</w:t>
      </w:r>
    </w:p>
    <w:p w:rsidR="00E00246" w:rsidRPr="00067EBA" w:rsidRDefault="00E00246" w:rsidP="00E00246">
      <w:pPr>
        <w:pStyle w:val="Heading1"/>
        <w:rPr>
          <w:bCs/>
          <w:lang w:val="es-ES_tradnl"/>
        </w:rPr>
      </w:pPr>
      <w:bookmarkStart w:id="5" w:name="_Toc117308791"/>
      <w:bookmarkEnd w:id="4"/>
      <w:r w:rsidRPr="00067EBA">
        <w:rPr>
          <w:lang w:val="es-ES_tradnl"/>
        </w:rPr>
        <w:t>1</w:t>
      </w:r>
      <w:r w:rsidRPr="00067EBA">
        <w:rPr>
          <w:lang w:val="es-ES_tradnl"/>
        </w:rPr>
        <w:tab/>
        <w:t>Evaluación objetiva de la calidad de recepción</w:t>
      </w:r>
    </w:p>
    <w:p w:rsidR="00E00246" w:rsidRPr="00067EBA" w:rsidRDefault="00E00246" w:rsidP="00E00246">
      <w:pPr>
        <w:rPr>
          <w:b/>
          <w:bCs/>
          <w:lang w:val="es-ES_tradnl"/>
        </w:rPr>
      </w:pPr>
      <w:r w:rsidRPr="00067EBA">
        <w:rPr>
          <w:lang w:val="es-ES_tradnl"/>
        </w:rPr>
        <w:t xml:space="preserve">La cobertura de una zona específica, determinada utilizando un método de predicción, debe verificarse mediante mediciones </w:t>
      </w:r>
      <w:r w:rsidRPr="00067EBA">
        <w:rPr>
          <w:i/>
          <w:lang w:val="es-ES_tradnl"/>
        </w:rPr>
        <w:t>in situ</w:t>
      </w:r>
      <w:r w:rsidRPr="00067EBA">
        <w:rPr>
          <w:lang w:val="es-ES_tradnl"/>
        </w:rPr>
        <w:t xml:space="preserve"> para evaluar los resultados de la predicción. En términos de calidad, gracias a un método de predicción es posible identificar la zona de cobertura utilizando la «probabilidad de emplazamiento». Del mismo modo, puede evaluarse el concepto de «calidad percibida», relativa al usuario final, utilizando métodos de medición. El sistema de recepción de televisión digital terrenal se basa en un «umbral» y la calidad percibida depende de tres factores: el acceso al servicio, la disponibilidad de tiempo y la disponibilidad de emplazamiento.</w:t>
      </w:r>
    </w:p>
    <w:p w:rsidR="00E00246" w:rsidRPr="00067EBA" w:rsidRDefault="00E00246" w:rsidP="00E00246">
      <w:pPr>
        <w:rPr>
          <w:szCs w:val="24"/>
          <w:lang w:val="es-ES_tradnl"/>
        </w:rPr>
      </w:pPr>
      <w:r w:rsidRPr="00067EBA">
        <w:rPr>
          <w:szCs w:val="24"/>
          <w:lang w:val="es-ES_tradnl"/>
        </w:rPr>
        <w:t>La aplicación de este método comprende dos procesos distintos: la evaluación del nivel de la señal y la evaluación de la calidad.</w:t>
      </w:r>
    </w:p>
    <w:p w:rsidR="00E00246" w:rsidRPr="00067EBA" w:rsidRDefault="00E00246" w:rsidP="00E00246">
      <w:pPr>
        <w:rPr>
          <w:szCs w:val="24"/>
          <w:lang w:val="es-ES_tradnl"/>
        </w:rPr>
      </w:pPr>
      <w:r w:rsidRPr="00067EBA">
        <w:rPr>
          <w:szCs w:val="24"/>
          <w:lang w:val="es-ES_tradnl"/>
        </w:rPr>
        <w:t>El factor del entorno de recepción es irrelevante para el proceso de evaluación de la calidad</w:t>
      </w:r>
      <w:r w:rsidRPr="00067EBA">
        <w:rPr>
          <w:rStyle w:val="FootnoteReference"/>
          <w:szCs w:val="24"/>
          <w:lang w:val="es-ES_tradnl"/>
        </w:rPr>
        <w:footnoteReference w:id="1"/>
      </w:r>
      <w:r w:rsidRPr="00067EBA">
        <w:rPr>
          <w:szCs w:val="24"/>
          <w:lang w:val="es-ES_tradnl"/>
        </w:rPr>
        <w:t>. Se entiende que el proceso de evaluación de la calidad se basa en el mínimo nivel de señal aplicado a un entorno específico en el marco de un régimen de planificación de RTDT de una administración en el que la derivación del mínimo nivel de señal tendría en cuenta los entornos de recepción pertinentes. Asimismo, se supone que el régimen de planificación de RTDT tiene presente la disponibilidad de emplazamiento.</w:t>
      </w:r>
    </w:p>
    <w:p w:rsidR="00E00246" w:rsidRPr="00067EBA" w:rsidRDefault="00E00246" w:rsidP="00E00246">
      <w:pPr>
        <w:rPr>
          <w:lang w:val="es-ES_tradnl"/>
        </w:rPr>
      </w:pPr>
      <w:r w:rsidRPr="00067EBA">
        <w:rPr>
          <w:lang w:val="es-ES_tradnl"/>
        </w:rPr>
        <w:lastRenderedPageBreak/>
        <w:t>Si, de acuerdo con el régimen de planificación, no se alcanza la intensidad de campo necesaria en un entorno de recepción concreto, el servicio deja de cumplir automáticamente el requisito de evaluación de la calidad.</w:t>
      </w:r>
      <w:bookmarkStart w:id="6" w:name="_Toc117667124"/>
      <w:bookmarkStart w:id="7" w:name="_Toc117308792"/>
      <w:bookmarkEnd w:id="5"/>
    </w:p>
    <w:p w:rsidR="00E00246" w:rsidRPr="00067EBA" w:rsidRDefault="00E00246" w:rsidP="00E00246">
      <w:pPr>
        <w:pStyle w:val="Heading1"/>
        <w:rPr>
          <w:bCs/>
          <w:lang w:val="es-ES_tradnl"/>
        </w:rPr>
      </w:pPr>
      <w:r w:rsidRPr="00067EBA">
        <w:rPr>
          <w:lang w:val="es-ES_tradnl"/>
        </w:rPr>
        <w:t>2</w:t>
      </w:r>
      <w:r w:rsidRPr="00067EBA">
        <w:rPr>
          <w:lang w:val="es-ES_tradnl"/>
        </w:rPr>
        <w:tab/>
        <w:t>Parámetros que se han de evaluar</w:t>
      </w:r>
      <w:bookmarkEnd w:id="6"/>
    </w:p>
    <w:p w:rsidR="00E00246" w:rsidRPr="00067EBA" w:rsidRDefault="00E00246" w:rsidP="00E00246">
      <w:pPr>
        <w:rPr>
          <w:lang w:val="es-ES_tradnl"/>
        </w:rPr>
      </w:pPr>
      <w:r w:rsidRPr="00067EBA">
        <w:rPr>
          <w:lang w:val="es-ES_tradnl"/>
        </w:rPr>
        <w:t xml:space="preserve">Como se indica en el § 2.6 de la actual versión de la Recomendación UIT-R SM.1682, los parámetros que han de evaluarse son la intensidad de campo y la proporción de bits erróneos (BER) después de cada etapa de decodificación (se sugiere, en este caso, obtener la BER antes y después de la decodificación de Viterbi (cBER y vBER)). Se utiliza la BER después de la decodificación de Viterbi (vBER) para determinar el umbral de condición casi sin error (QEF). Otro parámetro que ha de registrarse durante la medición es la tasa de errores de modulación (MER, </w:t>
      </w:r>
      <w:r w:rsidRPr="00067EBA">
        <w:rPr>
          <w:i/>
          <w:lang w:val="es-ES_tradnl"/>
        </w:rPr>
        <w:t>modulation error ratio</w:t>
      </w:r>
      <w:r w:rsidRPr="00067EBA">
        <w:rPr>
          <w:lang w:val="es-ES_tradnl"/>
        </w:rPr>
        <w:t>) en el emplazamiento de transmisión. La MER representa una forma sintética de análisis de constelación. Si el valor de MER en el emplazamiento de transmisión es inferior al valor establecido, por ejemplo 36 dB</w:t>
      </w:r>
      <w:r w:rsidRPr="00067EBA">
        <w:rPr>
          <w:rStyle w:val="FootnoteReference"/>
          <w:rFonts w:asciiTheme="majorBidi" w:hAnsiTheme="majorBidi"/>
          <w:szCs w:val="24"/>
          <w:lang w:val="es-ES_tradnl"/>
        </w:rPr>
        <w:footnoteReference w:id="2"/>
      </w:r>
      <w:r w:rsidRPr="00067EBA">
        <w:rPr>
          <w:lang w:val="es-ES_tradnl"/>
        </w:rPr>
        <w:t xml:space="preserve">, deben interrumpirse las mediciones para evitar un posible fallo de transmisión. Se ha observado que, en ciertas administraciones, puede haber distintas clases de rendimiento de MER correspondiente a </w:t>
      </w:r>
      <w:r w:rsidRPr="00067EBA">
        <w:rPr>
          <w:i/>
          <w:iCs/>
          <w:lang w:val="es-ES_tradnl"/>
        </w:rPr>
        <w:t>tipos de servicio</w:t>
      </w:r>
      <w:r w:rsidRPr="00067EBA">
        <w:rPr>
          <w:lang w:val="es-ES_tradnl"/>
        </w:rPr>
        <w:t xml:space="preserve"> para diferentes tipos de servicios de transmisión, según se indica a continuación:</w:t>
      </w:r>
    </w:p>
    <w:p w:rsidR="00E00246" w:rsidRPr="00067EBA" w:rsidRDefault="00E00246" w:rsidP="00E00246">
      <w:pPr>
        <w:rPr>
          <w:lang w:val="es-ES_tradnl"/>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2523"/>
      </w:tblGrid>
      <w:tr w:rsidR="00E00246" w:rsidRPr="00E00246" w:rsidTr="000002C9">
        <w:trPr>
          <w:jc w:val="center"/>
        </w:trPr>
        <w:tc>
          <w:tcPr>
            <w:tcW w:w="7143" w:type="dxa"/>
            <w:vAlign w:val="center"/>
          </w:tcPr>
          <w:p w:rsidR="00E00246" w:rsidRPr="00067EBA" w:rsidRDefault="00E00246" w:rsidP="000002C9">
            <w:pPr>
              <w:pStyle w:val="Tablehead"/>
              <w:rPr>
                <w:lang w:val="es-ES_tradnl"/>
              </w:rPr>
            </w:pPr>
            <w:r w:rsidRPr="00067EBA">
              <w:rPr>
                <w:lang w:val="es-ES_tradnl"/>
              </w:rPr>
              <w:t>Tipo de servicio</w:t>
            </w:r>
          </w:p>
        </w:tc>
        <w:tc>
          <w:tcPr>
            <w:tcW w:w="2523" w:type="dxa"/>
            <w:vAlign w:val="center"/>
          </w:tcPr>
          <w:p w:rsidR="00E00246" w:rsidRPr="00067EBA" w:rsidRDefault="00E00246" w:rsidP="000002C9">
            <w:pPr>
              <w:pStyle w:val="Tablehead"/>
              <w:rPr>
                <w:lang w:val="es-ES_tradnl"/>
              </w:rPr>
            </w:pPr>
            <w:r w:rsidRPr="00067EBA">
              <w:rPr>
                <w:lang w:val="es-ES_tradnl"/>
              </w:rPr>
              <w:t>Objetivo de rendimiento</w:t>
            </w:r>
            <w:r w:rsidRPr="00067EBA">
              <w:rPr>
                <w:lang w:val="es-ES_tradnl"/>
              </w:rPr>
              <w:br/>
              <w:t>de servicio (MER)</w:t>
            </w:r>
          </w:p>
        </w:tc>
      </w:tr>
      <w:tr w:rsidR="00E00246" w:rsidRPr="00067EBA" w:rsidTr="000002C9">
        <w:trPr>
          <w:jc w:val="center"/>
        </w:trPr>
        <w:tc>
          <w:tcPr>
            <w:tcW w:w="7143" w:type="dxa"/>
          </w:tcPr>
          <w:p w:rsidR="00E00246" w:rsidRPr="00067EBA" w:rsidRDefault="00E00246" w:rsidP="000002C9">
            <w:pPr>
              <w:pStyle w:val="Tabletext"/>
              <w:jc w:val="left"/>
              <w:rPr>
                <w:lang w:val="es-ES_tradnl"/>
              </w:rPr>
            </w:pPr>
            <w:r w:rsidRPr="00067EBA">
              <w:rPr>
                <w:lang w:val="es-ES_tradnl"/>
              </w:rPr>
              <w:t>Servicio de transmisión primario que puede alimentar servicios de transmisión secundarios, requiere una calidad de referencia apropiada para la cobertura de zonas urbanas, suburbanas y rurales.</w:t>
            </w:r>
          </w:p>
        </w:tc>
        <w:tc>
          <w:tcPr>
            <w:tcW w:w="2523" w:type="dxa"/>
            <w:vAlign w:val="center"/>
          </w:tcPr>
          <w:p w:rsidR="00E00246" w:rsidRPr="00067EBA" w:rsidRDefault="00E00246" w:rsidP="000002C9">
            <w:pPr>
              <w:pStyle w:val="Tabletext"/>
              <w:jc w:val="center"/>
              <w:rPr>
                <w:lang w:val="es-ES_tradnl"/>
              </w:rPr>
            </w:pPr>
            <w:r w:rsidRPr="00067EBA">
              <w:rPr>
                <w:lang w:val="es-ES_tradnl"/>
              </w:rPr>
              <w:t>&gt; 35 dB</w:t>
            </w:r>
          </w:p>
        </w:tc>
      </w:tr>
      <w:tr w:rsidR="00E00246" w:rsidRPr="00067EBA" w:rsidTr="000002C9">
        <w:trPr>
          <w:jc w:val="center"/>
        </w:trPr>
        <w:tc>
          <w:tcPr>
            <w:tcW w:w="7143" w:type="dxa"/>
          </w:tcPr>
          <w:p w:rsidR="00E00246" w:rsidRPr="00067EBA" w:rsidRDefault="00E00246" w:rsidP="000002C9">
            <w:pPr>
              <w:pStyle w:val="Tabletext"/>
              <w:jc w:val="left"/>
              <w:rPr>
                <w:lang w:val="es-ES_tradnl"/>
              </w:rPr>
            </w:pPr>
            <w:r w:rsidRPr="00067EBA">
              <w:rPr>
                <w:lang w:val="es-ES_tradnl"/>
              </w:rPr>
              <w:t>Servicio de retransmisión secundario que se alimenta de RF a partir del servicio transmisor primario y se reconstituye o se modula de nuevo para la retransmisión en una canal de salida distinto del de entrada.</w:t>
            </w:r>
          </w:p>
        </w:tc>
        <w:tc>
          <w:tcPr>
            <w:tcW w:w="2523" w:type="dxa"/>
            <w:vAlign w:val="center"/>
          </w:tcPr>
          <w:p w:rsidR="00E00246" w:rsidRPr="00067EBA" w:rsidRDefault="00E00246" w:rsidP="000002C9">
            <w:pPr>
              <w:pStyle w:val="Tabletext"/>
              <w:jc w:val="center"/>
              <w:rPr>
                <w:lang w:val="es-ES_tradnl"/>
              </w:rPr>
            </w:pPr>
            <w:r w:rsidRPr="00067EBA">
              <w:rPr>
                <w:lang w:val="es-ES_tradnl"/>
              </w:rPr>
              <w:t>&gt; 33 dB</w:t>
            </w:r>
          </w:p>
        </w:tc>
      </w:tr>
      <w:tr w:rsidR="00E00246" w:rsidRPr="00067EBA" w:rsidTr="000002C9">
        <w:trPr>
          <w:jc w:val="center"/>
        </w:trPr>
        <w:tc>
          <w:tcPr>
            <w:tcW w:w="7143" w:type="dxa"/>
          </w:tcPr>
          <w:p w:rsidR="00E00246" w:rsidRPr="00067EBA" w:rsidRDefault="00E00246" w:rsidP="000002C9">
            <w:pPr>
              <w:pStyle w:val="Tabletext"/>
              <w:jc w:val="left"/>
              <w:rPr>
                <w:lang w:val="es-ES_tradnl"/>
              </w:rPr>
            </w:pPr>
            <w:r w:rsidRPr="00067EBA">
              <w:rPr>
                <w:lang w:val="es-ES_tradnl"/>
              </w:rPr>
              <w:t xml:space="preserve">Traductor terciario o en servicio de repetidor de canal que se alimenta de RF sin emisiones reales a partir del servicio transmisor primario y se procesa por FI únicamente para transmitir ya sea en un canal distinto, ya en el mismo canal en caso de un repetidor en el mismo canal (OCR, </w:t>
            </w:r>
            <w:r w:rsidRPr="00067EBA">
              <w:rPr>
                <w:i/>
                <w:iCs/>
                <w:lang w:val="es-ES_tradnl"/>
              </w:rPr>
              <w:t>on-channel repeater</w:t>
            </w:r>
            <w:r w:rsidRPr="00067EBA">
              <w:rPr>
                <w:lang w:val="es-ES_tradnl"/>
              </w:rPr>
              <w:t>)), es intrínsecamente un servicio de menor potencia, tiene una zona de cobertura relativamente menor y puede alimentarse a partir de un servicio retransmisor secundario.</w:t>
            </w:r>
          </w:p>
        </w:tc>
        <w:tc>
          <w:tcPr>
            <w:tcW w:w="2523" w:type="dxa"/>
            <w:vAlign w:val="center"/>
          </w:tcPr>
          <w:p w:rsidR="00E00246" w:rsidRPr="00067EBA" w:rsidRDefault="00E00246" w:rsidP="000002C9">
            <w:pPr>
              <w:pStyle w:val="Tabletext"/>
              <w:jc w:val="center"/>
              <w:rPr>
                <w:lang w:val="es-ES_tradnl"/>
              </w:rPr>
            </w:pPr>
            <w:r w:rsidRPr="00067EBA">
              <w:rPr>
                <w:lang w:val="es-ES_tradnl"/>
              </w:rPr>
              <w:t>&gt; 30 dB</w:t>
            </w:r>
          </w:p>
        </w:tc>
      </w:tr>
    </w:tbl>
    <w:p w:rsidR="00E00246" w:rsidRPr="00067EBA" w:rsidRDefault="00E00246" w:rsidP="00E00246">
      <w:pPr>
        <w:pStyle w:val="Tablefin"/>
        <w:rPr>
          <w:lang w:val="es-ES_tradnl"/>
        </w:rPr>
      </w:pPr>
    </w:p>
    <w:p w:rsidR="00E00246" w:rsidRPr="00067EBA" w:rsidRDefault="00E00246" w:rsidP="00E00246">
      <w:pPr>
        <w:rPr>
          <w:lang w:val="es-ES_tradnl" w:eastAsia="zh-CN"/>
        </w:rPr>
      </w:pPr>
      <w:bookmarkStart w:id="8" w:name="_Toc117667125"/>
      <w:r w:rsidRPr="00067EBA">
        <w:rPr>
          <w:lang w:val="es-ES_tradnl" w:eastAsia="zh-CN"/>
        </w:rPr>
        <w:t xml:space="preserve">La tasa de errores de modulación (MER) se define como la suma de los cuadrados de la magnitud de los vectores de símbolo ideal en una constelación de modulación de </w:t>
      </w:r>
      <w:r w:rsidRPr="00067EBA">
        <w:rPr>
          <w:i/>
          <w:iCs/>
          <w:lang w:val="es-ES_tradnl" w:eastAsia="zh-CN"/>
        </w:rPr>
        <w:t>M</w:t>
      </w:r>
      <w:r w:rsidRPr="00067EBA">
        <w:rPr>
          <w:lang w:val="es-ES_tradnl" w:eastAsia="zh-CN"/>
        </w:rPr>
        <w:t xml:space="preserve"> puntos, dividida por la suma de los cuadrados de las magnitudes de los vectores de símbolo. El resultado expresado como una relación de potencia en dB, se obtiene mediante la ecuación:</w:t>
      </w:r>
    </w:p>
    <w:p w:rsidR="00E00246" w:rsidRPr="00067EBA" w:rsidRDefault="00E00246" w:rsidP="00E00246">
      <w:pPr>
        <w:pStyle w:val="Blanc"/>
        <w:rPr>
          <w:lang w:val="es-ES_tradnl" w:eastAsia="zh-CN"/>
        </w:rPr>
      </w:pPr>
    </w:p>
    <w:p w:rsidR="00E00246" w:rsidRPr="00067EBA" w:rsidRDefault="00E00246" w:rsidP="00E00246">
      <w:pPr>
        <w:pStyle w:val="Equation"/>
        <w:rPr>
          <w:lang w:val="es-ES_tradnl" w:eastAsia="zh-CN"/>
        </w:rPr>
      </w:pPr>
      <w:r w:rsidRPr="00067EBA">
        <w:rPr>
          <w:iCs/>
          <w:lang w:val="es-ES_tradnl" w:eastAsia="zh-CN"/>
        </w:rPr>
        <w:tab/>
      </w:r>
      <w:r w:rsidRPr="00067EBA">
        <w:rPr>
          <w:iCs/>
          <w:lang w:val="es-ES_tradnl" w:eastAsia="zh-CN"/>
        </w:rPr>
        <w:tab/>
      </w:r>
      <m:oMath>
        <m:r>
          <w:rPr>
            <w:rFonts w:ascii="Cambria Math" w:hAnsi="Cambria Math"/>
            <w:lang w:val="es-ES_tradnl" w:eastAsia="zh-CN"/>
          </w:rPr>
          <m:t>MER</m:t>
        </m:r>
        <m:r>
          <m:rPr>
            <m:sty m:val="p"/>
          </m:rPr>
          <w:rPr>
            <w:rFonts w:ascii="Cambria Math" w:hAnsi="Cambria Math"/>
            <w:lang w:val="es-ES_tradnl" w:eastAsia="zh-CN"/>
          </w:rPr>
          <m:t xml:space="preserve">=10 </m:t>
        </m:r>
        <m:func>
          <m:funcPr>
            <m:ctrlPr>
              <w:rPr>
                <w:rFonts w:ascii="Cambria Math" w:hAnsi="Cambria Math"/>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s-ES_tradnl" w:eastAsia="zh-CN"/>
                  </w:rPr>
                  <m:t>log</m:t>
                </m:r>
              </m:e>
              <m:sub>
                <m:r>
                  <m:rPr>
                    <m:sty m:val="p"/>
                  </m:rPr>
                  <w:rPr>
                    <w:rFonts w:ascii="Cambria Math" w:hAnsi="Cambria Math"/>
                    <w:lang w:val="es-ES_tradnl" w:eastAsia="zh-CN"/>
                  </w:rPr>
                  <m:t>10</m:t>
                </m:r>
              </m:sub>
            </m:sSub>
          </m:fName>
          <m:e>
            <m:d>
              <m:dPr>
                <m:begChr m:val="{"/>
                <m:endChr m:val="}"/>
                <m:ctrlPr>
                  <w:rPr>
                    <w:rFonts w:ascii="Cambria Math" w:hAnsi="Cambria Math"/>
                    <w:lang w:val="es-ES_tradnl" w:eastAsia="zh-CN"/>
                  </w:rPr>
                </m:ctrlPr>
              </m:dPr>
              <m:e>
                <m:f>
                  <m:fPr>
                    <m:ctrlPr>
                      <w:rPr>
                        <w:rFonts w:ascii="Cambria Math" w:hAnsi="Cambria Math"/>
                        <w:lang w:val="es-ES_tradnl" w:eastAsia="zh-CN"/>
                      </w:rPr>
                    </m:ctrlPr>
                  </m:fPr>
                  <m:num>
                    <m:nary>
                      <m:naryPr>
                        <m:chr m:val="∑"/>
                        <m:limLoc m:val="undOvr"/>
                        <m:ctrlPr>
                          <w:rPr>
                            <w:rFonts w:ascii="Cambria Math" w:hAnsi="Cambria Math"/>
                            <w:lang w:val="es-ES_tradnl" w:eastAsia="zh-CN"/>
                          </w:rPr>
                        </m:ctrlPr>
                      </m:naryPr>
                      <m:sub>
                        <m:r>
                          <w:rPr>
                            <w:rFonts w:ascii="Cambria Math" w:hAnsi="Cambria Math"/>
                            <w:lang w:val="es-ES_tradnl" w:eastAsia="zh-CN"/>
                          </w:rPr>
                          <m:t>j</m:t>
                        </m:r>
                        <m:r>
                          <m:rPr>
                            <m:sty m:val="p"/>
                          </m:rPr>
                          <w:rPr>
                            <w:rFonts w:ascii="Cambria Math" w:hAnsi="Cambria Math"/>
                            <w:lang w:val="es-ES_tradnl" w:eastAsia="zh-CN"/>
                          </w:rPr>
                          <m:t>=1</m:t>
                        </m:r>
                      </m:sub>
                      <m:sup>
                        <m:r>
                          <w:rPr>
                            <w:rFonts w:ascii="Cambria Math" w:hAnsi="Cambria Math"/>
                            <w:lang w:val="es-ES_tradnl" w:eastAsia="zh-CN"/>
                          </w:rPr>
                          <m:t>N</m:t>
                        </m:r>
                      </m:sup>
                      <m:e>
                        <m:d>
                          <m:dPr>
                            <m:ctrlPr>
                              <w:rPr>
                                <w:rFonts w:ascii="Cambria Math" w:hAnsi="Cambria Math"/>
                                <w:lang w:val="es-ES_tradnl" w:eastAsia="zh-CN"/>
                              </w:rPr>
                            </m:ctrlPr>
                          </m:dPr>
                          <m:e>
                            <m:sSubSup>
                              <m:sSubSupPr>
                                <m:ctrlPr>
                                  <w:rPr>
                                    <w:rFonts w:ascii="Cambria Math" w:hAnsi="Cambria Math"/>
                                    <w:lang w:val="es-ES_tradnl" w:eastAsia="zh-CN"/>
                                  </w:rPr>
                                </m:ctrlPr>
                              </m:sSubSupPr>
                              <m:e>
                                <m:r>
                                  <w:rPr>
                                    <w:rFonts w:ascii="Cambria Math" w:hAnsi="Cambria Math"/>
                                    <w:lang w:val="es-ES_tradnl" w:eastAsia="zh-CN"/>
                                  </w:rPr>
                                  <m:t>I</m:t>
                                </m:r>
                              </m:e>
                              <m:sub>
                                <m:r>
                                  <w:rPr>
                                    <w:rFonts w:ascii="Cambria Math" w:hAnsi="Cambria Math"/>
                                    <w:lang w:val="es-ES_tradnl" w:eastAsia="zh-CN"/>
                                  </w:rPr>
                                  <m:t>j</m:t>
                                </m:r>
                              </m:sub>
                              <m:sup>
                                <m:r>
                                  <m:rPr>
                                    <m:sty m:val="p"/>
                                  </m:rPr>
                                  <w:rPr>
                                    <w:rFonts w:ascii="Cambria Math" w:hAnsi="Cambria Math"/>
                                    <w:lang w:val="es-ES_tradnl" w:eastAsia="zh-CN"/>
                                  </w:rPr>
                                  <m:t>2</m:t>
                                </m:r>
                              </m:sup>
                            </m:sSubSup>
                            <m:r>
                              <m:rPr>
                                <m:sty m:val="p"/>
                              </m:rPr>
                              <w:rPr>
                                <w:rFonts w:ascii="Cambria Math" w:hAnsi="Cambria Math"/>
                                <w:lang w:val="es-ES_tradnl" w:eastAsia="zh-CN"/>
                              </w:rPr>
                              <m:t>+</m:t>
                            </m:r>
                            <m:sSubSup>
                              <m:sSubSupPr>
                                <m:ctrlPr>
                                  <w:rPr>
                                    <w:rFonts w:ascii="Cambria Math" w:hAnsi="Cambria Math"/>
                                    <w:lang w:val="es-ES_tradnl" w:eastAsia="zh-CN"/>
                                  </w:rPr>
                                </m:ctrlPr>
                              </m:sSubSupPr>
                              <m:e>
                                <m:r>
                                  <w:rPr>
                                    <w:rFonts w:ascii="Cambria Math" w:hAnsi="Cambria Math"/>
                                    <w:lang w:val="es-ES_tradnl" w:eastAsia="zh-CN"/>
                                  </w:rPr>
                                  <m:t>Q</m:t>
                                </m:r>
                              </m:e>
                              <m:sub>
                                <m:r>
                                  <w:rPr>
                                    <w:rFonts w:ascii="Cambria Math" w:hAnsi="Cambria Math"/>
                                    <w:lang w:val="es-ES_tradnl" w:eastAsia="zh-CN"/>
                                  </w:rPr>
                                  <m:t>j</m:t>
                                </m:r>
                              </m:sub>
                              <m:sup>
                                <m:r>
                                  <m:rPr>
                                    <m:sty m:val="p"/>
                                  </m:rPr>
                                  <w:rPr>
                                    <w:rFonts w:ascii="Cambria Math" w:hAnsi="Cambria Math"/>
                                    <w:lang w:val="es-ES_tradnl" w:eastAsia="zh-CN"/>
                                  </w:rPr>
                                  <m:t>2</m:t>
                                </m:r>
                              </m:sup>
                            </m:sSubSup>
                          </m:e>
                        </m:d>
                      </m:e>
                    </m:nary>
                  </m:num>
                  <m:den>
                    <m:nary>
                      <m:naryPr>
                        <m:chr m:val="∑"/>
                        <m:limLoc m:val="undOvr"/>
                        <m:ctrlPr>
                          <w:rPr>
                            <w:rFonts w:ascii="Cambria Math" w:hAnsi="Cambria Math"/>
                            <w:lang w:val="es-ES_tradnl" w:eastAsia="zh-CN"/>
                          </w:rPr>
                        </m:ctrlPr>
                      </m:naryPr>
                      <m:sub>
                        <m:r>
                          <w:rPr>
                            <w:rFonts w:ascii="Cambria Math" w:hAnsi="Cambria Math"/>
                            <w:lang w:val="es-ES_tradnl" w:eastAsia="zh-CN"/>
                          </w:rPr>
                          <m:t>j</m:t>
                        </m:r>
                        <m:r>
                          <m:rPr>
                            <m:sty m:val="p"/>
                          </m:rPr>
                          <w:rPr>
                            <w:rFonts w:ascii="Cambria Math" w:hAnsi="Cambria Math"/>
                            <w:lang w:val="es-ES_tradnl" w:eastAsia="zh-CN"/>
                          </w:rPr>
                          <m:t>=1</m:t>
                        </m:r>
                      </m:sub>
                      <m:sup>
                        <m:r>
                          <w:rPr>
                            <w:rFonts w:ascii="Cambria Math" w:hAnsi="Cambria Math"/>
                            <w:lang w:val="es-ES_tradnl" w:eastAsia="zh-CN"/>
                          </w:rPr>
                          <m:t>N</m:t>
                        </m:r>
                      </m:sup>
                      <m:e>
                        <m:d>
                          <m:dPr>
                            <m:ctrlPr>
                              <w:rPr>
                                <w:rFonts w:ascii="Cambria Math" w:hAnsi="Cambria Math"/>
                                <w:lang w:val="es-ES_tradnl" w:eastAsia="zh-CN"/>
                              </w:rPr>
                            </m:ctrlPr>
                          </m:dPr>
                          <m:e>
                            <m:r>
                              <m:rPr>
                                <m:sty m:val="p"/>
                              </m:rPr>
                              <w:rPr>
                                <w:rFonts w:ascii="Cambria Math" w:hAnsi="Cambria Math"/>
                                <w:lang w:val="es-ES_tradnl" w:eastAsia="zh-CN"/>
                              </w:rPr>
                              <m:t>δ</m:t>
                            </m:r>
                            <m:sSubSup>
                              <m:sSubSupPr>
                                <m:ctrlPr>
                                  <w:rPr>
                                    <w:rFonts w:ascii="Cambria Math" w:hAnsi="Cambria Math"/>
                                    <w:lang w:val="es-ES_tradnl" w:eastAsia="zh-CN"/>
                                  </w:rPr>
                                </m:ctrlPr>
                              </m:sSubSupPr>
                              <m:e>
                                <m:r>
                                  <w:rPr>
                                    <w:rFonts w:ascii="Cambria Math" w:hAnsi="Cambria Math"/>
                                    <w:lang w:val="es-ES_tradnl" w:eastAsia="zh-CN"/>
                                  </w:rPr>
                                  <m:t>I</m:t>
                                </m:r>
                              </m:e>
                              <m:sub>
                                <m:r>
                                  <w:rPr>
                                    <w:rFonts w:ascii="Cambria Math" w:hAnsi="Cambria Math"/>
                                    <w:lang w:val="es-ES_tradnl" w:eastAsia="zh-CN"/>
                                  </w:rPr>
                                  <m:t>j</m:t>
                                </m:r>
                              </m:sub>
                              <m:sup>
                                <m:r>
                                  <m:rPr>
                                    <m:sty m:val="p"/>
                                  </m:rPr>
                                  <w:rPr>
                                    <w:rFonts w:ascii="Cambria Math" w:hAnsi="Cambria Math"/>
                                    <w:lang w:val="es-ES_tradnl" w:eastAsia="zh-CN"/>
                                  </w:rPr>
                                  <m:t>2</m:t>
                                </m:r>
                              </m:sup>
                            </m:sSubSup>
                            <m:r>
                              <m:rPr>
                                <m:sty m:val="p"/>
                              </m:rPr>
                              <w:rPr>
                                <w:rFonts w:ascii="Cambria Math" w:hAnsi="Cambria Math"/>
                                <w:lang w:val="es-ES_tradnl" w:eastAsia="zh-CN"/>
                              </w:rPr>
                              <m:t>+δ</m:t>
                            </m:r>
                            <m:sSubSup>
                              <m:sSubSupPr>
                                <m:ctrlPr>
                                  <w:rPr>
                                    <w:rFonts w:ascii="Cambria Math" w:hAnsi="Cambria Math"/>
                                    <w:lang w:val="es-ES_tradnl" w:eastAsia="zh-CN"/>
                                  </w:rPr>
                                </m:ctrlPr>
                              </m:sSubSupPr>
                              <m:e>
                                <m:r>
                                  <w:rPr>
                                    <w:rFonts w:ascii="Cambria Math" w:hAnsi="Cambria Math"/>
                                    <w:lang w:val="es-ES_tradnl" w:eastAsia="zh-CN"/>
                                  </w:rPr>
                                  <m:t>Q</m:t>
                                </m:r>
                              </m:e>
                              <m:sub>
                                <m:r>
                                  <w:rPr>
                                    <w:rFonts w:ascii="Cambria Math" w:hAnsi="Cambria Math"/>
                                    <w:lang w:val="es-ES_tradnl" w:eastAsia="zh-CN"/>
                                  </w:rPr>
                                  <m:t>j</m:t>
                                </m:r>
                              </m:sub>
                              <m:sup>
                                <m:r>
                                  <m:rPr>
                                    <m:sty m:val="p"/>
                                  </m:rPr>
                                  <w:rPr>
                                    <w:rFonts w:ascii="Cambria Math" w:hAnsi="Cambria Math"/>
                                    <w:lang w:val="es-ES_tradnl" w:eastAsia="zh-CN"/>
                                  </w:rPr>
                                  <m:t>2</m:t>
                                </m:r>
                              </m:sup>
                            </m:sSubSup>
                          </m:e>
                        </m:d>
                      </m:e>
                    </m:nary>
                  </m:den>
                </m:f>
              </m:e>
            </m:d>
          </m:e>
        </m:func>
        <m:r>
          <m:rPr>
            <m:sty m:val="p"/>
          </m:rPr>
          <w:rPr>
            <w:rFonts w:ascii="Cambria Math" w:hAnsi="Cambria Math"/>
            <w:lang w:val="es-ES_tradnl" w:eastAsia="zh-CN"/>
          </w:rPr>
          <m:t xml:space="preserve">      (dB)</m:t>
        </m:r>
      </m:oMath>
    </w:p>
    <w:p w:rsidR="00E00246" w:rsidRPr="00067EBA" w:rsidRDefault="00E00246" w:rsidP="00E00246">
      <w:pPr>
        <w:pStyle w:val="Blanc"/>
        <w:rPr>
          <w:lang w:val="es-ES_tradnl" w:eastAsia="zh-CN"/>
        </w:rPr>
      </w:pPr>
    </w:p>
    <w:p w:rsidR="00E00246" w:rsidRPr="00067EBA" w:rsidRDefault="00E00246" w:rsidP="00E00246">
      <w:pPr>
        <w:rPr>
          <w:szCs w:val="24"/>
          <w:lang w:val="es-ES_tradnl" w:eastAsia="zh-CN"/>
        </w:rPr>
      </w:pPr>
      <w:r w:rsidRPr="00067EBA">
        <w:rPr>
          <w:szCs w:val="24"/>
          <w:lang w:val="es-ES_tradnl" w:eastAsia="zh-CN"/>
        </w:rPr>
        <w:t xml:space="preserve">donde </w:t>
      </w:r>
      <w:r w:rsidRPr="00067EBA">
        <w:rPr>
          <w:i/>
          <w:szCs w:val="24"/>
          <w:lang w:val="es-ES_tradnl" w:eastAsia="zh-CN"/>
        </w:rPr>
        <w:t>N</w:t>
      </w:r>
      <w:r w:rsidRPr="00067EBA">
        <w:rPr>
          <w:szCs w:val="24"/>
          <w:lang w:val="es-ES_tradnl" w:eastAsia="zh-CN"/>
        </w:rPr>
        <w:t xml:space="preserve"> es el número total de pares coordinados de símbolos recibidos (</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+δ</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 xml:space="preserve">, </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+δ</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 xml:space="preserve">) y </w:t>
      </w:r>
      <w:r w:rsidRPr="00067EBA">
        <w:rPr>
          <w:i/>
          <w:szCs w:val="24"/>
          <w:lang w:val="es-ES_tradnl" w:eastAsia="zh-CN"/>
        </w:rPr>
        <w:t>N</w:t>
      </w:r>
      <w:r w:rsidRPr="00067EBA">
        <w:rPr>
          <w:szCs w:val="24"/>
          <w:lang w:val="es-ES_tradnl" w:eastAsia="zh-CN"/>
        </w:rPr>
        <w:t xml:space="preserve"> es significativamente mayor que el número de puntos de la constelación de modulación, </w:t>
      </w:r>
      <w:r w:rsidRPr="00067EBA">
        <w:rPr>
          <w:i/>
          <w:iCs/>
          <w:szCs w:val="24"/>
          <w:lang w:val="es-ES_tradnl" w:eastAsia="zh-CN"/>
        </w:rPr>
        <w:t>M</w:t>
      </w:r>
      <w:r w:rsidRPr="00067EBA">
        <w:rPr>
          <w:szCs w:val="24"/>
          <w:lang w:val="es-ES_tradnl" w:eastAsia="zh-CN"/>
        </w:rPr>
        <w:t>.</w:t>
      </w:r>
    </w:p>
    <w:p w:rsidR="00E00246" w:rsidRPr="00067EBA" w:rsidRDefault="00E00246" w:rsidP="00E00246">
      <w:pPr>
        <w:rPr>
          <w:szCs w:val="24"/>
          <w:lang w:val="es-ES_tradnl" w:eastAsia="zh-CN"/>
        </w:rPr>
      </w:pPr>
      <w:r w:rsidRPr="00067EBA">
        <w:rPr>
          <w:szCs w:val="24"/>
          <w:lang w:val="es-ES_tradnl" w:eastAsia="zh-CN"/>
        </w:rPr>
        <w:lastRenderedPageBreak/>
        <w:t>El par de símbolos coordinados ideal es (</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 xml:space="preserve">, </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 xml:space="preserve">). Para cada símbolo recibido, el vector de error se define como la distancia desde la posición ideal en la constelación hasta la posición real del símbolo recibido. La diferencia se expresa mediante el vector </w:t>
      </w:r>
      <w:r w:rsidRPr="00067EBA">
        <w:rPr>
          <w:i/>
          <w:iCs/>
          <w:szCs w:val="24"/>
          <w:lang w:val="es-ES_tradnl" w:eastAsia="zh-CN"/>
        </w:rPr>
        <w:t>d</w:t>
      </w:r>
      <w:r w:rsidRPr="00067EBA">
        <w:rPr>
          <w:i/>
          <w:iCs/>
          <w:szCs w:val="24"/>
          <w:vertAlign w:val="subscript"/>
          <w:lang w:val="es-ES_tradnl" w:eastAsia="zh-CN"/>
        </w:rPr>
        <w:t>j</w:t>
      </w:r>
      <w:r w:rsidRPr="00067EBA">
        <w:rPr>
          <w:lang w:val="es-ES_tradnl"/>
        </w:rPr>
        <w:t xml:space="preserve"> </w:t>
      </w:r>
      <w:r w:rsidRPr="00067EBA">
        <w:rPr>
          <w:szCs w:val="24"/>
          <w:lang w:val="es-ES_tradnl" w:eastAsia="zh-CN"/>
        </w:rPr>
        <w:t>= (δ</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 δ</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w:t>
      </w:r>
    </w:p>
    <w:p w:rsidR="00E00246" w:rsidRPr="00067EBA" w:rsidRDefault="00E00246" w:rsidP="00E00246">
      <w:pPr>
        <w:rPr>
          <w:szCs w:val="24"/>
          <w:lang w:val="es-ES_tradnl" w:eastAsia="zh-CN"/>
        </w:rPr>
      </w:pPr>
      <w:r w:rsidRPr="00067EBA">
        <w:rPr>
          <w:szCs w:val="24"/>
          <w:lang w:val="es-ES_tradnl" w:eastAsia="zh-CN"/>
        </w:rPr>
        <w:t>En la Figura 1 se muestra un diagrama de constelación para un formato de modulación de MAQ-64 (</w:t>
      </w:r>
      <w:r w:rsidRPr="00067EBA">
        <w:rPr>
          <w:i/>
          <w:iCs/>
          <w:szCs w:val="24"/>
          <w:lang w:val="es-ES_tradnl" w:eastAsia="zh-CN"/>
        </w:rPr>
        <w:t>M</w:t>
      </w:r>
      <w:r w:rsidRPr="00067EBA">
        <w:rPr>
          <w:szCs w:val="24"/>
          <w:lang w:val="es-ES_tradnl" w:eastAsia="zh-CN"/>
        </w:rPr>
        <w:t xml:space="preserve"> = 64). Cada uno de los símbolos recibidos en el punto </w:t>
      </w:r>
      <w:r w:rsidRPr="00067EBA">
        <w:rPr>
          <w:i/>
          <w:iCs/>
          <w:szCs w:val="24"/>
          <w:lang w:val="es-ES_tradnl" w:eastAsia="zh-CN"/>
        </w:rPr>
        <w:t>i</w:t>
      </w:r>
      <w:r w:rsidRPr="00067EBA">
        <w:rPr>
          <w:i/>
          <w:iCs/>
          <w:szCs w:val="24"/>
          <w:vertAlign w:val="superscript"/>
          <w:lang w:val="es-ES_tradnl" w:eastAsia="zh-CN"/>
        </w:rPr>
        <w:t>t</w:t>
      </w:r>
      <w:r w:rsidRPr="00067EBA">
        <w:rPr>
          <w:szCs w:val="24"/>
          <w:vertAlign w:val="superscript"/>
          <w:lang w:val="es-ES_tradnl" w:eastAsia="zh-CN"/>
        </w:rPr>
        <w:t>h</w:t>
      </w:r>
      <w:r w:rsidRPr="00067EBA">
        <w:rPr>
          <w:szCs w:val="24"/>
          <w:lang w:val="es-ES_tradnl" w:eastAsia="zh-CN"/>
        </w:rPr>
        <w:t xml:space="preserve"> se desvió de la posición ideal (</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 xml:space="preserve">, </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 por una distancia (δ</w:t>
      </w:r>
      <w:r w:rsidRPr="00067EBA">
        <w:rPr>
          <w:i/>
          <w:iCs/>
          <w:szCs w:val="24"/>
          <w:lang w:val="es-ES_tradnl" w:eastAsia="zh-CN"/>
        </w:rPr>
        <w:t>I</w:t>
      </w:r>
      <w:r w:rsidRPr="00067EBA">
        <w:rPr>
          <w:i/>
          <w:iCs/>
          <w:szCs w:val="24"/>
          <w:vertAlign w:val="subscript"/>
          <w:lang w:val="es-ES_tradnl" w:eastAsia="zh-CN"/>
        </w:rPr>
        <w:t>j</w:t>
      </w:r>
      <w:r w:rsidRPr="00067EBA">
        <w:rPr>
          <w:szCs w:val="24"/>
          <w:lang w:val="es-ES_tradnl" w:eastAsia="zh-CN"/>
        </w:rPr>
        <w:t>, δ</w:t>
      </w:r>
      <w:r w:rsidRPr="00067EBA">
        <w:rPr>
          <w:i/>
          <w:iCs/>
          <w:szCs w:val="24"/>
          <w:lang w:val="es-ES_tradnl" w:eastAsia="zh-CN"/>
        </w:rPr>
        <w:t>Q</w:t>
      </w:r>
      <w:r w:rsidRPr="00067EBA">
        <w:rPr>
          <w:i/>
          <w:iCs/>
          <w:szCs w:val="24"/>
          <w:vertAlign w:val="subscript"/>
          <w:lang w:val="es-ES_tradnl" w:eastAsia="zh-CN"/>
        </w:rPr>
        <w:t>j</w:t>
      </w:r>
      <w:r w:rsidRPr="00067EBA">
        <w:rPr>
          <w:szCs w:val="24"/>
          <w:lang w:val="es-ES_tradnl" w:eastAsia="zh-CN"/>
        </w:rPr>
        <w:t>).</w:t>
      </w:r>
    </w:p>
    <w:p w:rsidR="00E00246" w:rsidRPr="00067EBA" w:rsidRDefault="00E00246" w:rsidP="00E00246">
      <w:pPr>
        <w:pStyle w:val="FigureNo"/>
        <w:rPr>
          <w:lang w:val="es-ES_tradnl" w:eastAsia="zh-CN"/>
        </w:rPr>
      </w:pPr>
      <w:r w:rsidRPr="00067EBA">
        <w:rPr>
          <w:lang w:val="es-ES_tradnl" w:eastAsia="zh-CN"/>
        </w:rPr>
        <w:t>FigurA 1</w:t>
      </w:r>
    </w:p>
    <w:p w:rsidR="00E00246" w:rsidRPr="00067EBA" w:rsidRDefault="00E00246" w:rsidP="00E00246">
      <w:pPr>
        <w:pStyle w:val="Figuretitle"/>
        <w:rPr>
          <w:lang w:val="es-ES_tradnl" w:eastAsia="zh-CN"/>
        </w:rPr>
      </w:pPr>
      <w:r w:rsidRPr="00067EBA">
        <w:rPr>
          <w:lang w:val="es-ES_tradnl" w:eastAsia="zh-CN"/>
        </w:rPr>
        <w:t xml:space="preserve">Ejemplo de una diagrama de constelación para un formato de modulación de MAQ-64 donde </w:t>
      </w:r>
      <w:r w:rsidRPr="00067EBA">
        <w:rPr>
          <w:lang w:val="es-ES_tradnl" w:eastAsia="zh-CN"/>
        </w:rPr>
        <w:br/>
        <w:t xml:space="preserve">el punto </w:t>
      </w:r>
      <w:r w:rsidRPr="00067EBA">
        <w:rPr>
          <w:i/>
          <w:iCs/>
          <w:lang w:val="es-ES_tradnl" w:eastAsia="zh-CN"/>
        </w:rPr>
        <w:t>i</w:t>
      </w:r>
      <w:r w:rsidRPr="00067EBA">
        <w:rPr>
          <w:vertAlign w:val="superscript"/>
          <w:lang w:val="es-ES_tradnl" w:eastAsia="zh-CN"/>
        </w:rPr>
        <w:t>th</w:t>
      </w:r>
      <w:r w:rsidRPr="00067EBA">
        <w:rPr>
          <w:lang w:val="es-ES_tradnl" w:eastAsia="zh-CN"/>
        </w:rPr>
        <w:t xml:space="preserve"> se ha ampliado para mostrar las coordenadas del vector de error de símbolo</w:t>
      </w:r>
    </w:p>
    <w:p w:rsidR="00E00246" w:rsidRPr="00067EBA" w:rsidRDefault="0015754B" w:rsidP="00E00246">
      <w:pPr>
        <w:pStyle w:val="Figure"/>
        <w:rPr>
          <w:lang w:val="es-ES_tradnl" w:eastAsia="zh-CN"/>
        </w:rPr>
      </w:pPr>
      <w:r w:rsidRPr="00067EBA">
        <w:rPr>
          <w:lang w:val="es-ES_tradnl"/>
        </w:rPr>
        <w:object w:dxaOrig="6282"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248.55pt" o:ole="">
            <v:imagedata r:id="rId14" o:title="" cropbottom="-1524f" cropright="-2227f"/>
          </v:shape>
          <o:OLEObject Type="Embed" ProgID="CorelDraw.Graphic.16" ShapeID="_x0000_i1025" DrawAspect="Content" ObjectID="_1587383926" r:id="rId15"/>
        </w:object>
      </w:r>
    </w:p>
    <w:p w:rsidR="00E00246" w:rsidRPr="00067EBA" w:rsidRDefault="00E00246" w:rsidP="00E00246">
      <w:pPr>
        <w:rPr>
          <w:lang w:val="es-ES_tradnl" w:eastAsia="zh-CN"/>
        </w:rPr>
      </w:pPr>
      <w:r w:rsidRPr="00067EBA">
        <w:rPr>
          <w:lang w:val="es-ES_tradnl" w:eastAsia="zh-CN"/>
        </w:rPr>
        <w:t>La definición de la MER no supone la utilización de un ecualizador, sin embargo, el receptor de medición puede incluir un ecualizador de calidad comercial para ofrecer resultados más representativos cuando la señal en el punto de medición tiene degradaciones lineales.</w:t>
      </w:r>
    </w:p>
    <w:p w:rsidR="00E00246" w:rsidRPr="00067EBA" w:rsidRDefault="00E00246" w:rsidP="00E00246">
      <w:pPr>
        <w:rPr>
          <w:lang w:val="es-ES_tradnl" w:eastAsia="zh-CN"/>
        </w:rPr>
      </w:pPr>
      <w:r w:rsidRPr="00067EBA">
        <w:rPr>
          <w:lang w:val="es-ES_tradnl" w:eastAsia="zh-CN"/>
        </w:rPr>
        <w:t>Cuando se cite una cifra de MER, debe declararse si se ha utilizado un ecualizador.</w:t>
      </w:r>
    </w:p>
    <w:p w:rsidR="00E00246" w:rsidRPr="00067EBA" w:rsidRDefault="00E00246" w:rsidP="00E00246">
      <w:pPr>
        <w:pStyle w:val="Heading1"/>
        <w:rPr>
          <w:bCs/>
          <w:lang w:val="es-ES_tradnl"/>
        </w:rPr>
      </w:pPr>
      <w:r w:rsidRPr="00067EBA">
        <w:rPr>
          <w:lang w:val="es-ES_tradnl"/>
        </w:rPr>
        <w:t>3</w:t>
      </w:r>
      <w:r w:rsidRPr="00067EBA">
        <w:rPr>
          <w:lang w:val="es-ES_tradnl"/>
        </w:rPr>
        <w:tab/>
        <w:t>Escala de calidad objetiva del Sistema B</w:t>
      </w:r>
      <w:bookmarkEnd w:id="8"/>
    </w:p>
    <w:p w:rsidR="00E00246" w:rsidRPr="00067EBA" w:rsidRDefault="00E00246" w:rsidP="00E00246">
      <w:pPr>
        <w:rPr>
          <w:lang w:val="es-ES_tradnl"/>
        </w:rPr>
      </w:pPr>
      <w:r w:rsidRPr="00067EBA">
        <w:rPr>
          <w:lang w:val="es-ES_tradnl"/>
        </w:rPr>
        <w:t xml:space="preserve">Es bien sabido que la intensidad de campo medida en los emplazamientos de recepción varía según la ubicación y la altura de la antena receptora. La variabilidad, para un valor fijo de la densidad de flujo de potencia (dfp), depende de la combinación de amplitud y fase de los diversos trayectos que llegan a la antena receptora. La variabilidad es más acentuada para las señales de onda continua (CW) que para las señales de banda ancha. Los trayectos de reflexión pueden afectar positiva o negativamente. Las contribuciones negativas están relacionadas con la interferencia entre símbolos que aparece cuando el retardo de uno o más trayectos es superior al intervalo de guarda. Las contribuciones positivas aparecen cuando el retardo del trayecto es inferior al intervalo de guarda. La presencia de diversos trayectos dentro del tramo del intervalo de guarda puede dar lugar a contribuciones aditivas o sustractivas dependiendo de la aplicación de decodificación por decisión programable de Viterbi, la existencia de ventanas de búsqueda fijas o en movimiento y la fase de los trayectos. La relación lineal no intrínseca existente entre la decodificación de Viterbi, los niveles de protección y la dispersión temporal y espacial da como resultado una baja correlación entre la </w:t>
      </w:r>
      <w:r w:rsidRPr="00067EBA">
        <w:rPr>
          <w:lang w:val="es-ES_tradnl"/>
        </w:rPr>
        <w:lastRenderedPageBreak/>
        <w:t>intensidad de campo y la BER, como indica el análisis de miles de datos extraídos del examen sobre el terreno que figura en el Informe UIT-R BT.2252.</w:t>
      </w:r>
      <w:bookmarkEnd w:id="7"/>
    </w:p>
    <w:p w:rsidR="00E00246" w:rsidRPr="00067EBA" w:rsidRDefault="00E00246" w:rsidP="00E00246">
      <w:pPr>
        <w:rPr>
          <w:lang w:val="es-ES_tradnl"/>
        </w:rPr>
      </w:pPr>
      <w:r w:rsidRPr="00067EBA">
        <w:rPr>
          <w:lang w:val="es-ES_tradnl"/>
        </w:rPr>
        <w:t xml:space="preserve">El sistema de evaluación de la calidad de una señal analógica se basa tanto en la intensidad de campo como en una escala de evaluación subjetiva de cinco notas de calidad (Q). La Nota Q5 corresponde a «excelente» y la Nota Q1 corresponde a «muy deficiente». El umbral de aceptación se fija en la Nota Q3. En un entorno digital, la situación es muy distinta, ya que es importante tener en cuenta la diferencia entre los métodos de evaluación de la calidad de la compresión de señales de video y la evaluación de la calidad de la cobertura de radiodifusión. Para evaluar los métodos de compresión, como el MPEG, se mantiene la escala de evaluación de cinco notas. Para la evaluación objetiva de la calidad de recepción de radiodifusión parece más difícil poder utilizar un método basado en una escala de cinco notas, dada la rápida transición de una condición de servicio a una condición de no servicio. No obstante, es posible seguir utilizando la escala de cinco notas, si a cada una de ellas se le atribuye la distancia que los separa del punto de transición. Para realizar un análisis más exhaustivo de la zona de transición, se puede utilizar una escala de tres notas. La evaluación de la distancia desde el punto de transición es muy importante, pues el equipo de medición suele ubicarse antes del sistema de recepción del usuario final, generalmente compuesto por una antena, un sistema de distribución o un adaptador multimedios. </w:t>
      </w:r>
      <w:r w:rsidRPr="00067EBA">
        <w:rPr>
          <w:i/>
          <w:lang w:val="es-ES_tradnl"/>
        </w:rPr>
        <w:t>No debe confundirse</w:t>
      </w:r>
      <w:r w:rsidRPr="00067EBA">
        <w:rPr>
          <w:lang w:val="es-ES_tradnl"/>
        </w:rPr>
        <w:t xml:space="preserve"> la interpretación de la evaluación objetiva de la calidad de la recepción digital con la interpretación de la evaluación de la calidad analógica.</w:t>
      </w:r>
    </w:p>
    <w:p w:rsidR="00E00246" w:rsidRPr="00067EBA" w:rsidRDefault="00E00246" w:rsidP="00E00246">
      <w:pPr>
        <w:rPr>
          <w:lang w:val="es-ES_tradnl"/>
        </w:rPr>
      </w:pPr>
      <w:r w:rsidRPr="00067EBA">
        <w:rPr>
          <w:lang w:val="es-ES_tradnl"/>
        </w:rPr>
        <w:t>Por tanto, en la presente Recomendación se definen las notas aplicables a la calidad de recepción en términos de margen de fallo de la señal recibida, a saber:</w:t>
      </w:r>
    </w:p>
    <w:p w:rsidR="00E00246" w:rsidRPr="00067EBA" w:rsidRDefault="00E00246" w:rsidP="00E00246">
      <w:pPr>
        <w:rPr>
          <w:szCs w:val="24"/>
          <w:lang w:val="es-ES_tradnl"/>
        </w:rPr>
      </w:pPr>
      <w:r w:rsidRPr="00067EBA">
        <w:rPr>
          <w:szCs w:val="24"/>
          <w:lang w:val="es-ES_tradnl"/>
        </w:rPr>
        <w:t>Nota Q1 – El nivel de la señal es inferior al mínimo objetivo de planificación.</w:t>
      </w:r>
    </w:p>
    <w:p w:rsidR="00E00246" w:rsidRPr="00067EBA" w:rsidRDefault="00E00246" w:rsidP="00E00246">
      <w:pPr>
        <w:rPr>
          <w:szCs w:val="24"/>
          <w:lang w:val="es-ES_tradnl"/>
        </w:rPr>
      </w:pPr>
      <w:r w:rsidRPr="00067EBA">
        <w:rPr>
          <w:szCs w:val="24"/>
          <w:lang w:val="es-ES_tradnl"/>
        </w:rPr>
        <w:t>Nota Q2 – El nivel de la señal es inferior al mínimo objetivo de planificación o el margen de error es demasiado bajo (es posible recibir la señal pero es muy probable que se produzca un fallo).</w:t>
      </w:r>
    </w:p>
    <w:p w:rsidR="00E00246" w:rsidRPr="00067EBA" w:rsidRDefault="00E00246" w:rsidP="00E00246">
      <w:pPr>
        <w:rPr>
          <w:szCs w:val="24"/>
          <w:lang w:val="es-ES_tradnl"/>
        </w:rPr>
      </w:pPr>
      <w:r w:rsidRPr="00067EBA">
        <w:rPr>
          <w:szCs w:val="24"/>
          <w:lang w:val="es-ES_tradnl"/>
        </w:rPr>
        <w:t>Nota Q3 – El nivel de la señal y el margen de error son ligeramente superiores a los mínimos objetivos de planificación.</w:t>
      </w:r>
    </w:p>
    <w:p w:rsidR="00E00246" w:rsidRPr="00067EBA" w:rsidRDefault="00E00246" w:rsidP="00E00246">
      <w:pPr>
        <w:rPr>
          <w:szCs w:val="24"/>
          <w:lang w:val="es-ES_tradnl"/>
        </w:rPr>
      </w:pPr>
      <w:r w:rsidRPr="00067EBA">
        <w:rPr>
          <w:szCs w:val="24"/>
          <w:lang w:val="es-ES_tradnl"/>
        </w:rPr>
        <w:t>Nota Q4 – El nivel de la señal y el margen de error son superiores a los mínimos objetivos de planificación.</w:t>
      </w:r>
    </w:p>
    <w:p w:rsidR="00E00246" w:rsidRPr="00067EBA" w:rsidRDefault="00E00246" w:rsidP="00E00246">
      <w:pPr>
        <w:rPr>
          <w:szCs w:val="24"/>
          <w:lang w:val="es-ES_tradnl"/>
        </w:rPr>
      </w:pPr>
      <w:r w:rsidRPr="00067EBA">
        <w:rPr>
          <w:szCs w:val="24"/>
          <w:lang w:val="es-ES_tradnl"/>
        </w:rPr>
        <w:t>Nota Q5 – No se detecta razonablemente ningún defecto cuantificable.</w:t>
      </w:r>
    </w:p>
    <w:p w:rsidR="00E00246" w:rsidRPr="00067EBA" w:rsidRDefault="00E00246" w:rsidP="00E00246">
      <w:pPr>
        <w:pStyle w:val="Heading2"/>
        <w:rPr>
          <w:lang w:val="es-ES_tradnl"/>
        </w:rPr>
      </w:pPr>
      <w:r w:rsidRPr="00067EBA">
        <w:rPr>
          <w:lang w:val="es-ES_tradnl"/>
        </w:rPr>
        <w:t>3.1</w:t>
      </w:r>
      <w:r w:rsidRPr="00067EBA">
        <w:rPr>
          <w:lang w:val="es-ES_tradnl"/>
        </w:rPr>
        <w:tab/>
        <w:t>Red multifrecuencia (MFN)</w:t>
      </w:r>
    </w:p>
    <w:p w:rsidR="00E00246" w:rsidRPr="00067EBA" w:rsidRDefault="00E00246" w:rsidP="00E00246">
      <w:pPr>
        <w:rPr>
          <w:lang w:val="es-ES_tradnl"/>
        </w:rPr>
      </w:pPr>
      <w:r w:rsidRPr="00067EBA">
        <w:rPr>
          <w:lang w:val="es-ES_tradnl"/>
        </w:rPr>
        <w:t>En el caso de la recepción fija de MFN, debe utilizarse el Cuadro 1.</w:t>
      </w:r>
    </w:p>
    <w:p w:rsidR="00E00246" w:rsidRPr="00067EBA" w:rsidRDefault="00E00246" w:rsidP="00E00246">
      <w:pPr>
        <w:rPr>
          <w:lang w:val="es-ES_tradnl"/>
        </w:rPr>
      </w:pPr>
    </w:p>
    <w:p w:rsidR="00E00246" w:rsidRPr="00067EBA" w:rsidRDefault="00E00246" w:rsidP="00E00246">
      <w:pPr>
        <w:pStyle w:val="TableNo"/>
        <w:rPr>
          <w:lang w:val="es-ES_tradnl"/>
        </w:rPr>
      </w:pPr>
      <w:r w:rsidRPr="00067EBA">
        <w:rPr>
          <w:lang w:val="es-ES_tradnl"/>
        </w:rPr>
        <w:t>CUADRO 1</w:t>
      </w:r>
      <w:r w:rsidRPr="00067EBA">
        <w:rPr>
          <w:rStyle w:val="FootnoteReference"/>
          <w:lang w:val="es-ES_tradnl"/>
        </w:rPr>
        <w:footnoteReference w:id="3"/>
      </w:r>
    </w:p>
    <w:p w:rsidR="00E00246" w:rsidRPr="00067EBA" w:rsidRDefault="00E00246" w:rsidP="00E00246">
      <w:pPr>
        <w:pStyle w:val="Tabletitle"/>
        <w:rPr>
          <w:lang w:val="es-ES_tradnl"/>
        </w:rPr>
      </w:pPr>
      <w:r w:rsidRPr="00067EBA">
        <w:rPr>
          <w:lang w:val="es-ES_tradnl"/>
        </w:rPr>
        <w:t>Escala de calidad de la señal de MFN de la RTDT</w:t>
      </w:r>
    </w:p>
    <w:tbl>
      <w:tblPr>
        <w:tblW w:w="96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757"/>
        <w:gridCol w:w="1531"/>
        <w:gridCol w:w="1587"/>
        <w:gridCol w:w="1474"/>
      </w:tblGrid>
      <w:tr w:rsidR="00E00246" w:rsidRPr="00E00246" w:rsidTr="0015754B">
        <w:trPr>
          <w:jc w:val="center"/>
        </w:trPr>
        <w:tc>
          <w:tcPr>
            <w:tcW w:w="1843" w:type="dxa"/>
            <w:tcBorders>
              <w:bottom w:val="single" w:sz="4" w:space="0" w:color="auto"/>
              <w:tl2br w:val="single" w:sz="8" w:space="0" w:color="auto"/>
            </w:tcBorders>
          </w:tcPr>
          <w:p w:rsidR="00E00246" w:rsidRPr="00067EBA" w:rsidRDefault="00E00246" w:rsidP="000002C9">
            <w:pPr>
              <w:pStyle w:val="Tablehead"/>
              <w:jc w:val="right"/>
              <w:rPr>
                <w:lang w:val="es-ES_tradnl"/>
              </w:rPr>
            </w:pPr>
            <w:r w:rsidRPr="00067EBA">
              <w:rPr>
                <w:lang w:val="es-ES_tradnl"/>
              </w:rPr>
              <w:t>BER</w:t>
            </w:r>
          </w:p>
          <w:p w:rsidR="00E00246" w:rsidRPr="00067EBA" w:rsidRDefault="00E00246" w:rsidP="000002C9">
            <w:pPr>
              <w:pStyle w:val="Tablehead"/>
              <w:spacing w:before="120"/>
              <w:jc w:val="left"/>
              <w:rPr>
                <w:lang w:val="es-ES_tradnl"/>
              </w:rPr>
            </w:pPr>
          </w:p>
          <w:p w:rsidR="00E00246" w:rsidRPr="00067EBA" w:rsidRDefault="00E00246" w:rsidP="000002C9">
            <w:pPr>
              <w:pStyle w:val="Tablehead"/>
              <w:jc w:val="left"/>
              <w:rPr>
                <w:lang w:val="es-ES_tradnl"/>
              </w:rPr>
            </w:pPr>
            <w:r w:rsidRPr="00067EBA">
              <w:rPr>
                <w:lang w:val="es-ES_tradnl"/>
              </w:rPr>
              <w:t>Intensidad</w:t>
            </w:r>
            <w:r w:rsidRPr="00067EBA">
              <w:rPr>
                <w:lang w:val="es-ES_tradnl"/>
              </w:rPr>
              <w:br/>
              <w:t>de campo</w:t>
            </w:r>
          </w:p>
        </w:tc>
        <w:tc>
          <w:tcPr>
            <w:tcW w:w="1418"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vBER &gt; SFP</w:t>
            </w:r>
          </w:p>
        </w:tc>
        <w:tc>
          <w:tcPr>
            <w:tcW w:w="1757"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QEF &lt; vBER</w:t>
            </w:r>
            <w:r w:rsidRPr="00067EBA">
              <w:rPr>
                <w:lang w:val="es-ES_tradnl"/>
              </w:rPr>
              <w:br/>
            </w:r>
            <w:r w:rsidRPr="00067EBA">
              <w:rPr>
                <w:lang w:val="es-ES_tradnl"/>
              </w:rPr>
              <w:sym w:font="Symbol" w:char="F0A3"/>
            </w:r>
            <w:r w:rsidRPr="00067EBA">
              <w:rPr>
                <w:lang w:val="es-ES_tradnl"/>
              </w:rPr>
              <w:t xml:space="preserve"> SFP</w:t>
            </w:r>
          </w:p>
        </w:tc>
        <w:tc>
          <w:tcPr>
            <w:tcW w:w="1531"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 xml:space="preserve">vBER </w:t>
            </w:r>
            <w:r w:rsidRPr="00067EBA">
              <w:rPr>
                <w:lang w:val="es-ES_tradnl"/>
              </w:rPr>
              <w:sym w:font="Symbol" w:char="F0A3"/>
            </w:r>
            <w:r w:rsidRPr="00067EBA">
              <w:rPr>
                <w:lang w:val="es-ES_tradnl"/>
              </w:rPr>
              <w:t xml:space="preserve"> QEF</w:t>
            </w:r>
            <w:r w:rsidRPr="00067EBA">
              <w:rPr>
                <w:lang w:val="es-ES_tradnl"/>
              </w:rPr>
              <w:br/>
              <w:t xml:space="preserve">y relación </w:t>
            </w:r>
            <w:r w:rsidRPr="00067EBA">
              <w:rPr>
                <w:lang w:val="es-ES_tradnl"/>
              </w:rPr>
              <w:br/>
              <w:t xml:space="preserve">cBER </w:t>
            </w:r>
            <w:r w:rsidRPr="00067EBA">
              <w:rPr>
                <w:lang w:val="es-ES_tradnl"/>
              </w:rPr>
              <w:sym w:font="Symbol" w:char="F0A3"/>
            </w:r>
            <w:r w:rsidRPr="00067EBA">
              <w:rPr>
                <w:lang w:val="es-ES_tradnl"/>
              </w:rPr>
              <w:t xml:space="preserve"> 10</w:t>
            </w:r>
          </w:p>
        </w:tc>
        <w:tc>
          <w:tcPr>
            <w:tcW w:w="1587" w:type="dxa"/>
            <w:tcBorders>
              <w:bottom w:val="single" w:sz="4" w:space="0" w:color="auto"/>
            </w:tcBorders>
            <w:vAlign w:val="center"/>
          </w:tcPr>
          <w:p w:rsidR="00E00246" w:rsidRPr="00067EBA" w:rsidRDefault="00E00246" w:rsidP="0015754B">
            <w:pPr>
              <w:pStyle w:val="Tablehead"/>
              <w:rPr>
                <w:lang w:val="es-ES_tradnl"/>
              </w:rPr>
            </w:pPr>
            <w:r w:rsidRPr="00067EBA">
              <w:rPr>
                <w:lang w:val="es-ES_tradnl"/>
              </w:rPr>
              <w:t xml:space="preserve">vBER </w:t>
            </w:r>
            <w:r w:rsidRPr="00067EBA">
              <w:rPr>
                <w:lang w:val="es-ES_tradnl"/>
              </w:rPr>
              <w:sym w:font="Symbol" w:char="F0A3"/>
            </w:r>
            <w:r w:rsidRPr="00067EBA">
              <w:rPr>
                <w:lang w:val="es-ES_tradnl"/>
              </w:rPr>
              <w:t xml:space="preserve"> QEF</w:t>
            </w:r>
            <w:r w:rsidRPr="00067EBA">
              <w:rPr>
                <w:lang w:val="es-ES_tradnl"/>
              </w:rPr>
              <w:br/>
              <w:t xml:space="preserve">y relación cBER </w:t>
            </w:r>
            <w:r w:rsidR="0015754B">
              <w:rPr>
                <w:lang w:val="es-ES_tradnl"/>
              </w:rPr>
              <w:br/>
            </w:r>
            <w:r w:rsidRPr="00067EBA">
              <w:rPr>
                <w:lang w:val="es-ES_tradnl"/>
              </w:rPr>
              <w:t>entre10 y 100</w:t>
            </w:r>
          </w:p>
        </w:tc>
        <w:tc>
          <w:tcPr>
            <w:tcW w:w="1474"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 xml:space="preserve">vBER </w:t>
            </w:r>
            <w:r w:rsidRPr="00067EBA">
              <w:rPr>
                <w:lang w:val="es-ES_tradnl"/>
              </w:rPr>
              <w:sym w:font="Symbol" w:char="F0A3"/>
            </w:r>
            <w:r w:rsidRPr="00067EBA">
              <w:rPr>
                <w:lang w:val="es-ES_tradnl"/>
              </w:rPr>
              <w:t xml:space="preserve"> QEF</w:t>
            </w:r>
            <w:r w:rsidRPr="00067EBA">
              <w:rPr>
                <w:lang w:val="es-ES_tradnl"/>
              </w:rPr>
              <w:br/>
              <w:t>y relación cBER &gt; 100</w:t>
            </w:r>
          </w:p>
        </w:tc>
      </w:tr>
      <w:tr w:rsidR="00E00246" w:rsidRPr="00067EBA" w:rsidDel="00676754" w:rsidTr="0015754B">
        <w:trPr>
          <w:trHeight w:val="20"/>
          <w:jc w:val="center"/>
        </w:trPr>
        <w:tc>
          <w:tcPr>
            <w:tcW w:w="1843" w:type="dxa"/>
            <w:tcBorders>
              <w:top w:val="single" w:sz="4" w:space="0" w:color="auto"/>
              <w:bottom w:val="single" w:sz="4" w:space="0" w:color="auto"/>
            </w:tcBorders>
            <w:vAlign w:val="center"/>
          </w:tcPr>
          <w:p w:rsidR="00E00246" w:rsidRPr="00067EBA" w:rsidRDefault="00E00246" w:rsidP="000002C9">
            <w:pPr>
              <w:pStyle w:val="Tabletext"/>
              <w:jc w:val="center"/>
              <w:rPr>
                <w:lang w:val="es-ES_tradnl"/>
              </w:rPr>
            </w:pPr>
            <w:r w:rsidRPr="00067EBA">
              <w:rPr>
                <w:lang w:val="es-ES_tradnl"/>
              </w:rPr>
              <w:t xml:space="preserve">E </w:t>
            </w:r>
            <w:r w:rsidRPr="00067EBA">
              <w:rPr>
                <w:lang w:val="es-ES_tradnl"/>
              </w:rPr>
              <w:sym w:font="Symbol" w:char="F03C"/>
            </w:r>
            <w:r w:rsidRPr="00067EBA">
              <w:rPr>
                <w:lang w:val="es-ES_tradnl"/>
              </w:rPr>
              <w:t xml:space="preserve"> E</w:t>
            </w:r>
            <w:r w:rsidRPr="00067EBA">
              <w:rPr>
                <w:vertAlign w:val="subscript"/>
                <w:lang w:val="es-ES_tradnl"/>
              </w:rPr>
              <w:t>xx</w:t>
            </w:r>
            <w:r w:rsidRPr="00067EBA">
              <w:rPr>
                <w:rStyle w:val="FootnoteReference"/>
                <w:lang w:val="es-ES_tradnl"/>
              </w:rPr>
              <w:footnoteReference w:id="4"/>
            </w:r>
          </w:p>
        </w:tc>
        <w:tc>
          <w:tcPr>
            <w:tcW w:w="1418" w:type="dxa"/>
            <w:tcBorders>
              <w:top w:val="single" w:sz="4" w:space="0" w:color="auto"/>
              <w:bottom w:val="single" w:sz="4" w:space="0" w:color="auto"/>
            </w:tcBorders>
            <w:shd w:val="clear" w:color="auto" w:fill="EEAEDD"/>
            <w:vAlign w:val="center"/>
          </w:tcPr>
          <w:p w:rsidR="00E00246" w:rsidRPr="00067EBA" w:rsidRDefault="00E00246" w:rsidP="000002C9">
            <w:pPr>
              <w:pStyle w:val="Tabletext"/>
              <w:jc w:val="center"/>
              <w:rPr>
                <w:highlight w:val="cyan"/>
                <w:lang w:val="es-ES_tradnl"/>
              </w:rPr>
            </w:pPr>
            <w:r w:rsidRPr="00067EBA">
              <w:rPr>
                <w:lang w:val="es-ES_tradnl"/>
              </w:rPr>
              <w:t>Q1</w:t>
            </w:r>
          </w:p>
        </w:tc>
        <w:tc>
          <w:tcPr>
            <w:tcW w:w="1757"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531"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587"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474"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highlight w:val="cyan"/>
                <w:lang w:val="es-ES_tradnl"/>
              </w:rPr>
            </w:pPr>
            <w:r w:rsidRPr="00067EBA">
              <w:rPr>
                <w:lang w:val="es-ES_tradnl"/>
              </w:rPr>
              <w:t>Q2</w:t>
            </w:r>
          </w:p>
        </w:tc>
      </w:tr>
      <w:tr w:rsidR="00E00246" w:rsidRPr="00067EBA" w:rsidDel="00676754" w:rsidTr="0015754B">
        <w:trPr>
          <w:trHeight w:val="20"/>
          <w:jc w:val="center"/>
        </w:trPr>
        <w:tc>
          <w:tcPr>
            <w:tcW w:w="1843" w:type="dxa"/>
            <w:tcBorders>
              <w:top w:val="single" w:sz="4" w:space="0" w:color="auto"/>
            </w:tcBorders>
            <w:vAlign w:val="center"/>
          </w:tcPr>
          <w:p w:rsidR="00E00246" w:rsidRPr="00067EBA" w:rsidRDefault="00E00246" w:rsidP="000002C9">
            <w:pPr>
              <w:pStyle w:val="Tabletext"/>
              <w:jc w:val="center"/>
              <w:rPr>
                <w:lang w:val="es-ES_tradnl"/>
              </w:rPr>
            </w:pPr>
            <w:r w:rsidRPr="00067EBA">
              <w:rPr>
                <w:lang w:val="es-ES_tradnl"/>
              </w:rPr>
              <w:t xml:space="preserve">E </w:t>
            </w:r>
            <w:r w:rsidRPr="00067EBA">
              <w:rPr>
                <w:lang w:val="es-ES_tradnl"/>
              </w:rPr>
              <w:sym w:font="Symbol" w:char="F0B3"/>
            </w:r>
            <w:r w:rsidRPr="00067EBA">
              <w:rPr>
                <w:lang w:val="es-ES_tradnl"/>
              </w:rPr>
              <w:t xml:space="preserve"> E</w:t>
            </w:r>
            <w:r w:rsidRPr="00067EBA">
              <w:rPr>
                <w:vertAlign w:val="subscript"/>
                <w:lang w:val="es-ES_tradnl"/>
              </w:rPr>
              <w:t>xx</w:t>
            </w:r>
          </w:p>
        </w:tc>
        <w:tc>
          <w:tcPr>
            <w:tcW w:w="1418" w:type="dxa"/>
            <w:tcBorders>
              <w:top w:val="single" w:sz="4" w:space="0" w:color="auto"/>
            </w:tcBorders>
            <w:shd w:val="clear" w:color="auto" w:fill="EEAEDD"/>
            <w:vAlign w:val="center"/>
          </w:tcPr>
          <w:p w:rsidR="00E00246" w:rsidRPr="00067EBA" w:rsidRDefault="00E00246" w:rsidP="000002C9">
            <w:pPr>
              <w:pStyle w:val="Tabletext"/>
              <w:jc w:val="center"/>
              <w:rPr>
                <w:lang w:val="es-ES_tradnl"/>
              </w:rPr>
            </w:pPr>
            <w:r w:rsidRPr="00067EBA">
              <w:rPr>
                <w:lang w:val="es-ES_tradnl"/>
              </w:rPr>
              <w:t>Q1</w:t>
            </w:r>
          </w:p>
        </w:tc>
        <w:tc>
          <w:tcPr>
            <w:tcW w:w="1757" w:type="dxa"/>
            <w:tcBorders>
              <w:top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531" w:type="dxa"/>
            <w:tcBorders>
              <w:top w:val="single" w:sz="4" w:space="0" w:color="auto"/>
            </w:tcBorders>
            <w:shd w:val="clear" w:color="auto" w:fill="C2D69B"/>
            <w:vAlign w:val="center"/>
          </w:tcPr>
          <w:p w:rsidR="00E00246" w:rsidRPr="00067EBA" w:rsidRDefault="00E00246" w:rsidP="000002C9">
            <w:pPr>
              <w:pStyle w:val="Tabletext"/>
              <w:jc w:val="center"/>
              <w:rPr>
                <w:lang w:val="es-ES_tradnl"/>
              </w:rPr>
            </w:pPr>
            <w:r w:rsidRPr="00067EBA">
              <w:rPr>
                <w:lang w:val="es-ES_tradnl"/>
              </w:rPr>
              <w:t>Q3</w:t>
            </w:r>
          </w:p>
        </w:tc>
        <w:tc>
          <w:tcPr>
            <w:tcW w:w="1587" w:type="dxa"/>
            <w:tcBorders>
              <w:top w:val="single" w:sz="4" w:space="0" w:color="auto"/>
            </w:tcBorders>
            <w:shd w:val="clear" w:color="auto" w:fill="92D050"/>
            <w:vAlign w:val="center"/>
          </w:tcPr>
          <w:p w:rsidR="00E00246" w:rsidRPr="00067EBA" w:rsidRDefault="00E00246" w:rsidP="000002C9">
            <w:pPr>
              <w:pStyle w:val="Tabletext"/>
              <w:jc w:val="center"/>
              <w:rPr>
                <w:lang w:val="es-ES_tradnl"/>
              </w:rPr>
            </w:pPr>
            <w:r w:rsidRPr="00067EBA">
              <w:rPr>
                <w:lang w:val="es-ES_tradnl"/>
              </w:rPr>
              <w:t>Q4</w:t>
            </w:r>
          </w:p>
        </w:tc>
        <w:tc>
          <w:tcPr>
            <w:tcW w:w="1474" w:type="dxa"/>
            <w:tcBorders>
              <w:top w:val="single" w:sz="4" w:space="0" w:color="auto"/>
            </w:tcBorders>
            <w:shd w:val="clear" w:color="auto" w:fill="00B050"/>
            <w:vAlign w:val="center"/>
          </w:tcPr>
          <w:p w:rsidR="00E00246" w:rsidRPr="00067EBA" w:rsidRDefault="00E00246" w:rsidP="000002C9">
            <w:pPr>
              <w:pStyle w:val="Tabletext"/>
              <w:jc w:val="center"/>
              <w:rPr>
                <w:b/>
                <w:lang w:val="es-ES_tradnl"/>
              </w:rPr>
            </w:pPr>
            <w:r w:rsidRPr="00067EBA">
              <w:rPr>
                <w:lang w:val="es-ES_tradnl"/>
              </w:rPr>
              <w:t>Q5</w:t>
            </w:r>
          </w:p>
        </w:tc>
      </w:tr>
    </w:tbl>
    <w:p w:rsidR="00E00246" w:rsidRPr="00067EBA" w:rsidRDefault="00E00246" w:rsidP="00E00246">
      <w:pPr>
        <w:pStyle w:val="Tablefin"/>
        <w:rPr>
          <w:lang w:val="es-ES_tradnl"/>
        </w:rPr>
      </w:pPr>
    </w:p>
    <w:p w:rsidR="00E00246" w:rsidRPr="00067EBA" w:rsidRDefault="00E00246" w:rsidP="00E00246">
      <w:pPr>
        <w:rPr>
          <w:lang w:val="es-ES_tradnl"/>
        </w:rPr>
      </w:pPr>
      <w:r w:rsidRPr="00067EBA">
        <w:rPr>
          <w:lang w:val="es-ES_tradnl"/>
        </w:rPr>
        <w:t>Aquellas Administraciones o Miembros de Sector que prefieran utilizar un sistema simplificado para la escala de calidad de la señal, pueden sustituir las Notas Q5, Q4 y Q3 por una sola cifra como se indica en el Cuadro 2.</w:t>
      </w:r>
    </w:p>
    <w:p w:rsidR="00E00246" w:rsidRPr="00067EBA" w:rsidRDefault="00E00246" w:rsidP="00E00246">
      <w:pPr>
        <w:pStyle w:val="TableNo"/>
        <w:rPr>
          <w:lang w:val="es-ES_tradnl"/>
        </w:rPr>
      </w:pPr>
      <w:r w:rsidRPr="00067EBA">
        <w:rPr>
          <w:lang w:val="es-ES_tradnl"/>
        </w:rPr>
        <w:t>CUADRO 2</w:t>
      </w:r>
    </w:p>
    <w:p w:rsidR="00E00246" w:rsidRPr="00067EBA" w:rsidRDefault="00E00246" w:rsidP="00E00246">
      <w:pPr>
        <w:pStyle w:val="Tabletitle"/>
        <w:rPr>
          <w:lang w:val="es-ES_tradnl"/>
        </w:rPr>
      </w:pPr>
      <w:r w:rsidRPr="00067EBA">
        <w:rPr>
          <w:lang w:val="es-ES_tradnl"/>
        </w:rPr>
        <w:t>Escala simplificada de calidad de la señal de MFN de la RTDT</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74"/>
        <w:gridCol w:w="2112"/>
        <w:gridCol w:w="2641"/>
        <w:gridCol w:w="2112"/>
      </w:tblGrid>
      <w:tr w:rsidR="00E00246" w:rsidRPr="00067EBA" w:rsidTr="0015754B">
        <w:trPr>
          <w:jc w:val="center"/>
        </w:trPr>
        <w:tc>
          <w:tcPr>
            <w:tcW w:w="2381" w:type="dxa"/>
            <w:tcBorders>
              <w:tl2br w:val="single" w:sz="8" w:space="0" w:color="auto"/>
            </w:tcBorders>
            <w:shd w:val="clear" w:color="auto" w:fill="auto"/>
          </w:tcPr>
          <w:p w:rsidR="00E00246" w:rsidRPr="00067EBA" w:rsidRDefault="00E00246" w:rsidP="0015754B">
            <w:pPr>
              <w:pStyle w:val="Tablehead"/>
              <w:spacing w:before="240"/>
              <w:jc w:val="right"/>
              <w:rPr>
                <w:lang w:val="es-ES_tradnl"/>
              </w:rPr>
            </w:pPr>
            <w:r w:rsidRPr="00067EBA">
              <w:rPr>
                <w:lang w:val="es-ES_tradnl"/>
              </w:rPr>
              <w:t>BER</w:t>
            </w:r>
          </w:p>
          <w:p w:rsidR="00E00246" w:rsidRPr="00067EBA" w:rsidRDefault="00E00246" w:rsidP="000002C9">
            <w:pPr>
              <w:pStyle w:val="Tablehead"/>
              <w:jc w:val="left"/>
              <w:rPr>
                <w:lang w:val="es-ES_tradnl"/>
              </w:rPr>
            </w:pPr>
            <w:r w:rsidRPr="00067EBA">
              <w:rPr>
                <w:lang w:val="es-ES_tradnl"/>
              </w:rPr>
              <w:t>Intensidad</w:t>
            </w:r>
            <w:r w:rsidRPr="00067EBA">
              <w:rPr>
                <w:lang w:val="es-ES_tradnl"/>
              </w:rPr>
              <w:br/>
              <w:t>de campo</w:t>
            </w:r>
          </w:p>
        </w:tc>
        <w:tc>
          <w:tcPr>
            <w:tcW w:w="1814" w:type="dxa"/>
            <w:shd w:val="clear" w:color="auto" w:fill="auto"/>
            <w:vAlign w:val="center"/>
          </w:tcPr>
          <w:p w:rsidR="00E00246" w:rsidRPr="00067EBA" w:rsidRDefault="00E00246" w:rsidP="000002C9">
            <w:pPr>
              <w:pStyle w:val="Tablehead"/>
              <w:rPr>
                <w:lang w:val="es-ES_tradnl"/>
              </w:rPr>
            </w:pPr>
            <w:r w:rsidRPr="00067EBA">
              <w:rPr>
                <w:lang w:val="es-ES_tradnl"/>
              </w:rPr>
              <w:t>vBER &gt; SFP</w:t>
            </w:r>
          </w:p>
        </w:tc>
        <w:tc>
          <w:tcPr>
            <w:tcW w:w="2268" w:type="dxa"/>
            <w:shd w:val="clear" w:color="auto" w:fill="auto"/>
            <w:vAlign w:val="center"/>
          </w:tcPr>
          <w:p w:rsidR="00E00246" w:rsidRPr="00067EBA" w:rsidRDefault="00E00246" w:rsidP="000002C9">
            <w:pPr>
              <w:pStyle w:val="Tablehead"/>
              <w:rPr>
                <w:lang w:val="es-ES_tradnl"/>
              </w:rPr>
            </w:pPr>
            <w:r w:rsidRPr="00067EBA">
              <w:rPr>
                <w:lang w:val="es-ES_tradnl"/>
              </w:rPr>
              <w:t xml:space="preserve">QEF </w:t>
            </w:r>
            <w:r w:rsidRPr="00067EBA">
              <w:rPr>
                <w:lang w:val="es-ES_tradnl"/>
              </w:rPr>
              <w:sym w:font="Symbol" w:char="F03C"/>
            </w:r>
            <w:r w:rsidRPr="00067EBA">
              <w:rPr>
                <w:lang w:val="es-ES_tradnl"/>
              </w:rPr>
              <w:t xml:space="preserve"> vBER </w:t>
            </w:r>
            <w:r w:rsidRPr="00067EBA">
              <w:rPr>
                <w:rFonts w:ascii="Arial" w:hAnsi="Arial" w:cs="Arial"/>
                <w:lang w:val="es-ES_tradnl"/>
              </w:rPr>
              <w:sym w:font="Symbol" w:char="F0A3"/>
            </w:r>
            <w:r w:rsidRPr="00067EBA">
              <w:rPr>
                <w:rFonts w:ascii="Arial" w:hAnsi="Arial" w:cs="Arial"/>
                <w:lang w:val="es-ES_tradnl"/>
              </w:rPr>
              <w:t> </w:t>
            </w:r>
            <w:r w:rsidRPr="00067EBA">
              <w:rPr>
                <w:lang w:val="es-ES_tradnl"/>
              </w:rPr>
              <w:t>SFP</w:t>
            </w:r>
          </w:p>
        </w:tc>
        <w:tc>
          <w:tcPr>
            <w:tcW w:w="1814" w:type="dxa"/>
            <w:shd w:val="clear" w:color="auto" w:fill="auto"/>
            <w:vAlign w:val="center"/>
          </w:tcPr>
          <w:p w:rsidR="00E00246" w:rsidRPr="00067EBA" w:rsidRDefault="00E00246" w:rsidP="000002C9">
            <w:pPr>
              <w:pStyle w:val="Tablehead"/>
              <w:rPr>
                <w:lang w:val="es-ES_tradnl"/>
              </w:rPr>
            </w:pPr>
            <w:r w:rsidRPr="00067EBA">
              <w:rPr>
                <w:lang w:val="es-ES_tradnl"/>
              </w:rPr>
              <w:t xml:space="preserve">vBER </w:t>
            </w:r>
            <w:r w:rsidRPr="00067EBA">
              <w:rPr>
                <w:lang w:val="es-ES_tradnl"/>
              </w:rPr>
              <w:sym w:font="Symbol" w:char="F0A3"/>
            </w:r>
            <w:r w:rsidRPr="00067EBA">
              <w:rPr>
                <w:lang w:val="es-ES_tradnl"/>
              </w:rPr>
              <w:t xml:space="preserve"> QEF</w:t>
            </w:r>
          </w:p>
        </w:tc>
      </w:tr>
      <w:tr w:rsidR="00E00246" w:rsidRPr="00067EBA" w:rsidTr="0015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2381" w:type="dxa"/>
            <w:shd w:val="clear" w:color="auto" w:fill="auto"/>
          </w:tcPr>
          <w:p w:rsidR="00E00246" w:rsidRPr="00067EBA" w:rsidRDefault="00E00246" w:rsidP="000002C9">
            <w:pPr>
              <w:pStyle w:val="Tabletext"/>
              <w:keepNext/>
              <w:keepLines/>
              <w:jc w:val="center"/>
              <w:rPr>
                <w:lang w:val="es-ES_tradnl"/>
              </w:rPr>
            </w:pPr>
            <w:r w:rsidRPr="00067EBA">
              <w:rPr>
                <w:lang w:val="es-ES_tradnl"/>
              </w:rPr>
              <w:t>E &lt; E</w:t>
            </w:r>
            <w:r w:rsidRPr="00067EBA">
              <w:rPr>
                <w:vertAlign w:val="subscript"/>
                <w:lang w:val="es-ES_tradnl"/>
              </w:rPr>
              <w:t>xx</w:t>
            </w:r>
          </w:p>
        </w:tc>
        <w:tc>
          <w:tcPr>
            <w:tcW w:w="1814" w:type="dxa"/>
            <w:shd w:val="clear" w:color="auto" w:fill="EEAEDD"/>
          </w:tcPr>
          <w:p w:rsidR="00E00246" w:rsidRPr="00067EBA" w:rsidRDefault="00E00246" w:rsidP="000002C9">
            <w:pPr>
              <w:pStyle w:val="Tabletext"/>
              <w:keepNext/>
              <w:keepLines/>
              <w:jc w:val="center"/>
              <w:rPr>
                <w:lang w:val="es-ES_tradnl"/>
              </w:rPr>
            </w:pPr>
            <w:r w:rsidRPr="00067EBA">
              <w:rPr>
                <w:lang w:val="es-ES_tradnl"/>
              </w:rPr>
              <w:t>Q1</w:t>
            </w:r>
          </w:p>
        </w:tc>
        <w:tc>
          <w:tcPr>
            <w:tcW w:w="2268" w:type="dxa"/>
            <w:shd w:val="clear" w:color="auto" w:fill="FABF8F"/>
          </w:tcPr>
          <w:p w:rsidR="00E00246" w:rsidRPr="00067EBA" w:rsidRDefault="00E00246" w:rsidP="000002C9">
            <w:pPr>
              <w:pStyle w:val="Tabletext"/>
              <w:keepNext/>
              <w:keepLines/>
              <w:jc w:val="center"/>
              <w:rPr>
                <w:lang w:val="es-ES_tradnl"/>
              </w:rPr>
            </w:pPr>
            <w:r w:rsidRPr="00067EBA">
              <w:rPr>
                <w:lang w:val="es-ES_tradnl"/>
              </w:rPr>
              <w:t>Q2</w:t>
            </w:r>
          </w:p>
        </w:tc>
        <w:tc>
          <w:tcPr>
            <w:tcW w:w="1814" w:type="dxa"/>
            <w:shd w:val="clear" w:color="auto" w:fill="FABF8F"/>
          </w:tcPr>
          <w:p w:rsidR="00E00246" w:rsidRPr="00067EBA" w:rsidRDefault="00E00246" w:rsidP="000002C9">
            <w:pPr>
              <w:pStyle w:val="Tabletext"/>
              <w:keepNext/>
              <w:keepLines/>
              <w:jc w:val="center"/>
              <w:rPr>
                <w:lang w:val="es-ES_tradnl"/>
              </w:rPr>
            </w:pPr>
            <w:r w:rsidRPr="00067EBA">
              <w:rPr>
                <w:lang w:val="es-ES_tradnl"/>
              </w:rPr>
              <w:t>Q2</w:t>
            </w:r>
          </w:p>
        </w:tc>
      </w:tr>
      <w:tr w:rsidR="00E00246" w:rsidRPr="00067EBA" w:rsidTr="00157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2381" w:type="dxa"/>
            <w:shd w:val="clear" w:color="auto" w:fill="auto"/>
          </w:tcPr>
          <w:p w:rsidR="00E00246" w:rsidRPr="00067EBA" w:rsidRDefault="00E00246" w:rsidP="000002C9">
            <w:pPr>
              <w:pStyle w:val="Tabletext"/>
              <w:jc w:val="center"/>
              <w:rPr>
                <w:lang w:val="es-ES_tradnl"/>
              </w:rPr>
            </w:pPr>
            <w:r w:rsidRPr="00067EBA">
              <w:rPr>
                <w:lang w:val="es-ES_tradnl"/>
              </w:rPr>
              <w:t xml:space="preserve">E </w:t>
            </w:r>
            <w:r w:rsidRPr="00067EBA">
              <w:rPr>
                <w:lang w:val="es-ES_tradnl"/>
              </w:rPr>
              <w:sym w:font="Symbol" w:char="F0B3"/>
            </w:r>
            <w:r w:rsidRPr="00067EBA">
              <w:rPr>
                <w:lang w:val="es-ES_tradnl"/>
              </w:rPr>
              <w:t xml:space="preserve"> E</w:t>
            </w:r>
            <w:r w:rsidRPr="00067EBA">
              <w:rPr>
                <w:vertAlign w:val="subscript"/>
                <w:lang w:val="es-ES_tradnl"/>
              </w:rPr>
              <w:t>xx</w:t>
            </w:r>
          </w:p>
        </w:tc>
        <w:tc>
          <w:tcPr>
            <w:tcW w:w="1814" w:type="dxa"/>
            <w:shd w:val="clear" w:color="auto" w:fill="EEAEDD"/>
          </w:tcPr>
          <w:p w:rsidR="00E00246" w:rsidRPr="00067EBA" w:rsidRDefault="00E00246" w:rsidP="000002C9">
            <w:pPr>
              <w:pStyle w:val="Tabletext"/>
              <w:jc w:val="center"/>
              <w:rPr>
                <w:lang w:val="es-ES_tradnl"/>
              </w:rPr>
            </w:pPr>
            <w:r w:rsidRPr="00067EBA">
              <w:rPr>
                <w:lang w:val="es-ES_tradnl"/>
              </w:rPr>
              <w:t>Q1</w:t>
            </w:r>
          </w:p>
        </w:tc>
        <w:tc>
          <w:tcPr>
            <w:tcW w:w="2268" w:type="dxa"/>
            <w:shd w:val="clear" w:color="auto" w:fill="FABF8F"/>
          </w:tcPr>
          <w:p w:rsidR="00E00246" w:rsidRPr="00067EBA" w:rsidRDefault="00E00246" w:rsidP="000002C9">
            <w:pPr>
              <w:pStyle w:val="Tabletext"/>
              <w:jc w:val="center"/>
              <w:rPr>
                <w:lang w:val="es-ES_tradnl"/>
              </w:rPr>
            </w:pPr>
            <w:r w:rsidRPr="00067EBA">
              <w:rPr>
                <w:lang w:val="es-ES_tradnl"/>
              </w:rPr>
              <w:t>Q2</w:t>
            </w:r>
          </w:p>
        </w:tc>
        <w:tc>
          <w:tcPr>
            <w:tcW w:w="1814" w:type="dxa"/>
            <w:shd w:val="clear" w:color="auto" w:fill="C2D69B"/>
          </w:tcPr>
          <w:p w:rsidR="00E00246" w:rsidRPr="00067EBA" w:rsidRDefault="00E00246" w:rsidP="000002C9">
            <w:pPr>
              <w:pStyle w:val="Tabletext"/>
              <w:jc w:val="center"/>
              <w:rPr>
                <w:lang w:val="es-ES_tradnl"/>
              </w:rPr>
            </w:pPr>
            <w:r w:rsidRPr="00067EBA">
              <w:rPr>
                <w:lang w:val="es-ES_tradnl"/>
              </w:rPr>
              <w:t>Q3</w:t>
            </w:r>
          </w:p>
        </w:tc>
      </w:tr>
    </w:tbl>
    <w:p w:rsidR="00E00246" w:rsidRPr="00067EBA" w:rsidRDefault="00E00246" w:rsidP="00E00246">
      <w:pPr>
        <w:pStyle w:val="Tablefin"/>
        <w:rPr>
          <w:lang w:val="es-ES_tradnl"/>
        </w:rPr>
      </w:pPr>
    </w:p>
    <w:p w:rsidR="00E00246" w:rsidRPr="00067EBA" w:rsidRDefault="00E00246" w:rsidP="00E00246">
      <w:pPr>
        <w:pStyle w:val="Heading2"/>
        <w:rPr>
          <w:lang w:val="es-ES_tradnl"/>
        </w:rPr>
      </w:pPr>
      <w:r w:rsidRPr="00067EBA">
        <w:rPr>
          <w:lang w:val="es-ES_tradnl"/>
        </w:rPr>
        <w:t>3.2</w:t>
      </w:r>
      <w:r w:rsidRPr="00067EBA">
        <w:rPr>
          <w:lang w:val="es-ES_tradnl"/>
        </w:rPr>
        <w:tab/>
        <w:t>Consideraciones relativas a la respuesta impulsiva del canal (CIR) para la SFN</w:t>
      </w:r>
    </w:p>
    <w:p w:rsidR="00E00246" w:rsidRPr="00067EBA" w:rsidRDefault="00E00246" w:rsidP="00E00246">
      <w:pPr>
        <w:rPr>
          <w:lang w:val="es-ES_tradnl"/>
        </w:rPr>
      </w:pPr>
      <w:r w:rsidRPr="00067EBA">
        <w:rPr>
          <w:lang w:val="es-ES_tradnl"/>
        </w:rPr>
        <w:t>Gracias a la experiencia adquirida a través de la aplicación constante de la Recomendación UIT</w:t>
      </w:r>
      <w:r w:rsidRPr="00067EBA">
        <w:rPr>
          <w:lang w:val="es-ES_tradnl"/>
        </w:rPr>
        <w:noBreakHyphen/>
        <w:t>R BT.1735 para la evaluación de la calidad de la cobertura de SFN a gran escala, se ha observado que, en presencia de determinadas combinaciones de señales de SFN, el nivel de intensidad de campo y los parámetros BER, utiliza</w:t>
      </w:r>
      <w:bookmarkStart w:id="9" w:name="_GoBack"/>
      <w:bookmarkEnd w:id="9"/>
      <w:r w:rsidRPr="00067EBA">
        <w:rPr>
          <w:lang w:val="es-ES_tradnl"/>
        </w:rPr>
        <w:t xml:space="preserve">dos como en el caso de la MFN, no pueden indicar las condiciones límites con un mínimo margen en lo que respecta a la posibilidad de perder el servicio. Tales situaciones son críticas no sólo en relación con las fluctuaciones de la señal de SFN recibida en el intervalo de guarda, sino también con respecto a las posibles señales recibidas fuera de dicho intervalo. </w:t>
      </w:r>
    </w:p>
    <w:p w:rsidR="00E00246" w:rsidRPr="00067EBA" w:rsidRDefault="00E00246" w:rsidP="00E00246">
      <w:pPr>
        <w:rPr>
          <w:lang w:val="es-ES_tradnl"/>
        </w:rPr>
      </w:pPr>
      <w:r w:rsidRPr="00067EBA">
        <w:rPr>
          <w:lang w:val="es-ES_tradnl"/>
        </w:rPr>
        <w:t xml:space="preserve">En este último caso, la estrategia de posición de ventanas podría cambiar en relación con la variabilidad de la intensidad de campo y, en consecuencia, para determinados porcentajes de tiempo, algunas contribuciones de SFN podrían caer dentro o fuera de la ventana de recepción o del intervalo de guarda. También puede suceder que el nivel de la intensidad de campo de las contribuciones de SFN que caigan fuera de dicho intervalo aumente su valor en ciertos porcentajes de tiempo y se acerque al nivel de protección disminuyendo así la posibilidad de obtener una recepción estable. Asimismo, podría ocurrir que una o más contribuciones de SFN caigan muy cerca del borde del intervalo de guarda y, en función del punto de medición, se sitúen dentro o fuera del intervalo en sí, </w:t>
      </w:r>
      <w:r w:rsidRPr="00067EBA">
        <w:rPr>
          <w:lang w:val="es-ES_tradnl"/>
        </w:rPr>
        <w:lastRenderedPageBreak/>
        <w:t>dando lugar a la variabilidad del emplazamiento en la recepción. Es preciso señalar que la distancia entre estos puntos puede ser en ocasiones muy pequeña.</w:t>
      </w:r>
    </w:p>
    <w:p w:rsidR="00E00246" w:rsidRPr="00067EBA" w:rsidRDefault="00E00246" w:rsidP="00E00246">
      <w:pPr>
        <w:rPr>
          <w:lang w:val="es-ES_tradnl"/>
        </w:rPr>
      </w:pPr>
      <w:bookmarkStart w:id="10" w:name="_Toc117308794"/>
      <w:r w:rsidRPr="00067EBA">
        <w:rPr>
          <w:lang w:val="es-ES_tradnl"/>
        </w:rPr>
        <w:t>Del mismo modo, es necesario considerar la reducción del nivel del margen de ruido de la señal recibida debido al aumento del ruido generado por las señales de SFN cuando se reciben con una relación de niveles muy baja (</w:t>
      </w:r>
      <w:r w:rsidRPr="00067EBA">
        <w:rPr>
          <w:lang w:val="es-ES_tradnl"/>
        </w:rPr>
        <w:sym w:font="Symbol" w:char="F03C"/>
      </w:r>
      <w:r w:rsidRPr="00067EBA">
        <w:rPr>
          <w:lang w:val="es-ES_tradnl"/>
        </w:rPr>
        <w:t>7 dB) y sus retardos se aproximan al máximo valor admitido, se acercan mucho a la señal principal o son síncronos con las posiciones de repetición de los pilotos.</w:t>
      </w:r>
    </w:p>
    <w:p w:rsidR="00E00246" w:rsidRPr="00067EBA" w:rsidRDefault="00E00246" w:rsidP="00E00246">
      <w:pPr>
        <w:rPr>
          <w:lang w:val="es-ES_tradnl"/>
        </w:rPr>
      </w:pPr>
      <w:r w:rsidRPr="00067EBA">
        <w:rPr>
          <w:lang w:val="es-ES_tradnl"/>
        </w:rPr>
        <w:t>De acuerdo con las consideraciones anteriores, se propone un nuevo modelo de evaluación de la calidad de recepción para la SFN a gran escala en el que se tienen en cuenta los siguientes elementos: la relación entre QEF, SFP, cBER y vBER en el canal gaussiano y la falta de capacidad de corrección de Viterbi.</w:t>
      </w:r>
    </w:p>
    <w:p w:rsidR="00E00246" w:rsidRPr="00067EBA" w:rsidRDefault="00E00246" w:rsidP="00E00246">
      <w:pPr>
        <w:rPr>
          <w:szCs w:val="24"/>
          <w:lang w:val="es-ES_tradnl"/>
        </w:rPr>
      </w:pPr>
      <w:r w:rsidRPr="00067EBA">
        <w:rPr>
          <w:szCs w:val="24"/>
          <w:lang w:val="es-ES_tradnl"/>
        </w:rPr>
        <w:t>Se deb</w:t>
      </w:r>
      <w:r w:rsidRPr="00067EBA">
        <w:rPr>
          <w:lang w:val="es-ES_tradnl"/>
        </w:rPr>
        <w:t>e</w:t>
      </w:r>
      <w:r w:rsidRPr="00067EBA">
        <w:rPr>
          <w:szCs w:val="24"/>
          <w:lang w:val="es-ES_tradnl"/>
        </w:rPr>
        <w:t xml:space="preserve"> utilizar el Cuadro 1 para la recepción fija de SFN cuando vBER </w:t>
      </w:r>
      <w:r w:rsidRPr="00067EBA">
        <w:rPr>
          <w:szCs w:val="24"/>
          <w:lang w:val="es-ES_tradnl"/>
        </w:rPr>
        <w:sym w:font="Symbol" w:char="F03C"/>
      </w:r>
      <w:r w:rsidRPr="00067EBA">
        <w:rPr>
          <w:szCs w:val="24"/>
          <w:lang w:val="es-ES_tradnl"/>
        </w:rPr>
        <w:t>5 × 10</w:t>
      </w:r>
      <w:r w:rsidRPr="00067EBA">
        <w:rPr>
          <w:vertAlign w:val="superscript"/>
          <w:lang w:val="es-ES_tradnl"/>
        </w:rPr>
        <w:t>–11</w:t>
      </w:r>
      <w:r w:rsidRPr="00067EBA">
        <w:rPr>
          <w:szCs w:val="24"/>
          <w:lang w:val="es-ES_tradnl"/>
        </w:rPr>
        <w:t xml:space="preserve">. De lo contrario, habrá de </w:t>
      </w:r>
      <w:r w:rsidRPr="00067EBA">
        <w:rPr>
          <w:lang w:val="es-ES_tradnl"/>
        </w:rPr>
        <w:t>emplearse</w:t>
      </w:r>
      <w:r w:rsidRPr="00067EBA">
        <w:rPr>
          <w:szCs w:val="24"/>
          <w:lang w:val="es-ES_tradnl"/>
        </w:rPr>
        <w:t xml:space="preserve"> el Cuadro 3.</w:t>
      </w:r>
    </w:p>
    <w:p w:rsidR="00E00246" w:rsidRPr="00067EBA" w:rsidRDefault="00E00246" w:rsidP="00E00246">
      <w:pPr>
        <w:pStyle w:val="TableNo"/>
        <w:rPr>
          <w:lang w:val="es-ES_tradnl"/>
        </w:rPr>
      </w:pPr>
      <w:r w:rsidRPr="00067EBA">
        <w:rPr>
          <w:lang w:val="es-ES_tradnl"/>
        </w:rPr>
        <w:t>CUADRO 3</w:t>
      </w:r>
    </w:p>
    <w:p w:rsidR="00E00246" w:rsidRPr="00067EBA" w:rsidRDefault="00E00246" w:rsidP="00E00246">
      <w:pPr>
        <w:pStyle w:val="Tabletitle"/>
        <w:rPr>
          <w:lang w:val="es-ES_tradnl"/>
        </w:rPr>
      </w:pPr>
      <w:r w:rsidRPr="00067EBA">
        <w:rPr>
          <w:lang w:val="es-ES_tradnl"/>
        </w:rPr>
        <w:t>Escala de calidad de la señal de SFN de la RTDT</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502"/>
        <w:gridCol w:w="1871"/>
        <w:gridCol w:w="1871"/>
        <w:gridCol w:w="1134"/>
      </w:tblGrid>
      <w:tr w:rsidR="00E00246" w:rsidRPr="00067EBA" w:rsidTr="0015754B">
        <w:trPr>
          <w:jc w:val="center"/>
        </w:trPr>
        <w:tc>
          <w:tcPr>
            <w:tcW w:w="1843" w:type="dxa"/>
            <w:tcBorders>
              <w:bottom w:val="single" w:sz="4" w:space="0" w:color="auto"/>
              <w:tl2br w:val="single" w:sz="8" w:space="0" w:color="auto"/>
            </w:tcBorders>
          </w:tcPr>
          <w:p w:rsidR="00E00246" w:rsidRPr="00067EBA" w:rsidRDefault="00E00246" w:rsidP="0015754B">
            <w:pPr>
              <w:pStyle w:val="Tablehead"/>
              <w:spacing w:before="240"/>
              <w:jc w:val="right"/>
              <w:rPr>
                <w:lang w:val="es-ES_tradnl"/>
              </w:rPr>
            </w:pPr>
            <w:r w:rsidRPr="00067EBA">
              <w:rPr>
                <w:lang w:val="es-ES_tradnl"/>
              </w:rPr>
              <w:t>BER</w:t>
            </w:r>
          </w:p>
          <w:p w:rsidR="00E00246" w:rsidRPr="00067EBA" w:rsidRDefault="00E00246" w:rsidP="000002C9">
            <w:pPr>
              <w:pStyle w:val="Tablehead"/>
              <w:spacing w:before="120"/>
              <w:jc w:val="left"/>
              <w:rPr>
                <w:lang w:val="es-ES_tradnl"/>
              </w:rPr>
            </w:pPr>
          </w:p>
          <w:p w:rsidR="00E00246" w:rsidRPr="00067EBA" w:rsidRDefault="00E00246" w:rsidP="000002C9">
            <w:pPr>
              <w:pStyle w:val="Tablehead"/>
              <w:jc w:val="left"/>
              <w:rPr>
                <w:lang w:val="es-ES_tradnl"/>
              </w:rPr>
            </w:pPr>
            <w:r w:rsidRPr="00067EBA">
              <w:rPr>
                <w:lang w:val="es-ES_tradnl"/>
              </w:rPr>
              <w:t>Intensidad</w:t>
            </w:r>
            <w:r w:rsidRPr="00067EBA">
              <w:rPr>
                <w:lang w:val="es-ES_tradnl"/>
              </w:rPr>
              <w:br/>
              <w:t>de campo</w:t>
            </w:r>
          </w:p>
        </w:tc>
        <w:tc>
          <w:tcPr>
            <w:tcW w:w="1418"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vBER &gt; SFP</w:t>
            </w:r>
          </w:p>
        </w:tc>
        <w:tc>
          <w:tcPr>
            <w:tcW w:w="1502" w:type="dxa"/>
            <w:tcBorders>
              <w:bottom w:val="single" w:sz="4" w:space="0" w:color="auto"/>
            </w:tcBorders>
            <w:vAlign w:val="center"/>
          </w:tcPr>
          <w:p w:rsidR="00E00246" w:rsidRPr="00067EBA" w:rsidRDefault="00E00246" w:rsidP="000002C9">
            <w:pPr>
              <w:pStyle w:val="Tablehead"/>
              <w:rPr>
                <w:lang w:val="es-ES_tradnl"/>
              </w:rPr>
            </w:pPr>
            <w:r w:rsidRPr="00067EBA">
              <w:rPr>
                <w:lang w:val="es-ES_tradnl"/>
              </w:rPr>
              <w:t>QEF &lt; vBER</w:t>
            </w:r>
            <w:r w:rsidRPr="00067EBA">
              <w:rPr>
                <w:lang w:val="es-ES_tradnl"/>
              </w:rPr>
              <w:br/>
            </w:r>
            <w:r w:rsidRPr="00067EBA">
              <w:rPr>
                <w:lang w:val="es-ES_tradnl"/>
              </w:rPr>
              <w:sym w:font="Symbol" w:char="F0A3"/>
            </w:r>
            <w:r w:rsidRPr="00067EBA">
              <w:rPr>
                <w:lang w:val="es-ES_tradnl"/>
              </w:rPr>
              <w:t xml:space="preserve"> SFP</w:t>
            </w:r>
          </w:p>
        </w:tc>
        <w:tc>
          <w:tcPr>
            <w:tcW w:w="1871" w:type="dxa"/>
            <w:tcBorders>
              <w:bottom w:val="single" w:sz="4" w:space="0" w:color="auto"/>
            </w:tcBorders>
            <w:vAlign w:val="center"/>
          </w:tcPr>
          <w:p w:rsidR="00E00246" w:rsidRPr="00067EBA" w:rsidRDefault="00E00246" w:rsidP="000002C9">
            <w:pPr>
              <w:pStyle w:val="Tablehead"/>
              <w:rPr>
                <w:lang w:val="es-ES_tradnl"/>
              </w:rPr>
            </w:pPr>
            <w:r w:rsidRPr="00067EBA">
              <w:rPr>
                <w:rFonts w:asciiTheme="majorBidi" w:hAnsiTheme="majorBidi" w:cstheme="majorBidi"/>
                <w:lang w:val="es-ES_tradnl"/>
              </w:rPr>
              <w:t xml:space="preserve">vBER </w:t>
            </w:r>
            <w:r w:rsidRPr="00067EBA">
              <w:rPr>
                <w:rFonts w:asciiTheme="majorBidi" w:hAnsiTheme="majorBidi" w:cstheme="majorBidi"/>
                <w:lang w:val="es-ES_tradnl"/>
              </w:rPr>
              <w:sym w:font="Symbol" w:char="F0A3"/>
            </w:r>
            <w:r w:rsidRPr="00067EBA">
              <w:rPr>
                <w:rFonts w:asciiTheme="majorBidi" w:hAnsiTheme="majorBidi" w:cstheme="majorBidi"/>
                <w:lang w:val="es-ES_tradnl"/>
              </w:rPr>
              <w:t xml:space="preserve"> QEF</w:t>
            </w:r>
            <w:r w:rsidRPr="00067EBA">
              <w:rPr>
                <w:rFonts w:asciiTheme="majorBidi" w:hAnsiTheme="majorBidi" w:cstheme="majorBidi"/>
                <w:lang w:val="es-ES_tradnl"/>
              </w:rPr>
              <w:br/>
              <w:t>y</w:t>
            </w:r>
            <w:r w:rsidRPr="00067EBA">
              <w:rPr>
                <w:rFonts w:asciiTheme="majorBidi" w:hAnsiTheme="majorBidi" w:cstheme="majorBidi"/>
                <w:lang w:val="es-ES_tradnl"/>
              </w:rPr>
              <w:br/>
              <w:t>vBER &gt; curva Q</w:t>
            </w:r>
            <w:r w:rsidRPr="00067EBA">
              <w:rPr>
                <w:rFonts w:asciiTheme="majorBidi" w:hAnsiTheme="majorBidi" w:cstheme="majorBidi"/>
                <w:vertAlign w:val="subscript"/>
                <w:lang w:val="es-ES_tradnl"/>
              </w:rPr>
              <w:t>4</w:t>
            </w:r>
          </w:p>
        </w:tc>
        <w:tc>
          <w:tcPr>
            <w:tcW w:w="1871" w:type="dxa"/>
            <w:tcBorders>
              <w:bottom w:val="single" w:sz="4" w:space="0" w:color="auto"/>
            </w:tcBorders>
            <w:vAlign w:val="center"/>
          </w:tcPr>
          <w:p w:rsidR="00E00246" w:rsidRPr="00067EBA" w:rsidRDefault="00E00246" w:rsidP="000002C9">
            <w:pPr>
              <w:pStyle w:val="Tablehead"/>
              <w:rPr>
                <w:lang w:val="es-ES_tradnl"/>
              </w:rPr>
            </w:pPr>
            <w:r w:rsidRPr="00067EBA">
              <w:rPr>
                <w:rFonts w:asciiTheme="majorBidi" w:hAnsiTheme="majorBidi" w:cstheme="majorBidi"/>
                <w:lang w:val="es-ES_tradnl"/>
              </w:rPr>
              <w:t xml:space="preserve">vBER </w:t>
            </w:r>
            <w:r w:rsidRPr="00067EBA">
              <w:rPr>
                <w:rFonts w:asciiTheme="majorBidi" w:hAnsiTheme="majorBidi" w:cstheme="majorBidi"/>
                <w:lang w:val="es-ES_tradnl"/>
              </w:rPr>
              <w:sym w:font="Symbol" w:char="F0A3"/>
            </w:r>
            <w:r w:rsidRPr="00067EBA">
              <w:rPr>
                <w:rFonts w:asciiTheme="majorBidi" w:hAnsiTheme="majorBidi" w:cstheme="majorBidi"/>
                <w:lang w:val="es-ES_tradnl"/>
              </w:rPr>
              <w:t xml:space="preserve"> curva Q</w:t>
            </w:r>
            <w:r w:rsidRPr="00067EBA">
              <w:rPr>
                <w:rFonts w:asciiTheme="majorBidi" w:hAnsiTheme="majorBidi" w:cstheme="majorBidi"/>
                <w:vertAlign w:val="subscript"/>
                <w:lang w:val="es-ES_tradnl"/>
              </w:rPr>
              <w:t>4</w:t>
            </w:r>
            <w:r w:rsidRPr="00067EBA">
              <w:rPr>
                <w:rFonts w:asciiTheme="majorBidi" w:hAnsiTheme="majorBidi" w:cstheme="majorBidi"/>
                <w:lang w:val="es-ES_tradnl"/>
              </w:rPr>
              <w:br/>
              <w:t>y</w:t>
            </w:r>
            <w:r w:rsidRPr="00067EBA">
              <w:rPr>
                <w:rFonts w:asciiTheme="majorBidi" w:hAnsiTheme="majorBidi" w:cstheme="majorBidi"/>
                <w:lang w:val="es-ES_tradnl"/>
              </w:rPr>
              <w:br/>
              <w:t>vBER &gt; curva Q</w:t>
            </w:r>
            <w:r w:rsidRPr="00067EBA">
              <w:rPr>
                <w:rFonts w:asciiTheme="majorBidi" w:hAnsiTheme="majorBidi" w:cstheme="majorBidi"/>
                <w:vertAlign w:val="subscript"/>
                <w:lang w:val="es-ES_tradnl"/>
              </w:rPr>
              <w:t>5</w:t>
            </w:r>
          </w:p>
        </w:tc>
        <w:tc>
          <w:tcPr>
            <w:tcW w:w="1134" w:type="dxa"/>
            <w:tcBorders>
              <w:bottom w:val="single" w:sz="4" w:space="0" w:color="auto"/>
            </w:tcBorders>
            <w:vAlign w:val="center"/>
          </w:tcPr>
          <w:p w:rsidR="00E00246" w:rsidRPr="00067EBA" w:rsidRDefault="00E00246" w:rsidP="000002C9">
            <w:pPr>
              <w:pStyle w:val="Tablehead"/>
              <w:rPr>
                <w:lang w:val="es-ES_tradnl"/>
              </w:rPr>
            </w:pPr>
            <w:r w:rsidRPr="00067EBA">
              <w:rPr>
                <w:rFonts w:asciiTheme="majorBidi" w:hAnsiTheme="majorBidi" w:cstheme="majorBidi"/>
                <w:lang w:val="es-ES_tradnl"/>
              </w:rPr>
              <w:t xml:space="preserve">vBER </w:t>
            </w:r>
            <w:r w:rsidRPr="00067EBA">
              <w:rPr>
                <w:rFonts w:asciiTheme="majorBidi" w:hAnsiTheme="majorBidi" w:cstheme="majorBidi"/>
                <w:lang w:val="es-ES_tradnl"/>
              </w:rPr>
              <w:sym w:font="Symbol" w:char="F0A3"/>
            </w:r>
            <w:r w:rsidRPr="00067EBA">
              <w:rPr>
                <w:rFonts w:asciiTheme="majorBidi" w:hAnsiTheme="majorBidi" w:cstheme="majorBidi"/>
                <w:lang w:val="es-ES_tradnl"/>
              </w:rPr>
              <w:t xml:space="preserve"> curva Q</w:t>
            </w:r>
            <w:r w:rsidRPr="00067EBA">
              <w:rPr>
                <w:rFonts w:asciiTheme="majorBidi" w:hAnsiTheme="majorBidi" w:cstheme="majorBidi"/>
                <w:vertAlign w:val="subscript"/>
                <w:lang w:val="es-ES_tradnl"/>
              </w:rPr>
              <w:t>5</w:t>
            </w:r>
          </w:p>
        </w:tc>
      </w:tr>
      <w:tr w:rsidR="00E00246" w:rsidRPr="00067EBA" w:rsidDel="00676754" w:rsidTr="0015754B">
        <w:trPr>
          <w:trHeight w:val="20"/>
          <w:jc w:val="center"/>
        </w:trPr>
        <w:tc>
          <w:tcPr>
            <w:tcW w:w="1843" w:type="dxa"/>
            <w:tcBorders>
              <w:top w:val="single" w:sz="4" w:space="0" w:color="auto"/>
              <w:bottom w:val="single" w:sz="4" w:space="0" w:color="auto"/>
            </w:tcBorders>
            <w:vAlign w:val="center"/>
          </w:tcPr>
          <w:p w:rsidR="00E00246" w:rsidRPr="00067EBA" w:rsidRDefault="00E00246" w:rsidP="000002C9">
            <w:pPr>
              <w:pStyle w:val="Tabletext"/>
              <w:jc w:val="center"/>
              <w:rPr>
                <w:lang w:val="es-ES_tradnl"/>
              </w:rPr>
            </w:pPr>
            <w:r w:rsidRPr="00067EBA">
              <w:rPr>
                <w:lang w:val="es-ES_tradnl"/>
              </w:rPr>
              <w:t xml:space="preserve">E </w:t>
            </w:r>
            <w:r w:rsidRPr="00067EBA">
              <w:rPr>
                <w:lang w:val="es-ES_tradnl"/>
              </w:rPr>
              <w:sym w:font="Symbol" w:char="F03C"/>
            </w:r>
            <w:r w:rsidRPr="00067EBA">
              <w:rPr>
                <w:lang w:val="es-ES_tradnl"/>
              </w:rPr>
              <w:t xml:space="preserve"> E</w:t>
            </w:r>
            <w:r w:rsidRPr="00067EBA">
              <w:rPr>
                <w:vertAlign w:val="subscript"/>
                <w:lang w:val="es-ES_tradnl"/>
              </w:rPr>
              <w:t>xx</w:t>
            </w:r>
          </w:p>
        </w:tc>
        <w:tc>
          <w:tcPr>
            <w:tcW w:w="1418" w:type="dxa"/>
            <w:tcBorders>
              <w:top w:val="single" w:sz="4" w:space="0" w:color="auto"/>
              <w:bottom w:val="single" w:sz="4" w:space="0" w:color="auto"/>
            </w:tcBorders>
            <w:shd w:val="clear" w:color="auto" w:fill="EEAEDD"/>
            <w:vAlign w:val="center"/>
          </w:tcPr>
          <w:p w:rsidR="00E00246" w:rsidRPr="00067EBA" w:rsidRDefault="00E00246" w:rsidP="000002C9">
            <w:pPr>
              <w:pStyle w:val="Tabletext"/>
              <w:jc w:val="center"/>
              <w:rPr>
                <w:highlight w:val="cyan"/>
                <w:lang w:val="es-ES_tradnl"/>
              </w:rPr>
            </w:pPr>
            <w:r w:rsidRPr="00067EBA">
              <w:rPr>
                <w:lang w:val="es-ES_tradnl"/>
              </w:rPr>
              <w:t>Q1</w:t>
            </w:r>
          </w:p>
        </w:tc>
        <w:tc>
          <w:tcPr>
            <w:tcW w:w="1502"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871"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871"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134" w:type="dxa"/>
            <w:tcBorders>
              <w:top w:val="single" w:sz="4" w:space="0" w:color="auto"/>
              <w:bottom w:val="single" w:sz="4" w:space="0" w:color="auto"/>
            </w:tcBorders>
            <w:shd w:val="clear" w:color="auto" w:fill="FABF8F"/>
            <w:vAlign w:val="center"/>
          </w:tcPr>
          <w:p w:rsidR="00E00246" w:rsidRPr="00067EBA" w:rsidRDefault="00E00246" w:rsidP="000002C9">
            <w:pPr>
              <w:pStyle w:val="Tabletext"/>
              <w:jc w:val="center"/>
              <w:rPr>
                <w:highlight w:val="cyan"/>
                <w:lang w:val="es-ES_tradnl"/>
              </w:rPr>
            </w:pPr>
            <w:r w:rsidRPr="00067EBA">
              <w:rPr>
                <w:lang w:val="es-ES_tradnl"/>
              </w:rPr>
              <w:t>Q2</w:t>
            </w:r>
          </w:p>
        </w:tc>
      </w:tr>
      <w:tr w:rsidR="00E00246" w:rsidRPr="00067EBA" w:rsidDel="00676754" w:rsidTr="0015754B">
        <w:trPr>
          <w:trHeight w:val="20"/>
          <w:jc w:val="center"/>
        </w:trPr>
        <w:tc>
          <w:tcPr>
            <w:tcW w:w="1843" w:type="dxa"/>
            <w:tcBorders>
              <w:top w:val="single" w:sz="4" w:space="0" w:color="auto"/>
            </w:tcBorders>
            <w:vAlign w:val="center"/>
          </w:tcPr>
          <w:p w:rsidR="00E00246" w:rsidRPr="00067EBA" w:rsidRDefault="00E00246" w:rsidP="000002C9">
            <w:pPr>
              <w:pStyle w:val="Tabletext"/>
              <w:jc w:val="center"/>
              <w:rPr>
                <w:lang w:val="es-ES_tradnl"/>
              </w:rPr>
            </w:pPr>
            <w:r w:rsidRPr="00067EBA">
              <w:rPr>
                <w:lang w:val="es-ES_tradnl"/>
              </w:rPr>
              <w:t xml:space="preserve">E </w:t>
            </w:r>
            <w:r w:rsidRPr="00067EBA">
              <w:rPr>
                <w:lang w:val="es-ES_tradnl"/>
              </w:rPr>
              <w:sym w:font="Symbol" w:char="F0B3"/>
            </w:r>
            <w:r w:rsidRPr="00067EBA">
              <w:rPr>
                <w:lang w:val="es-ES_tradnl"/>
              </w:rPr>
              <w:t xml:space="preserve"> E</w:t>
            </w:r>
            <w:r w:rsidRPr="00067EBA">
              <w:rPr>
                <w:vertAlign w:val="subscript"/>
                <w:lang w:val="es-ES_tradnl"/>
              </w:rPr>
              <w:t>xx</w:t>
            </w:r>
          </w:p>
        </w:tc>
        <w:tc>
          <w:tcPr>
            <w:tcW w:w="1418" w:type="dxa"/>
            <w:tcBorders>
              <w:top w:val="single" w:sz="4" w:space="0" w:color="auto"/>
            </w:tcBorders>
            <w:shd w:val="clear" w:color="auto" w:fill="EEAEDD"/>
            <w:vAlign w:val="center"/>
          </w:tcPr>
          <w:p w:rsidR="00E00246" w:rsidRPr="00067EBA" w:rsidRDefault="00E00246" w:rsidP="000002C9">
            <w:pPr>
              <w:pStyle w:val="Tabletext"/>
              <w:jc w:val="center"/>
              <w:rPr>
                <w:lang w:val="es-ES_tradnl"/>
              </w:rPr>
            </w:pPr>
            <w:r w:rsidRPr="00067EBA">
              <w:rPr>
                <w:lang w:val="es-ES_tradnl"/>
              </w:rPr>
              <w:t>Q1</w:t>
            </w:r>
          </w:p>
        </w:tc>
        <w:tc>
          <w:tcPr>
            <w:tcW w:w="1502" w:type="dxa"/>
            <w:tcBorders>
              <w:top w:val="single" w:sz="4" w:space="0" w:color="auto"/>
            </w:tcBorders>
            <w:shd w:val="clear" w:color="auto" w:fill="FABF8F"/>
            <w:vAlign w:val="center"/>
          </w:tcPr>
          <w:p w:rsidR="00E00246" w:rsidRPr="00067EBA" w:rsidRDefault="00E00246" w:rsidP="000002C9">
            <w:pPr>
              <w:pStyle w:val="Tabletext"/>
              <w:jc w:val="center"/>
              <w:rPr>
                <w:lang w:val="es-ES_tradnl"/>
              </w:rPr>
            </w:pPr>
            <w:r w:rsidRPr="00067EBA">
              <w:rPr>
                <w:lang w:val="es-ES_tradnl"/>
              </w:rPr>
              <w:t>Q2</w:t>
            </w:r>
          </w:p>
        </w:tc>
        <w:tc>
          <w:tcPr>
            <w:tcW w:w="1871" w:type="dxa"/>
            <w:tcBorders>
              <w:top w:val="single" w:sz="4" w:space="0" w:color="auto"/>
            </w:tcBorders>
            <w:shd w:val="clear" w:color="auto" w:fill="C2D69B"/>
            <w:vAlign w:val="center"/>
          </w:tcPr>
          <w:p w:rsidR="00E00246" w:rsidRPr="00067EBA" w:rsidRDefault="00E00246" w:rsidP="000002C9">
            <w:pPr>
              <w:pStyle w:val="Tabletext"/>
              <w:jc w:val="center"/>
              <w:rPr>
                <w:lang w:val="es-ES_tradnl"/>
              </w:rPr>
            </w:pPr>
            <w:r w:rsidRPr="00067EBA">
              <w:rPr>
                <w:lang w:val="es-ES_tradnl"/>
              </w:rPr>
              <w:t>Q3</w:t>
            </w:r>
          </w:p>
        </w:tc>
        <w:tc>
          <w:tcPr>
            <w:tcW w:w="1871" w:type="dxa"/>
            <w:tcBorders>
              <w:top w:val="single" w:sz="4" w:space="0" w:color="auto"/>
            </w:tcBorders>
            <w:shd w:val="clear" w:color="auto" w:fill="92D050"/>
            <w:vAlign w:val="center"/>
          </w:tcPr>
          <w:p w:rsidR="00E00246" w:rsidRPr="00067EBA" w:rsidRDefault="00E00246" w:rsidP="000002C9">
            <w:pPr>
              <w:pStyle w:val="Tabletext"/>
              <w:jc w:val="center"/>
              <w:rPr>
                <w:lang w:val="es-ES_tradnl"/>
              </w:rPr>
            </w:pPr>
            <w:r w:rsidRPr="00067EBA">
              <w:rPr>
                <w:lang w:val="es-ES_tradnl"/>
              </w:rPr>
              <w:t>Q4</w:t>
            </w:r>
          </w:p>
        </w:tc>
        <w:tc>
          <w:tcPr>
            <w:tcW w:w="1134" w:type="dxa"/>
            <w:tcBorders>
              <w:top w:val="single" w:sz="4" w:space="0" w:color="auto"/>
            </w:tcBorders>
            <w:shd w:val="clear" w:color="auto" w:fill="00B050"/>
            <w:vAlign w:val="center"/>
          </w:tcPr>
          <w:p w:rsidR="00E00246" w:rsidRPr="00067EBA" w:rsidRDefault="00E00246" w:rsidP="000002C9">
            <w:pPr>
              <w:pStyle w:val="Tabletext"/>
              <w:jc w:val="center"/>
              <w:rPr>
                <w:b/>
                <w:lang w:val="es-ES_tradnl"/>
              </w:rPr>
            </w:pPr>
            <w:r w:rsidRPr="00067EBA">
              <w:rPr>
                <w:lang w:val="es-ES_tradnl"/>
              </w:rPr>
              <w:t>Q5</w:t>
            </w:r>
          </w:p>
        </w:tc>
      </w:tr>
    </w:tbl>
    <w:p w:rsidR="00E00246" w:rsidRPr="00067EBA" w:rsidRDefault="00E00246" w:rsidP="00E00246">
      <w:pPr>
        <w:pStyle w:val="Tablefin"/>
        <w:rPr>
          <w:lang w:val="es-ES_tradnl"/>
        </w:rPr>
      </w:pPr>
    </w:p>
    <w:p w:rsidR="00E00246" w:rsidRPr="00067EBA" w:rsidRDefault="00E00246" w:rsidP="00E00246">
      <w:pPr>
        <w:rPr>
          <w:lang w:val="es-ES_tradnl"/>
        </w:rPr>
      </w:pPr>
      <w:r w:rsidRPr="00067EBA">
        <w:rPr>
          <w:lang w:val="es-ES_tradnl"/>
        </w:rPr>
        <w:t>Las Administraciones o Miembros de Sector que prefieran utilizar un sistema simplificado para la escala de calidad de la señal, pueden sustituir las Notas Q5, Q4 y Q3 por una sola cifra como se indica en el Cuadro 2.</w:t>
      </w:r>
    </w:p>
    <w:p w:rsidR="00E00246" w:rsidRPr="00067EBA" w:rsidRDefault="00E00246" w:rsidP="00E00246">
      <w:pPr>
        <w:pStyle w:val="Heading1"/>
        <w:rPr>
          <w:bCs/>
          <w:lang w:val="es-ES_tradnl"/>
        </w:rPr>
      </w:pPr>
      <w:r w:rsidRPr="00067EBA">
        <w:rPr>
          <w:lang w:val="es-ES_tradnl"/>
        </w:rPr>
        <w:t>4</w:t>
      </w:r>
      <w:r w:rsidRPr="00067EBA">
        <w:rPr>
          <w:lang w:val="es-ES_tradnl"/>
        </w:rPr>
        <w:tab/>
        <w:t xml:space="preserve">Acrónimos, valores fijos </w:t>
      </w:r>
      <w:bookmarkEnd w:id="10"/>
      <w:r w:rsidRPr="00067EBA">
        <w:rPr>
          <w:lang w:val="es-ES_tradnl"/>
        </w:rPr>
        <w:t>e interpretación de la escala de los Cuadros</w:t>
      </w:r>
    </w:p>
    <w:p w:rsidR="00E00246" w:rsidRPr="00067EBA" w:rsidRDefault="00E00246" w:rsidP="00E00246">
      <w:pPr>
        <w:pStyle w:val="Headingb"/>
        <w:rPr>
          <w:szCs w:val="24"/>
          <w:lang w:val="es-ES_tradnl"/>
        </w:rPr>
      </w:pPr>
      <w:r w:rsidRPr="00067EBA">
        <w:rPr>
          <w:lang w:val="es-ES_tradnl"/>
        </w:rPr>
        <w:t>Acrónimos</w:t>
      </w:r>
      <w:r w:rsidRPr="00067EBA">
        <w:rPr>
          <w:szCs w:val="24"/>
          <w:lang w:val="es-ES_tradnl"/>
        </w:rPr>
        <w:t>:</w:t>
      </w:r>
    </w:p>
    <w:p w:rsidR="00E00246" w:rsidRPr="00067EBA" w:rsidRDefault="00E00246" w:rsidP="00E00246">
      <w:pPr>
        <w:rPr>
          <w:szCs w:val="24"/>
          <w:lang w:val="es-ES_tradnl"/>
        </w:rPr>
      </w:pPr>
      <w:r w:rsidRPr="00067EBA">
        <w:rPr>
          <w:szCs w:val="24"/>
          <w:lang w:val="es-ES_tradnl"/>
        </w:rPr>
        <w:t xml:space="preserve">cBER: </w:t>
      </w:r>
      <w:r w:rsidRPr="00067EBA">
        <w:rPr>
          <w:szCs w:val="24"/>
          <w:lang w:val="es-ES_tradnl"/>
        </w:rPr>
        <w:tab/>
      </w:r>
      <w:r w:rsidRPr="00067EBA">
        <w:rPr>
          <w:szCs w:val="24"/>
          <w:lang w:val="es-ES_tradnl"/>
        </w:rPr>
        <w:tab/>
      </w:r>
      <w:r w:rsidRPr="00067EBA">
        <w:rPr>
          <w:szCs w:val="24"/>
          <w:lang w:val="es-ES_tradnl"/>
        </w:rPr>
        <w:tab/>
      </w:r>
      <w:r w:rsidRPr="00067EBA">
        <w:rPr>
          <w:szCs w:val="24"/>
          <w:lang w:val="es-ES_tradnl"/>
        </w:rPr>
        <w:tab/>
        <w:t>BER del canal o BER antes de la decodificación de Viterbi</w:t>
      </w:r>
    </w:p>
    <w:p w:rsidR="00E00246" w:rsidRPr="00067EBA" w:rsidRDefault="00E00246" w:rsidP="00E00246">
      <w:pPr>
        <w:rPr>
          <w:szCs w:val="24"/>
          <w:lang w:val="es-ES_tradnl"/>
        </w:rPr>
      </w:pPr>
      <w:r w:rsidRPr="00067EBA">
        <w:rPr>
          <w:szCs w:val="24"/>
          <w:lang w:val="es-ES_tradnl"/>
        </w:rPr>
        <w:t xml:space="preserve">vBER: </w:t>
      </w:r>
      <w:r w:rsidRPr="00067EBA">
        <w:rPr>
          <w:szCs w:val="24"/>
          <w:lang w:val="es-ES_tradnl"/>
        </w:rPr>
        <w:tab/>
      </w:r>
      <w:r w:rsidRPr="00067EBA">
        <w:rPr>
          <w:szCs w:val="24"/>
          <w:lang w:val="es-ES_tradnl"/>
        </w:rPr>
        <w:tab/>
      </w:r>
      <w:r w:rsidRPr="00067EBA">
        <w:rPr>
          <w:szCs w:val="24"/>
          <w:lang w:val="es-ES_tradnl"/>
        </w:rPr>
        <w:tab/>
      </w:r>
      <w:r w:rsidRPr="00067EBA">
        <w:rPr>
          <w:szCs w:val="24"/>
          <w:lang w:val="es-ES_tradnl"/>
        </w:rPr>
        <w:tab/>
        <w:t>BER después de la decodificación de Viterbi</w:t>
      </w:r>
    </w:p>
    <w:p w:rsidR="00E00246" w:rsidRPr="00067EBA" w:rsidRDefault="00E00246" w:rsidP="00E00246">
      <w:pPr>
        <w:rPr>
          <w:i/>
          <w:iCs/>
          <w:szCs w:val="24"/>
          <w:lang w:val="es-ES_tradnl"/>
        </w:rPr>
      </w:pPr>
      <w:r w:rsidRPr="00067EBA">
        <w:rPr>
          <w:szCs w:val="24"/>
          <w:lang w:val="es-ES_tradnl"/>
        </w:rPr>
        <w:t xml:space="preserve">Relación </w:t>
      </w:r>
      <w:r w:rsidRPr="00067EBA">
        <w:rPr>
          <w:lang w:val="es-ES_tradnl"/>
        </w:rPr>
        <w:t>cBER</w:t>
      </w:r>
      <w:r w:rsidRPr="00067EBA">
        <w:rPr>
          <w:szCs w:val="24"/>
          <w:lang w:val="es-ES_tradnl"/>
        </w:rPr>
        <w:t xml:space="preserve"> = </w:t>
      </w:r>
      <w:r w:rsidRPr="00067EBA">
        <w:rPr>
          <w:lang w:val="es-ES_tradnl"/>
        </w:rPr>
        <w:tab/>
      </w:r>
      <w:r w:rsidRPr="00067EBA">
        <w:rPr>
          <w:i/>
          <w:iCs/>
          <w:szCs w:val="24"/>
          <w:lang w:val="es-ES_tradnl"/>
        </w:rPr>
        <w:t>cBER</w:t>
      </w:r>
      <w:r w:rsidRPr="00067EBA">
        <w:rPr>
          <w:i/>
          <w:iCs/>
          <w:szCs w:val="24"/>
          <w:vertAlign w:val="subscript"/>
          <w:lang w:val="es-ES_tradnl"/>
        </w:rPr>
        <w:t>mín</w:t>
      </w:r>
      <w:r w:rsidRPr="00067EBA">
        <w:rPr>
          <w:szCs w:val="24"/>
          <w:lang w:val="es-ES_tradnl"/>
        </w:rPr>
        <w:t>/</w:t>
      </w:r>
      <w:r w:rsidRPr="00067EBA">
        <w:rPr>
          <w:i/>
          <w:iCs/>
          <w:szCs w:val="24"/>
          <w:lang w:val="es-ES_tradnl"/>
        </w:rPr>
        <w:t>cBER</w:t>
      </w:r>
    </w:p>
    <w:p w:rsidR="00E00246" w:rsidRPr="00067EBA" w:rsidRDefault="00E00246" w:rsidP="00E00246">
      <w:pPr>
        <w:rPr>
          <w:iCs/>
          <w:szCs w:val="24"/>
          <w:lang w:val="es-ES_tradnl"/>
        </w:rPr>
      </w:pPr>
      <w:r w:rsidRPr="00067EBA">
        <w:rPr>
          <w:iCs/>
          <w:szCs w:val="24"/>
          <w:lang w:val="es-ES_tradnl"/>
        </w:rPr>
        <w:t xml:space="preserve">QEF: </w:t>
      </w:r>
      <w:r w:rsidRPr="00067EBA">
        <w:rPr>
          <w:iCs/>
          <w:szCs w:val="24"/>
          <w:lang w:val="es-ES_tradnl"/>
        </w:rPr>
        <w:tab/>
      </w:r>
      <w:r w:rsidRPr="00067EBA">
        <w:rPr>
          <w:iCs/>
          <w:szCs w:val="24"/>
          <w:lang w:val="es-ES_tradnl"/>
        </w:rPr>
        <w:tab/>
      </w:r>
      <w:r w:rsidRPr="00067EBA">
        <w:rPr>
          <w:iCs/>
          <w:szCs w:val="24"/>
          <w:lang w:val="es-ES_tradnl"/>
        </w:rPr>
        <w:tab/>
      </w:r>
      <w:r w:rsidRPr="00067EBA">
        <w:rPr>
          <w:iCs/>
          <w:szCs w:val="24"/>
          <w:lang w:val="es-ES_tradnl"/>
        </w:rPr>
        <w:tab/>
        <w:t>Casi sin errores</w:t>
      </w:r>
    </w:p>
    <w:p w:rsidR="00E00246" w:rsidRPr="00067EBA" w:rsidRDefault="00E00246" w:rsidP="00E00246">
      <w:pPr>
        <w:rPr>
          <w:iCs/>
          <w:szCs w:val="24"/>
          <w:lang w:val="es-ES_tradnl"/>
        </w:rPr>
      </w:pPr>
      <w:r w:rsidRPr="00067EBA">
        <w:rPr>
          <w:iCs/>
          <w:szCs w:val="24"/>
          <w:lang w:val="es-ES_tradnl"/>
        </w:rPr>
        <w:t xml:space="preserve">SFP: </w:t>
      </w:r>
      <w:r w:rsidRPr="00067EBA">
        <w:rPr>
          <w:iCs/>
          <w:szCs w:val="24"/>
          <w:lang w:val="es-ES_tradnl"/>
        </w:rPr>
        <w:tab/>
      </w:r>
      <w:r w:rsidRPr="00067EBA">
        <w:rPr>
          <w:iCs/>
          <w:szCs w:val="24"/>
          <w:lang w:val="es-ES_tradnl"/>
        </w:rPr>
        <w:tab/>
      </w:r>
      <w:r w:rsidRPr="00067EBA">
        <w:rPr>
          <w:iCs/>
          <w:szCs w:val="24"/>
          <w:lang w:val="es-ES_tradnl"/>
        </w:rPr>
        <w:tab/>
      </w:r>
      <w:r w:rsidRPr="00067EBA">
        <w:rPr>
          <w:iCs/>
          <w:szCs w:val="24"/>
          <w:lang w:val="es-ES_tradnl"/>
        </w:rPr>
        <w:tab/>
        <w:t>Punto de fallo subjetivo</w:t>
      </w:r>
    </w:p>
    <w:p w:rsidR="00E00246" w:rsidRPr="00067EBA" w:rsidRDefault="00E00246" w:rsidP="00E00246">
      <w:pPr>
        <w:ind w:left="1985" w:hanging="1985"/>
        <w:rPr>
          <w:iCs/>
          <w:szCs w:val="24"/>
          <w:lang w:val="es-ES_tradnl"/>
        </w:rPr>
      </w:pPr>
      <w:r w:rsidRPr="00067EBA">
        <w:rPr>
          <w:iCs/>
          <w:szCs w:val="24"/>
          <w:lang w:val="es-ES_tradnl"/>
        </w:rPr>
        <w:t>E</w:t>
      </w:r>
      <w:r w:rsidRPr="00067EBA">
        <w:rPr>
          <w:rStyle w:val="FootnoteReference"/>
          <w:iCs/>
          <w:szCs w:val="24"/>
          <w:lang w:val="es-ES_tradnl"/>
        </w:rPr>
        <w:footnoteReference w:id="5"/>
      </w:r>
      <w:r w:rsidRPr="00067EBA">
        <w:rPr>
          <w:iCs/>
          <w:szCs w:val="24"/>
          <w:vertAlign w:val="subscript"/>
          <w:lang w:val="es-ES_tradnl"/>
        </w:rPr>
        <w:t>xx</w:t>
      </w:r>
      <w:r w:rsidRPr="00067EBA">
        <w:rPr>
          <w:iCs/>
          <w:szCs w:val="24"/>
          <w:lang w:val="es-ES_tradnl"/>
        </w:rPr>
        <w:t xml:space="preserve">: </w:t>
      </w:r>
      <w:r w:rsidRPr="00067EBA">
        <w:rPr>
          <w:iCs/>
          <w:szCs w:val="24"/>
          <w:lang w:val="es-ES_tradnl"/>
        </w:rPr>
        <w:tab/>
      </w:r>
      <w:r w:rsidRPr="00067EBA">
        <w:rPr>
          <w:iCs/>
          <w:szCs w:val="24"/>
          <w:lang w:val="es-ES_tradnl"/>
        </w:rPr>
        <w:tab/>
      </w:r>
      <w:r w:rsidRPr="00067EBA">
        <w:rPr>
          <w:iCs/>
          <w:szCs w:val="24"/>
          <w:lang w:val="es-ES_tradnl"/>
        </w:rPr>
        <w:tab/>
      </w:r>
      <w:r w:rsidRPr="00067EBA">
        <w:rPr>
          <w:iCs/>
          <w:szCs w:val="24"/>
          <w:lang w:val="es-ES_tradnl"/>
        </w:rPr>
        <w:tab/>
        <w:t>Mínimo valor mediano del nivel de intensidad de campo necesario para alcanzar una probabilidad de emplazamiento del xx%. No se ha de confundir con la mínima intensidad de campo equivalente en el lugar de recepción por encima de la cual debe garantizarse la protección contra las interferencias (véase la Recomendación UIT-R BT.1368 para el cálculo de la mínima intensidad de campo).</w:t>
      </w:r>
    </w:p>
    <w:p w:rsidR="00E00246" w:rsidRPr="00067EBA" w:rsidRDefault="00E00246" w:rsidP="00E00246">
      <w:pPr>
        <w:rPr>
          <w:lang w:val="es-ES_tradnl"/>
        </w:rPr>
      </w:pPr>
      <w:r w:rsidRPr="00067EBA">
        <w:rPr>
          <w:lang w:val="es-ES_tradnl"/>
        </w:rPr>
        <w:lastRenderedPageBreak/>
        <w:t xml:space="preserve">La CRR-06 o GE06 y la Recomendación UIT-R BT.1368 adoptaron para (xx) un valor de 95%. El valor </w:t>
      </w:r>
      <w:r w:rsidRPr="00067EBA">
        <w:rPr>
          <w:bCs/>
          <w:lang w:val="es-ES_tradnl"/>
        </w:rPr>
        <w:t>E</w:t>
      </w:r>
      <w:r w:rsidRPr="00067EBA">
        <w:rPr>
          <w:bCs/>
          <w:vertAlign w:val="subscript"/>
          <w:lang w:val="es-ES_tradnl"/>
        </w:rPr>
        <w:t xml:space="preserve">xx </w:t>
      </w:r>
      <w:r w:rsidRPr="00067EBA">
        <w:rPr>
          <w:bCs/>
          <w:lang w:val="es-ES_tradnl"/>
        </w:rPr>
        <w:t>dependerá de la configuración establecida.</w:t>
      </w:r>
    </w:p>
    <w:p w:rsidR="00E00246" w:rsidRPr="00067EBA" w:rsidRDefault="00E00246" w:rsidP="00E00246">
      <w:pPr>
        <w:rPr>
          <w:lang w:val="es-ES_tradnl"/>
        </w:rPr>
      </w:pPr>
      <w:r w:rsidRPr="00067EBA">
        <w:rPr>
          <w:lang w:val="es-ES_tradnl"/>
        </w:rPr>
        <w:t xml:space="preserve">La relación cBER es un parámetro introducido para indicar el rendimiento del canal en términos de la </w:t>
      </w:r>
      <w:r w:rsidRPr="00067EBA">
        <w:rPr>
          <w:i/>
          <w:iCs/>
          <w:lang w:val="es-ES_tradnl"/>
        </w:rPr>
        <w:t>cBER</w:t>
      </w:r>
      <w:r w:rsidRPr="00067EBA">
        <w:rPr>
          <w:lang w:val="es-ES_tradnl"/>
        </w:rPr>
        <w:t xml:space="preserve"> calculada en relación con la </w:t>
      </w:r>
      <w:r w:rsidRPr="00067EBA">
        <w:rPr>
          <w:i/>
          <w:iCs/>
          <w:lang w:val="es-ES_tradnl"/>
        </w:rPr>
        <w:t>cBER</w:t>
      </w:r>
      <w:r w:rsidRPr="00067EBA">
        <w:rPr>
          <w:i/>
          <w:iCs/>
          <w:vertAlign w:val="subscript"/>
          <w:lang w:val="es-ES_tradnl"/>
        </w:rPr>
        <w:t>mín</w:t>
      </w:r>
      <w:r w:rsidRPr="00067EBA">
        <w:rPr>
          <w:lang w:val="es-ES_tradnl"/>
        </w:rPr>
        <w:t xml:space="preserve">. La </w:t>
      </w:r>
      <w:r w:rsidRPr="00067EBA">
        <w:rPr>
          <w:i/>
          <w:iCs/>
          <w:lang w:val="es-ES_tradnl"/>
        </w:rPr>
        <w:t>cBER</w:t>
      </w:r>
      <w:r w:rsidRPr="00067EBA">
        <w:rPr>
          <w:i/>
          <w:iCs/>
          <w:vertAlign w:val="subscript"/>
          <w:lang w:val="es-ES_tradnl"/>
        </w:rPr>
        <w:t>mín</w:t>
      </w:r>
      <w:r w:rsidRPr="00067EBA">
        <w:rPr>
          <w:lang w:val="es-ES_tradnl"/>
        </w:rPr>
        <w:t xml:space="preserve"> es el valor presentado cuando la vBER es igual a QEF y depende de la velocidad de código adoptada.</w:t>
      </w:r>
    </w:p>
    <w:p w:rsidR="00E00246" w:rsidRPr="00067EBA" w:rsidRDefault="00E00246" w:rsidP="00E00246">
      <w:pPr>
        <w:rPr>
          <w:lang w:val="es-ES_tradnl"/>
        </w:rPr>
      </w:pPr>
      <w:r w:rsidRPr="00067EBA">
        <w:rPr>
          <w:lang w:val="es-ES_tradnl"/>
        </w:rPr>
        <w:t xml:space="preserve">Los valores de </w:t>
      </w:r>
      <w:r w:rsidRPr="00067EBA">
        <w:rPr>
          <w:i/>
          <w:lang w:val="es-ES_tradnl"/>
        </w:rPr>
        <w:t>cBER</w:t>
      </w:r>
      <w:r w:rsidRPr="00067EBA">
        <w:rPr>
          <w:i/>
          <w:iCs/>
          <w:szCs w:val="24"/>
          <w:vertAlign w:val="subscript"/>
          <w:lang w:val="es-ES_tradnl"/>
        </w:rPr>
        <w:t>mín</w:t>
      </w:r>
      <w:r w:rsidRPr="00067EBA">
        <w:rPr>
          <w:lang w:val="es-ES_tradnl"/>
        </w:rPr>
        <w:t xml:space="preserve"> para las configuraciones más utilizadas se enumeran a continuación en el Cuadro 4. Cabe señalar que estos valores no varían con la frecuencia o el esquema de modulación.</w:t>
      </w:r>
    </w:p>
    <w:p w:rsidR="00E00246" w:rsidRPr="00067EBA" w:rsidRDefault="00E00246" w:rsidP="00E00246">
      <w:pPr>
        <w:pStyle w:val="TableNo"/>
        <w:rPr>
          <w:lang w:val="es-ES_tradnl"/>
        </w:rPr>
      </w:pPr>
      <w:r w:rsidRPr="00067EBA">
        <w:rPr>
          <w:lang w:val="es-ES_tradnl"/>
        </w:rPr>
        <w:t>CUADRO 4</w:t>
      </w:r>
    </w:p>
    <w:p w:rsidR="00E00246" w:rsidRPr="00067EBA" w:rsidRDefault="00E00246" w:rsidP="00E00246">
      <w:pPr>
        <w:pStyle w:val="Tabletitle"/>
        <w:rPr>
          <w:lang w:val="es-ES_tradnl"/>
        </w:rPr>
      </w:pPr>
      <w:r w:rsidRPr="00067EBA">
        <w:rPr>
          <w:lang w:val="es-ES_tradnl"/>
        </w:rPr>
        <w:t>Valores de</w:t>
      </w:r>
      <w:r w:rsidRPr="00067EBA">
        <w:rPr>
          <w:i/>
          <w:iCs/>
          <w:lang w:val="es-ES_tradnl"/>
        </w:rPr>
        <w:t xml:space="preserve"> cBER</w:t>
      </w:r>
      <w:r w:rsidRPr="00067EBA">
        <w:rPr>
          <w:bCs/>
          <w:i/>
          <w:iCs/>
          <w:szCs w:val="24"/>
          <w:vertAlign w:val="subscript"/>
          <w:lang w:val="es-ES_tradnl"/>
        </w:rPr>
        <w:t>mín</w:t>
      </w:r>
      <w:r w:rsidRPr="00067EBA">
        <w:rPr>
          <w:i/>
          <w:iCs/>
          <w:lang w:val="es-ES_tradnl"/>
        </w:rPr>
        <w:t xml:space="preserve"> </w:t>
      </w:r>
      <w:r w:rsidRPr="00067EBA">
        <w:rPr>
          <w:lang w:val="es-ES_tradnl"/>
        </w:rPr>
        <w:t>para diferentes velocidades de código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tblGrid>
      <w:tr w:rsidR="00E00246" w:rsidRPr="00067EBA" w:rsidTr="000002C9">
        <w:trPr>
          <w:trHeight w:val="20"/>
          <w:jc w:val="center"/>
        </w:trPr>
        <w:tc>
          <w:tcPr>
            <w:tcW w:w="3402" w:type="dxa"/>
            <w:vAlign w:val="center"/>
          </w:tcPr>
          <w:p w:rsidR="00E00246" w:rsidRPr="00067EBA" w:rsidRDefault="00E00246" w:rsidP="000002C9">
            <w:pPr>
              <w:pStyle w:val="Tablehead"/>
              <w:rPr>
                <w:lang w:val="es-ES_tradnl"/>
              </w:rPr>
            </w:pPr>
            <w:r w:rsidRPr="00067EBA">
              <w:rPr>
                <w:lang w:val="es-ES_tradnl"/>
              </w:rPr>
              <w:t>Velocidad de código</w:t>
            </w:r>
          </w:p>
        </w:tc>
        <w:tc>
          <w:tcPr>
            <w:tcW w:w="2835" w:type="dxa"/>
            <w:vAlign w:val="center"/>
          </w:tcPr>
          <w:p w:rsidR="00E00246" w:rsidRPr="00067EBA" w:rsidRDefault="00E00246" w:rsidP="000002C9">
            <w:pPr>
              <w:pStyle w:val="Tablehead"/>
              <w:rPr>
                <w:i/>
                <w:iCs/>
                <w:lang w:val="es-ES_tradnl"/>
              </w:rPr>
            </w:pPr>
            <w:r w:rsidRPr="00067EBA">
              <w:rPr>
                <w:i/>
                <w:iCs/>
                <w:lang w:val="es-ES_tradnl"/>
              </w:rPr>
              <w:t>cBER</w:t>
            </w:r>
            <w:r w:rsidRPr="00067EBA">
              <w:rPr>
                <w:bCs/>
                <w:i/>
                <w:iCs/>
                <w:szCs w:val="24"/>
                <w:vertAlign w:val="subscript"/>
                <w:lang w:val="es-ES_tradnl"/>
              </w:rPr>
              <w:t>mín</w:t>
            </w:r>
          </w:p>
        </w:tc>
      </w:tr>
      <w:tr w:rsidR="00E00246" w:rsidRPr="00067EBA" w:rsidTr="000002C9">
        <w:trPr>
          <w:trHeight w:val="20"/>
          <w:jc w:val="center"/>
        </w:trPr>
        <w:tc>
          <w:tcPr>
            <w:tcW w:w="3402" w:type="dxa"/>
            <w:vAlign w:val="center"/>
          </w:tcPr>
          <w:p w:rsidR="00E00246" w:rsidRPr="00067EBA" w:rsidRDefault="00E00246" w:rsidP="00000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067EBA">
              <w:rPr>
                <w:sz w:val="22"/>
                <w:lang w:val="es-ES_tradnl"/>
              </w:rPr>
              <w:t>2/3</w:t>
            </w:r>
          </w:p>
        </w:tc>
        <w:tc>
          <w:tcPr>
            <w:tcW w:w="2835" w:type="dxa"/>
            <w:vAlign w:val="center"/>
          </w:tcPr>
          <w:p w:rsidR="00E00246" w:rsidRPr="00067EBA" w:rsidRDefault="00E00246" w:rsidP="00000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vertAlign w:val="superscript"/>
                <w:lang w:val="es-ES_tradnl"/>
              </w:rPr>
            </w:pPr>
            <w:r w:rsidRPr="00067EBA">
              <w:rPr>
                <w:sz w:val="22"/>
                <w:lang w:val="es-ES_tradnl"/>
              </w:rPr>
              <w:t xml:space="preserve">4 </w:t>
            </w:r>
            <w:r w:rsidRPr="00067EBA">
              <w:rPr>
                <w:sz w:val="22"/>
                <w:lang w:val="es-ES_tradnl"/>
              </w:rPr>
              <w:sym w:font="Symbol" w:char="F0B4"/>
            </w:r>
            <w:r w:rsidRPr="00067EBA">
              <w:rPr>
                <w:sz w:val="22"/>
                <w:lang w:val="es-ES_tradnl"/>
              </w:rPr>
              <w:t xml:space="preserve"> 10</w:t>
            </w:r>
            <w:r w:rsidRPr="00067EBA">
              <w:rPr>
                <w:sz w:val="22"/>
                <w:vertAlign w:val="superscript"/>
                <w:lang w:val="es-ES_tradnl"/>
              </w:rPr>
              <w:t>−2</w:t>
            </w:r>
          </w:p>
        </w:tc>
      </w:tr>
      <w:tr w:rsidR="00E00246" w:rsidRPr="00067EBA" w:rsidTr="000002C9">
        <w:trPr>
          <w:trHeight w:val="20"/>
          <w:jc w:val="center"/>
        </w:trPr>
        <w:tc>
          <w:tcPr>
            <w:tcW w:w="3402" w:type="dxa"/>
            <w:vAlign w:val="center"/>
          </w:tcPr>
          <w:p w:rsidR="00E00246" w:rsidRPr="00067EBA" w:rsidRDefault="00E00246" w:rsidP="00000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067EBA">
              <w:rPr>
                <w:sz w:val="22"/>
                <w:lang w:val="es-ES_tradnl"/>
              </w:rPr>
              <w:t>3/4</w:t>
            </w:r>
          </w:p>
        </w:tc>
        <w:tc>
          <w:tcPr>
            <w:tcW w:w="2835" w:type="dxa"/>
            <w:vAlign w:val="center"/>
          </w:tcPr>
          <w:p w:rsidR="00E00246" w:rsidRPr="00067EBA" w:rsidRDefault="00E00246" w:rsidP="00000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067EBA">
              <w:rPr>
                <w:sz w:val="22"/>
                <w:lang w:val="es-ES_tradnl"/>
              </w:rPr>
              <w:t xml:space="preserve">2 </w:t>
            </w:r>
            <w:r w:rsidRPr="00067EBA">
              <w:rPr>
                <w:sz w:val="22"/>
                <w:lang w:val="es-ES_tradnl"/>
              </w:rPr>
              <w:sym w:font="Symbol" w:char="F0B4"/>
            </w:r>
            <w:r w:rsidRPr="00067EBA">
              <w:rPr>
                <w:sz w:val="22"/>
                <w:lang w:val="es-ES_tradnl"/>
              </w:rPr>
              <w:t xml:space="preserve"> 10</w:t>
            </w:r>
            <w:r w:rsidRPr="00067EBA">
              <w:rPr>
                <w:sz w:val="22"/>
                <w:vertAlign w:val="superscript"/>
                <w:lang w:val="es-ES_tradnl"/>
              </w:rPr>
              <w:t>–2</w:t>
            </w:r>
          </w:p>
        </w:tc>
      </w:tr>
    </w:tbl>
    <w:p w:rsidR="00E00246" w:rsidRPr="00067EBA" w:rsidRDefault="00E00246" w:rsidP="00E00246">
      <w:pPr>
        <w:pStyle w:val="Tablefin"/>
        <w:rPr>
          <w:lang w:val="es-ES_tradnl"/>
        </w:rPr>
      </w:pPr>
    </w:p>
    <w:p w:rsidR="00E00246" w:rsidRPr="00067EBA" w:rsidRDefault="00E00246" w:rsidP="00E00246">
      <w:pPr>
        <w:pStyle w:val="Headingb"/>
        <w:rPr>
          <w:lang w:val="es-ES_tradnl"/>
        </w:rPr>
      </w:pPr>
      <w:r w:rsidRPr="00067EBA">
        <w:rPr>
          <w:lang w:val="es-ES_tradnl"/>
        </w:rPr>
        <w:t>Valores fijos</w:t>
      </w:r>
    </w:p>
    <w:p w:rsidR="00E00246" w:rsidRPr="00067EBA" w:rsidRDefault="00E00246" w:rsidP="00E00246">
      <w:pPr>
        <w:pStyle w:val="Blanc"/>
        <w:rPr>
          <w:lang w:val="es-ES_tradnl"/>
        </w:rPr>
      </w:pPr>
    </w:p>
    <w:p w:rsidR="00E00246" w:rsidRPr="00067EBA" w:rsidRDefault="00E00246" w:rsidP="00E00246">
      <w:pPr>
        <w:pStyle w:val="Equation"/>
        <w:rPr>
          <w:lang w:val="es-ES_tradnl"/>
        </w:rPr>
      </w:pPr>
      <w:r w:rsidRPr="00067EBA">
        <w:rPr>
          <w:lang w:val="es-ES_tradnl"/>
        </w:rPr>
        <w:tab/>
      </w:r>
      <w:r w:rsidRPr="00067EBA">
        <w:rPr>
          <w:lang w:val="es-ES_tradnl"/>
        </w:rPr>
        <w:tab/>
        <w:t xml:space="preserve">SFP = 6,4 </w:t>
      </w:r>
      <w:r w:rsidRPr="00067EBA">
        <w:rPr>
          <w:lang w:val="es-ES_tradnl"/>
        </w:rPr>
        <w:sym w:font="Symbol" w:char="F0B4"/>
      </w:r>
      <w:r w:rsidRPr="00067EBA">
        <w:rPr>
          <w:lang w:val="es-ES_tradnl"/>
        </w:rPr>
        <w:t xml:space="preserve"> 10</w:t>
      </w:r>
      <w:r w:rsidRPr="00067EBA">
        <w:rPr>
          <w:vertAlign w:val="superscript"/>
          <w:lang w:val="es-ES_tradnl"/>
        </w:rPr>
        <w:t>–3</w:t>
      </w:r>
    </w:p>
    <w:p w:rsidR="00E00246" w:rsidRPr="00067EBA" w:rsidRDefault="00E00246" w:rsidP="00E00246">
      <w:pPr>
        <w:pStyle w:val="Equation"/>
        <w:rPr>
          <w:lang w:val="es-ES_tradnl"/>
        </w:rPr>
      </w:pPr>
      <w:r w:rsidRPr="00067EBA">
        <w:rPr>
          <w:lang w:val="es-ES_tradnl"/>
        </w:rPr>
        <w:tab/>
      </w:r>
      <w:r w:rsidRPr="00067EBA">
        <w:rPr>
          <w:lang w:val="es-ES_tradnl"/>
        </w:rPr>
        <w:tab/>
        <w:t xml:space="preserve">QEF = 2 </w:t>
      </w:r>
      <w:r w:rsidRPr="00067EBA">
        <w:rPr>
          <w:lang w:val="es-ES_tradnl"/>
        </w:rPr>
        <w:sym w:font="Symbol" w:char="F0B4"/>
      </w:r>
      <w:r w:rsidRPr="00067EBA">
        <w:rPr>
          <w:lang w:val="es-ES_tradnl"/>
        </w:rPr>
        <w:t xml:space="preserve"> 10</w:t>
      </w:r>
      <w:r w:rsidRPr="00067EBA">
        <w:rPr>
          <w:vertAlign w:val="superscript"/>
          <w:lang w:val="es-ES_tradnl"/>
        </w:rPr>
        <w:t>–4</w:t>
      </w:r>
    </w:p>
    <w:p w:rsidR="00E00246" w:rsidRPr="00067EBA" w:rsidRDefault="00E00246" w:rsidP="00E00246">
      <w:pPr>
        <w:pStyle w:val="Equation"/>
        <w:rPr>
          <w:lang w:val="es-ES_tradnl"/>
        </w:rPr>
      </w:pPr>
      <w:r w:rsidRPr="00067EBA">
        <w:rPr>
          <w:lang w:val="es-ES_tradnl"/>
        </w:rPr>
        <w:tab/>
      </w:r>
      <w:r w:rsidRPr="00067EBA">
        <w:rPr>
          <w:lang w:val="es-ES_tradnl"/>
        </w:rPr>
        <w:tab/>
        <w:t xml:space="preserve">Curva Q4 = </w:t>
      </w:r>
      <w:r w:rsidRPr="00067EBA">
        <w:rPr>
          <w:i/>
          <w:iCs/>
          <w:lang w:val="es-ES_tradnl"/>
        </w:rPr>
        <w:t>a</w:t>
      </w:r>
      <w:r w:rsidRPr="00067EBA">
        <w:rPr>
          <w:lang w:val="es-ES_tradnl"/>
        </w:rPr>
        <w:t xml:space="preserve"> </w:t>
      </w:r>
      <w:r w:rsidRPr="00067EBA">
        <w:rPr>
          <w:lang w:val="es-ES_tradnl"/>
        </w:rPr>
        <w:sym w:font="Symbol" w:char="F0D7"/>
      </w:r>
      <w:r w:rsidRPr="00067EBA">
        <w:rPr>
          <w:lang w:val="es-ES_tradnl"/>
        </w:rPr>
        <w:t xml:space="preserve"> </w:t>
      </w:r>
      <w:r w:rsidRPr="00067EBA">
        <w:rPr>
          <w:i/>
          <w:iCs/>
          <w:lang w:val="es-ES_tradnl"/>
        </w:rPr>
        <w:t>e</w:t>
      </w:r>
      <w:r w:rsidRPr="00067EBA">
        <w:rPr>
          <w:vertAlign w:val="superscript"/>
          <w:lang w:val="es-ES_tradnl"/>
        </w:rPr>
        <w:t>–</w:t>
      </w:r>
      <w:r w:rsidRPr="00067EBA">
        <w:rPr>
          <w:i/>
          <w:iCs/>
          <w:vertAlign w:val="superscript"/>
          <w:lang w:val="es-ES_tradnl"/>
        </w:rPr>
        <w:t>b-cBER</w:t>
      </w:r>
    </w:p>
    <w:p w:rsidR="00E00246" w:rsidRPr="00067EBA" w:rsidRDefault="00E00246" w:rsidP="00E00246">
      <w:pPr>
        <w:pStyle w:val="Equation"/>
        <w:rPr>
          <w:lang w:val="es-ES_tradnl"/>
        </w:rPr>
      </w:pPr>
      <w:r w:rsidRPr="00067EBA">
        <w:rPr>
          <w:lang w:val="es-ES_tradnl"/>
        </w:rPr>
        <w:tab/>
      </w:r>
      <w:r w:rsidRPr="00067EBA">
        <w:rPr>
          <w:lang w:val="es-ES_tradnl"/>
        </w:rPr>
        <w:tab/>
        <w:t xml:space="preserve">Curva Q5 = </w:t>
      </w:r>
      <w:r w:rsidRPr="00067EBA">
        <w:rPr>
          <w:i/>
          <w:iCs/>
          <w:lang w:val="es-ES_tradnl"/>
        </w:rPr>
        <w:t>a</w:t>
      </w:r>
      <w:r w:rsidRPr="00067EBA">
        <w:rPr>
          <w:lang w:val="es-ES_tradnl"/>
        </w:rPr>
        <w:t xml:space="preserve"> </w:t>
      </w:r>
      <w:r w:rsidRPr="00067EBA">
        <w:rPr>
          <w:lang w:val="es-ES_tradnl"/>
        </w:rPr>
        <w:sym w:font="Symbol" w:char="F0D7"/>
      </w:r>
      <w:r w:rsidRPr="00067EBA">
        <w:rPr>
          <w:lang w:val="es-ES_tradnl"/>
        </w:rPr>
        <w:t xml:space="preserve"> </w:t>
      </w:r>
      <w:r w:rsidRPr="00067EBA">
        <w:rPr>
          <w:i/>
          <w:iCs/>
          <w:lang w:val="es-ES_tradnl"/>
        </w:rPr>
        <w:t>e</w:t>
      </w:r>
      <w:r w:rsidRPr="00067EBA">
        <w:rPr>
          <w:vertAlign w:val="superscript"/>
          <w:lang w:val="es-ES_tradnl"/>
        </w:rPr>
        <w:t>–</w:t>
      </w:r>
      <w:r w:rsidRPr="00067EBA">
        <w:rPr>
          <w:i/>
          <w:iCs/>
          <w:vertAlign w:val="superscript"/>
          <w:lang w:val="es-ES_tradnl"/>
        </w:rPr>
        <w:t>d-cBER</w:t>
      </w:r>
    </w:p>
    <w:p w:rsidR="00E00246" w:rsidRPr="00067EBA" w:rsidRDefault="00E00246" w:rsidP="00E00246">
      <w:pPr>
        <w:rPr>
          <w:lang w:val="es-ES_tradnl"/>
        </w:rPr>
      </w:pPr>
      <w:r w:rsidRPr="00067EBA">
        <w:rPr>
          <w:lang w:val="es-ES_tradnl"/>
        </w:rPr>
        <w:t xml:space="preserve">y las constantes </w:t>
      </w:r>
      <w:r w:rsidRPr="00067EBA">
        <w:rPr>
          <w:i/>
          <w:iCs/>
          <w:lang w:val="es-ES_tradnl"/>
        </w:rPr>
        <w:t>a</w:t>
      </w:r>
      <w:r w:rsidRPr="00067EBA">
        <w:rPr>
          <w:lang w:val="es-ES_tradnl"/>
        </w:rPr>
        <w:t xml:space="preserve">, </w:t>
      </w:r>
      <w:r w:rsidRPr="00067EBA">
        <w:rPr>
          <w:i/>
          <w:iCs/>
          <w:lang w:val="es-ES_tradnl"/>
        </w:rPr>
        <w:t>b</w:t>
      </w:r>
      <w:r w:rsidRPr="00067EBA">
        <w:rPr>
          <w:lang w:val="es-ES_tradnl"/>
        </w:rPr>
        <w:t xml:space="preserve">, </w:t>
      </w:r>
      <w:r w:rsidRPr="00067EBA">
        <w:rPr>
          <w:i/>
          <w:iCs/>
          <w:lang w:val="es-ES_tradnl"/>
        </w:rPr>
        <w:t>c</w:t>
      </w:r>
      <w:r w:rsidRPr="00067EBA">
        <w:rPr>
          <w:lang w:val="es-ES_tradnl"/>
        </w:rPr>
        <w:t xml:space="preserve">, </w:t>
      </w:r>
      <w:r w:rsidRPr="00067EBA">
        <w:rPr>
          <w:i/>
          <w:iCs/>
          <w:lang w:val="es-ES_tradnl"/>
        </w:rPr>
        <w:t>d</w:t>
      </w:r>
      <w:r w:rsidRPr="00067EBA">
        <w:rPr>
          <w:lang w:val="es-ES_tradnl"/>
        </w:rPr>
        <w:t xml:space="preserve"> obtenidas durante las pruebas de laboratorio y las realizadas sobre el terreno:</w:t>
      </w:r>
    </w:p>
    <w:p w:rsidR="00E00246" w:rsidRPr="00067EBA" w:rsidRDefault="00E00246" w:rsidP="00E00246">
      <w:pPr>
        <w:pStyle w:val="Blanc"/>
        <w:rPr>
          <w:lang w:val="es-ES_tradnl"/>
        </w:rPr>
      </w:pPr>
    </w:p>
    <w:p w:rsidR="00E00246" w:rsidRPr="00067EBA" w:rsidRDefault="00E00246" w:rsidP="00E00246">
      <w:pPr>
        <w:pStyle w:val="Equation"/>
        <w:rPr>
          <w:lang w:val="es-ES_tradnl"/>
        </w:rPr>
      </w:pPr>
      <w:r w:rsidRPr="00067EBA">
        <w:rPr>
          <w:lang w:val="es-ES_tradnl"/>
        </w:rPr>
        <w:tab/>
      </w:r>
      <w:r w:rsidRPr="00067EBA">
        <w:rPr>
          <w:lang w:val="es-ES_tradnl"/>
        </w:rPr>
        <w:tab/>
      </w:r>
      <w:r w:rsidRPr="00067EBA">
        <w:rPr>
          <w:i/>
          <w:iCs/>
          <w:lang w:val="es-ES_tradnl"/>
        </w:rPr>
        <w:t>a</w:t>
      </w:r>
      <w:r w:rsidRPr="00067EBA">
        <w:rPr>
          <w:lang w:val="es-ES_tradnl"/>
        </w:rPr>
        <w:t xml:space="preserve"> = 10</w:t>
      </w:r>
      <w:r w:rsidRPr="00067EBA">
        <w:rPr>
          <w:vertAlign w:val="superscript"/>
          <w:lang w:val="es-ES_tradnl"/>
        </w:rPr>
        <w:t>–5</w:t>
      </w:r>
    </w:p>
    <w:p w:rsidR="00E00246" w:rsidRPr="00067EBA" w:rsidRDefault="00E00246" w:rsidP="00E00246">
      <w:pPr>
        <w:pStyle w:val="Equation"/>
        <w:rPr>
          <w:lang w:val="es-ES_tradnl"/>
        </w:rPr>
      </w:pPr>
      <w:r w:rsidRPr="00067EBA">
        <w:rPr>
          <w:lang w:val="es-ES_tradnl"/>
        </w:rPr>
        <w:tab/>
      </w:r>
      <w:r w:rsidRPr="00067EBA">
        <w:rPr>
          <w:lang w:val="es-ES_tradnl"/>
        </w:rPr>
        <w:tab/>
      </w:r>
      <w:r w:rsidRPr="00067EBA">
        <w:rPr>
          <w:i/>
          <w:iCs/>
          <w:lang w:val="es-ES_tradnl"/>
        </w:rPr>
        <w:t>b</w:t>
      </w:r>
      <w:r w:rsidRPr="00067EBA">
        <w:rPr>
          <w:lang w:val="es-ES_tradnl"/>
        </w:rPr>
        <w:t xml:space="preserve"> = 6 </w:t>
      </w:r>
      <w:r w:rsidRPr="00067EBA">
        <w:rPr>
          <w:lang w:val="es-ES_tradnl"/>
        </w:rPr>
        <w:sym w:font="Symbol" w:char="F0B4"/>
      </w:r>
      <w:r w:rsidRPr="00067EBA">
        <w:rPr>
          <w:lang w:val="es-ES_tradnl"/>
        </w:rPr>
        <w:t xml:space="preserve"> 10</w:t>
      </w:r>
      <w:r w:rsidRPr="00067EBA">
        <w:rPr>
          <w:vertAlign w:val="superscript"/>
          <w:lang w:val="es-ES_tradnl"/>
        </w:rPr>
        <w:t>3</w:t>
      </w:r>
    </w:p>
    <w:p w:rsidR="00E00246" w:rsidRPr="00067EBA" w:rsidRDefault="00E00246" w:rsidP="00E00246">
      <w:pPr>
        <w:pStyle w:val="Equation"/>
        <w:rPr>
          <w:lang w:val="es-ES_tradnl"/>
        </w:rPr>
      </w:pPr>
      <w:r w:rsidRPr="00067EBA">
        <w:rPr>
          <w:lang w:val="es-ES_tradnl"/>
        </w:rPr>
        <w:tab/>
      </w:r>
      <w:r w:rsidRPr="00067EBA">
        <w:rPr>
          <w:lang w:val="es-ES_tradnl"/>
        </w:rPr>
        <w:tab/>
      </w:r>
      <w:r w:rsidRPr="00067EBA">
        <w:rPr>
          <w:i/>
          <w:iCs/>
          <w:lang w:val="es-ES_tradnl"/>
        </w:rPr>
        <w:t>c</w:t>
      </w:r>
      <w:r w:rsidRPr="00067EBA">
        <w:rPr>
          <w:lang w:val="es-ES_tradnl"/>
        </w:rPr>
        <w:t xml:space="preserve"> = 5 </w:t>
      </w:r>
      <w:r w:rsidRPr="00067EBA">
        <w:rPr>
          <w:lang w:val="es-ES_tradnl"/>
        </w:rPr>
        <w:sym w:font="Symbol" w:char="F0B4"/>
      </w:r>
      <w:r w:rsidRPr="00067EBA">
        <w:rPr>
          <w:lang w:val="es-ES_tradnl"/>
        </w:rPr>
        <w:t xml:space="preserve"> 10</w:t>
      </w:r>
      <w:r w:rsidRPr="00067EBA">
        <w:rPr>
          <w:vertAlign w:val="superscript"/>
          <w:lang w:val="es-ES_tradnl"/>
        </w:rPr>
        <w:t>–7</w:t>
      </w:r>
    </w:p>
    <w:p w:rsidR="00E00246" w:rsidRPr="00067EBA" w:rsidRDefault="00E00246" w:rsidP="00E00246">
      <w:pPr>
        <w:pStyle w:val="Equation"/>
        <w:rPr>
          <w:lang w:val="es-ES_tradnl"/>
        </w:rPr>
      </w:pPr>
      <w:r w:rsidRPr="00067EBA">
        <w:rPr>
          <w:lang w:val="es-ES_tradnl"/>
        </w:rPr>
        <w:tab/>
      </w:r>
      <w:r w:rsidRPr="00067EBA">
        <w:rPr>
          <w:lang w:val="es-ES_tradnl"/>
        </w:rPr>
        <w:tab/>
      </w:r>
      <w:r w:rsidRPr="00067EBA">
        <w:rPr>
          <w:i/>
          <w:iCs/>
          <w:lang w:val="es-ES_tradnl"/>
        </w:rPr>
        <w:t>d</w:t>
      </w:r>
      <w:r w:rsidRPr="00067EBA">
        <w:rPr>
          <w:lang w:val="es-ES_tradnl"/>
        </w:rPr>
        <w:t xml:space="preserve"> = 4 </w:t>
      </w:r>
      <w:r w:rsidRPr="00067EBA">
        <w:rPr>
          <w:lang w:val="es-ES_tradnl"/>
        </w:rPr>
        <w:sym w:font="Symbol" w:char="F0B4"/>
      </w:r>
      <w:r w:rsidRPr="00067EBA">
        <w:rPr>
          <w:lang w:val="es-ES_tradnl"/>
        </w:rPr>
        <w:t xml:space="preserve"> 10</w:t>
      </w:r>
      <w:r w:rsidRPr="00067EBA">
        <w:rPr>
          <w:vertAlign w:val="superscript"/>
          <w:lang w:val="es-ES_tradnl"/>
        </w:rPr>
        <w:t>4</w:t>
      </w:r>
    </w:p>
    <w:p w:rsidR="00E00246" w:rsidRPr="00067EBA" w:rsidRDefault="00E00246" w:rsidP="00E00246">
      <w:pPr>
        <w:pStyle w:val="Heading2"/>
        <w:rPr>
          <w:lang w:val="es-ES_tradnl"/>
        </w:rPr>
      </w:pPr>
      <w:r w:rsidRPr="00067EBA">
        <w:rPr>
          <w:lang w:val="es-ES_tradnl"/>
        </w:rPr>
        <w:t>4.1</w:t>
      </w:r>
      <w:r w:rsidRPr="00067EBA">
        <w:rPr>
          <w:lang w:val="es-ES_tradnl"/>
        </w:rPr>
        <w:tab/>
        <w:t>Interpretación de la escala del Cuadro 1</w:t>
      </w:r>
    </w:p>
    <w:p w:rsidR="00E00246" w:rsidRPr="00067EBA" w:rsidRDefault="00E00246" w:rsidP="00E00246">
      <w:pPr>
        <w:rPr>
          <w:lang w:val="es-ES_tradnl"/>
        </w:rPr>
      </w:pPr>
      <w:r w:rsidRPr="00067EBA">
        <w:rPr>
          <w:lang w:val="es-ES_tradnl"/>
        </w:rPr>
        <w:t>La escala de calidad representa la distancia desde el punto de transición. Dicho punto comienza en QEF y termina en el denominado punto de «efecto acantilado» (SPF). Cada valor Q es una función de E y BER.</w:t>
      </w:r>
    </w:p>
    <w:p w:rsidR="00E00246" w:rsidRPr="00067EBA" w:rsidRDefault="00E00246" w:rsidP="00E00246">
      <w:pPr>
        <w:rPr>
          <w:szCs w:val="24"/>
          <w:lang w:val="es-ES_tradnl"/>
        </w:rPr>
      </w:pPr>
      <w:r w:rsidRPr="00067EBA">
        <w:rPr>
          <w:szCs w:val="24"/>
          <w:lang w:val="es-ES_tradnl"/>
        </w:rPr>
        <w:t xml:space="preserve">El </w:t>
      </w:r>
      <w:r w:rsidRPr="00067EBA">
        <w:rPr>
          <w:lang w:val="es-ES_tradnl"/>
        </w:rPr>
        <w:t>punto</w:t>
      </w:r>
      <w:r w:rsidRPr="00067EBA">
        <w:rPr>
          <w:szCs w:val="24"/>
          <w:lang w:val="es-ES_tradnl"/>
        </w:rPr>
        <w:t xml:space="preserve"> Q2 en la primera línea horizontal del Cuadro 1 indica que la intensidad de campo es inferior al mínimo valor asignado en la planificación. En este caso, no puede garantizarse la protección contra la interferencia. Su interpretación aparece reflejada en la Fig. 2A.</w:t>
      </w:r>
    </w:p>
    <w:p w:rsidR="00E00246" w:rsidRPr="00067EBA" w:rsidRDefault="00E00246" w:rsidP="00E00246">
      <w:pPr>
        <w:rPr>
          <w:lang w:val="es-ES_tradnl"/>
        </w:rPr>
      </w:pPr>
      <w:r w:rsidRPr="00067EBA">
        <w:rPr>
          <w:lang w:val="es-ES_tradnl"/>
        </w:rPr>
        <w:t>El punto Q2 en la segunda línea horizontal del Cuadro 1 indica que se ha alcanzado el umbral QEF y puede aparecer el «efecto acantilado». Su interpretación aparece reflejada en la Fig. 2B.</w:t>
      </w:r>
    </w:p>
    <w:p w:rsidR="00E00246" w:rsidRPr="00067EBA" w:rsidRDefault="00E00246" w:rsidP="00E00246">
      <w:pPr>
        <w:rPr>
          <w:lang w:val="es-ES_tradnl"/>
        </w:rPr>
      </w:pPr>
      <w:r w:rsidRPr="00067EBA">
        <w:rPr>
          <w:lang w:val="es-ES_tradnl"/>
        </w:rPr>
        <w:t>En el caso de la Fig. 2A, es posible pasar a Q3 incrementando la potencia de transmisión o modificando el diagrama de la antena. En el caso de la Fig. 2B, es posible pasar a Q3 reduciendo la interferencia o el nivel de interferencia multitrayecto.</w:t>
      </w:r>
    </w:p>
    <w:p w:rsidR="00E00246" w:rsidRPr="00067EBA" w:rsidRDefault="00E00246" w:rsidP="00E00246">
      <w:pPr>
        <w:rPr>
          <w:lang w:val="es-ES_tradnl"/>
        </w:rPr>
      </w:pPr>
      <w:r w:rsidRPr="00067EBA">
        <w:rPr>
          <w:lang w:val="es-ES_tradnl"/>
        </w:rPr>
        <w:t xml:space="preserve">El problema es que el seguimiento de la recepción de RTDT muestra que, en cualquier punto de recepción concreto, el desvanecimiento temporal de las señales deseadas (o el aumento de las señales interferentes) genera transiciones entre las señales recibidas instantáneamente «adecuadas» e </w:t>
      </w:r>
      <w:r w:rsidRPr="00067EBA">
        <w:rPr>
          <w:lang w:val="es-ES_tradnl"/>
        </w:rPr>
        <w:lastRenderedPageBreak/>
        <w:t>«inadecuadas». Como tal, se considera que la Nota 2 presenta una región de transición en la cual la calidad de recepción no es «fiable», pero puede o no presentar una imagen visible en cualquier momento.</w:t>
      </w:r>
    </w:p>
    <w:p w:rsidR="00E00246" w:rsidRPr="00067EBA" w:rsidRDefault="00E00246" w:rsidP="00E00246">
      <w:pPr>
        <w:pStyle w:val="FigureNo"/>
        <w:rPr>
          <w:lang w:val="es-ES_tradnl"/>
        </w:rPr>
      </w:pPr>
      <w:r w:rsidRPr="00067EBA">
        <w:rPr>
          <w:lang w:val="es-ES_tradnl"/>
        </w:rPr>
        <w:t>Figura 2A</w:t>
      </w:r>
    </w:p>
    <w:p w:rsidR="00E00246" w:rsidRPr="00067EBA" w:rsidRDefault="00E00246" w:rsidP="00E00246">
      <w:pPr>
        <w:pStyle w:val="Blanc"/>
        <w:rPr>
          <w:lang w:val="es-ES_tradnl"/>
        </w:rPr>
      </w:pPr>
    </w:p>
    <w:p w:rsidR="00E00246" w:rsidRPr="00067EBA" w:rsidRDefault="00E00246" w:rsidP="00E00246">
      <w:pPr>
        <w:pStyle w:val="Figure"/>
        <w:rPr>
          <w:lang w:val="es-ES_tradnl"/>
        </w:rPr>
      </w:pPr>
      <w:r w:rsidRPr="00067EBA">
        <w:rPr>
          <w:lang w:val="es-ES_tradnl"/>
        </w:rPr>
        <w:object w:dxaOrig="6325" w:dyaOrig="4442">
          <v:shape id="_x0000_i1026" type="#_x0000_t75" style="width:371.25pt;height:260.45pt" o:ole="">
            <v:imagedata r:id="rId16" o:title=""/>
          </v:shape>
          <o:OLEObject Type="Embed" ProgID="CorelDRAW.Graphic.14" ShapeID="_x0000_i1026" DrawAspect="Content" ObjectID="_1587383927" r:id="rId17"/>
        </w:object>
      </w:r>
    </w:p>
    <w:p w:rsidR="00E00246" w:rsidRPr="00067EBA" w:rsidRDefault="00E00246" w:rsidP="00E00246">
      <w:pPr>
        <w:rPr>
          <w:lang w:val="es-ES_tradnl"/>
        </w:rPr>
      </w:pPr>
    </w:p>
    <w:p w:rsidR="00E00246" w:rsidRPr="00067EBA" w:rsidRDefault="00E00246" w:rsidP="00E00246">
      <w:pPr>
        <w:pStyle w:val="FigureNo"/>
        <w:rPr>
          <w:lang w:val="es-ES_tradnl"/>
        </w:rPr>
      </w:pPr>
      <w:r w:rsidRPr="00067EBA">
        <w:rPr>
          <w:lang w:val="es-ES_tradnl"/>
        </w:rPr>
        <w:t>Figura 2B</w:t>
      </w:r>
    </w:p>
    <w:p w:rsidR="00E00246" w:rsidRPr="00067EBA" w:rsidRDefault="00E00246" w:rsidP="00E00246">
      <w:pPr>
        <w:pStyle w:val="Blanc"/>
        <w:rPr>
          <w:lang w:val="es-ES_tradnl"/>
        </w:rPr>
      </w:pPr>
    </w:p>
    <w:p w:rsidR="00E00246" w:rsidRPr="00067EBA" w:rsidRDefault="00E00246" w:rsidP="00E00246">
      <w:pPr>
        <w:pStyle w:val="Figure"/>
        <w:rPr>
          <w:lang w:val="es-ES_tradnl"/>
        </w:rPr>
      </w:pPr>
      <w:r w:rsidRPr="00067EBA">
        <w:rPr>
          <w:lang w:val="es-ES_tradnl"/>
        </w:rPr>
        <w:object w:dxaOrig="5003" w:dyaOrig="3014">
          <v:shape id="_x0000_i1027" type="#_x0000_t75" style="width:413.85pt;height:248.55pt" o:ole="">
            <v:imagedata r:id="rId18" o:title=""/>
          </v:shape>
          <o:OLEObject Type="Embed" ProgID="CorelDRAW.Graphic.14" ShapeID="_x0000_i1027" DrawAspect="Content" ObjectID="_1587383928" r:id="rId19"/>
        </w:object>
      </w:r>
    </w:p>
    <w:p w:rsidR="00E00246" w:rsidRPr="00067EBA" w:rsidRDefault="00E00246" w:rsidP="00E00246">
      <w:pPr>
        <w:pStyle w:val="Heading2"/>
        <w:rPr>
          <w:lang w:val="es-ES_tradnl"/>
        </w:rPr>
      </w:pPr>
      <w:r w:rsidRPr="00067EBA">
        <w:rPr>
          <w:lang w:val="es-ES_tradnl"/>
        </w:rPr>
        <w:lastRenderedPageBreak/>
        <w:t>4.2</w:t>
      </w:r>
      <w:r w:rsidRPr="00067EBA">
        <w:rPr>
          <w:lang w:val="es-ES_tradnl"/>
        </w:rPr>
        <w:tab/>
        <w:t>Interpretación de la escala del Cuadro 2</w:t>
      </w:r>
    </w:p>
    <w:p w:rsidR="00E00246" w:rsidRPr="00067EBA" w:rsidRDefault="00E00246" w:rsidP="00E00246">
      <w:pPr>
        <w:rPr>
          <w:lang w:val="es-ES_tradnl"/>
        </w:rPr>
      </w:pPr>
      <w:r w:rsidRPr="00067EBA">
        <w:rPr>
          <w:lang w:val="es-ES_tradnl"/>
        </w:rPr>
        <w:t>El punto Q2 en la primera línea horizontal del Cuadro 2 indica que la intensidad de campo es inferior al mínimo valor asignado en la planificación. En este caso, no puede garantizarse la protección contra la interferencia. Su interpretación aparece reflejada en la Fig. 2A.</w:t>
      </w:r>
    </w:p>
    <w:p w:rsidR="00E00246" w:rsidRPr="00067EBA" w:rsidRDefault="00E00246" w:rsidP="00E00246">
      <w:pPr>
        <w:rPr>
          <w:szCs w:val="24"/>
          <w:lang w:val="es-ES_tradnl"/>
        </w:rPr>
      </w:pPr>
      <w:r w:rsidRPr="00067EBA">
        <w:rPr>
          <w:szCs w:val="24"/>
          <w:lang w:val="es-ES_tradnl"/>
        </w:rPr>
        <w:t xml:space="preserve">El </w:t>
      </w:r>
      <w:r w:rsidRPr="00067EBA">
        <w:rPr>
          <w:lang w:val="es-ES_tradnl"/>
        </w:rPr>
        <w:t>punto</w:t>
      </w:r>
      <w:r w:rsidRPr="00067EBA">
        <w:rPr>
          <w:szCs w:val="24"/>
          <w:lang w:val="es-ES_tradnl"/>
        </w:rPr>
        <w:t xml:space="preserve"> Q2 en la segunda línea horizontal del Cuadro 2 indica que se ha alcanzado el umbral QEF y puede aparecer el «efecto acantilado». Su interpretación aparece reflejada en la Fig. 2C.</w:t>
      </w:r>
    </w:p>
    <w:p w:rsidR="00E00246" w:rsidRPr="00067EBA" w:rsidRDefault="00E00246" w:rsidP="00E00246">
      <w:pPr>
        <w:rPr>
          <w:szCs w:val="24"/>
          <w:lang w:val="es-ES_tradnl"/>
        </w:rPr>
      </w:pPr>
      <w:r w:rsidRPr="00067EBA">
        <w:rPr>
          <w:szCs w:val="24"/>
          <w:lang w:val="es-ES_tradnl"/>
        </w:rPr>
        <w:t xml:space="preserve">En el </w:t>
      </w:r>
      <w:r w:rsidRPr="00067EBA">
        <w:rPr>
          <w:lang w:val="es-ES_tradnl"/>
        </w:rPr>
        <w:t>caso</w:t>
      </w:r>
      <w:r w:rsidRPr="00067EBA">
        <w:rPr>
          <w:szCs w:val="24"/>
          <w:lang w:val="es-ES_tradnl"/>
        </w:rPr>
        <w:t xml:space="preserve"> de la Fig. 2A, es posible pasar a la Nota Q3 incrementando la potencia de transmisión o modificando el diagrama de la antena. En el caso de la Fig. 2C, es posible pasar a Q3 reduciendo la interferencia o el nivel de interferencia multitrayecto.</w:t>
      </w:r>
    </w:p>
    <w:p w:rsidR="00E00246" w:rsidRPr="00067EBA" w:rsidRDefault="00E00246" w:rsidP="00E00246">
      <w:pPr>
        <w:pStyle w:val="FigureNo"/>
        <w:rPr>
          <w:lang w:val="es-ES_tradnl"/>
        </w:rPr>
      </w:pPr>
      <w:r w:rsidRPr="00067EBA">
        <w:rPr>
          <w:lang w:val="es-ES_tradnl"/>
        </w:rPr>
        <w:t>Figura 2C</w:t>
      </w:r>
    </w:p>
    <w:p w:rsidR="00E00246" w:rsidRPr="00067EBA" w:rsidRDefault="00E00246" w:rsidP="00E00246">
      <w:pPr>
        <w:pStyle w:val="Blanc"/>
        <w:rPr>
          <w:lang w:val="es-ES_tradnl"/>
        </w:rPr>
      </w:pPr>
    </w:p>
    <w:p w:rsidR="00E00246" w:rsidRPr="00067EBA" w:rsidRDefault="00E00246" w:rsidP="00E00246">
      <w:pPr>
        <w:pStyle w:val="Figure"/>
        <w:rPr>
          <w:lang w:val="es-ES_tradnl"/>
        </w:rPr>
      </w:pPr>
      <w:r w:rsidRPr="00067EBA">
        <w:rPr>
          <w:lang w:val="es-ES_tradnl"/>
        </w:rPr>
        <w:object w:dxaOrig="7330" w:dyaOrig="3965">
          <v:shape id="_x0000_i1028" type="#_x0000_t75" style="width:427.6pt;height:231.65pt" o:ole="">
            <v:imagedata r:id="rId20" o:title=""/>
          </v:shape>
          <o:OLEObject Type="Embed" ProgID="CorelDRAW.Graphic.14" ShapeID="_x0000_i1028" DrawAspect="Content" ObjectID="_1587383929" r:id="rId21"/>
        </w:object>
      </w:r>
    </w:p>
    <w:p w:rsidR="00E00246" w:rsidRPr="00067EBA" w:rsidRDefault="00E00246" w:rsidP="00E00246">
      <w:pPr>
        <w:pStyle w:val="Heading2"/>
        <w:rPr>
          <w:lang w:val="es-ES_tradnl"/>
        </w:rPr>
      </w:pPr>
      <w:r w:rsidRPr="00067EBA">
        <w:rPr>
          <w:lang w:val="es-ES_tradnl"/>
        </w:rPr>
        <w:t>4.3</w:t>
      </w:r>
      <w:r w:rsidRPr="00067EBA">
        <w:rPr>
          <w:lang w:val="es-ES_tradnl"/>
        </w:rPr>
        <w:tab/>
        <w:t>Interpretación de la escala del Cuadro 3</w:t>
      </w:r>
    </w:p>
    <w:p w:rsidR="00E00246" w:rsidRPr="00067EBA" w:rsidRDefault="00E00246" w:rsidP="00E00246">
      <w:pPr>
        <w:rPr>
          <w:bCs/>
          <w:szCs w:val="24"/>
          <w:lang w:val="es-ES_tradnl"/>
        </w:rPr>
      </w:pPr>
      <w:r w:rsidRPr="00067EBA">
        <w:rPr>
          <w:bCs/>
          <w:szCs w:val="24"/>
          <w:lang w:val="es-ES_tradnl"/>
        </w:rPr>
        <w:t xml:space="preserve">Es </w:t>
      </w:r>
      <w:r w:rsidRPr="00067EBA">
        <w:rPr>
          <w:lang w:val="es-ES_tradnl"/>
        </w:rPr>
        <w:t>posible</w:t>
      </w:r>
      <w:r w:rsidRPr="00067EBA">
        <w:rPr>
          <w:bCs/>
          <w:szCs w:val="24"/>
          <w:lang w:val="es-ES_tradnl"/>
        </w:rPr>
        <w:t xml:space="preserve"> representar las cinco notas del Cuadro 3 en una gráfica que muestre la relación entre la cBER y la vBER.</w:t>
      </w:r>
    </w:p>
    <w:p w:rsidR="00E00246" w:rsidRPr="00067EBA" w:rsidRDefault="00E00246" w:rsidP="00E00246">
      <w:pPr>
        <w:rPr>
          <w:lang w:val="es-ES_tradnl"/>
        </w:rPr>
      </w:pPr>
      <w:r w:rsidRPr="00067EBA">
        <w:rPr>
          <w:lang w:val="es-ES_tradnl"/>
        </w:rPr>
        <w:t>En dicha gráfica se representan las seis curvas de referencia: QEF, SFP, canal gaussiano, cBER = vBER, Q4 y Q5.</w:t>
      </w:r>
    </w:p>
    <w:p w:rsidR="00E00246" w:rsidRPr="00067EBA" w:rsidRDefault="00E00246" w:rsidP="00E00246">
      <w:pPr>
        <w:rPr>
          <w:bCs/>
          <w:szCs w:val="24"/>
          <w:lang w:val="es-ES_tradnl"/>
        </w:rPr>
      </w:pPr>
      <w:r w:rsidRPr="00067EBA">
        <w:rPr>
          <w:bCs/>
          <w:szCs w:val="24"/>
          <w:lang w:val="es-ES_tradnl"/>
        </w:rPr>
        <w:t xml:space="preserve">Las </w:t>
      </w:r>
      <w:r w:rsidRPr="00067EBA">
        <w:rPr>
          <w:lang w:val="es-ES_tradnl"/>
        </w:rPr>
        <w:t>curvas</w:t>
      </w:r>
      <w:r w:rsidRPr="00067EBA">
        <w:rPr>
          <w:bCs/>
          <w:szCs w:val="24"/>
          <w:lang w:val="es-ES_tradnl"/>
        </w:rPr>
        <w:t xml:space="preserve"> QEF y SFP se basan en la vBER y el umbral de errores visibles.</w:t>
      </w:r>
    </w:p>
    <w:p w:rsidR="00E00246" w:rsidRPr="00067EBA" w:rsidRDefault="00E00246" w:rsidP="00E00246">
      <w:pPr>
        <w:rPr>
          <w:bCs/>
          <w:szCs w:val="24"/>
          <w:lang w:val="es-ES_tradnl"/>
        </w:rPr>
      </w:pPr>
      <w:r w:rsidRPr="00067EBA">
        <w:rPr>
          <w:bCs/>
          <w:szCs w:val="24"/>
          <w:lang w:val="es-ES_tradnl"/>
        </w:rPr>
        <w:t xml:space="preserve">Las </w:t>
      </w:r>
      <w:r w:rsidRPr="00067EBA">
        <w:rPr>
          <w:lang w:val="es-ES_tradnl"/>
        </w:rPr>
        <w:t>curvas</w:t>
      </w:r>
      <w:r w:rsidRPr="00067EBA">
        <w:rPr>
          <w:bCs/>
          <w:szCs w:val="24"/>
          <w:lang w:val="es-ES_tradnl"/>
        </w:rPr>
        <w:t xml:space="preserve"> Q4 y Q5 son funciones exponenciales donde la vBER depende de la cBER:</w:t>
      </w:r>
    </w:p>
    <w:p w:rsidR="00E00246" w:rsidRPr="00067EBA" w:rsidRDefault="00E00246" w:rsidP="00E00246">
      <w:pPr>
        <w:ind w:left="708"/>
        <w:rPr>
          <w:lang w:val="es-ES_tradnl"/>
        </w:rPr>
      </w:pPr>
      <w:r w:rsidRPr="00067EBA">
        <w:rPr>
          <w:lang w:val="es-ES_tradnl"/>
        </w:rPr>
        <w:t>Curva Q4:  </w:t>
      </w:r>
      <w:r w:rsidRPr="00067EBA">
        <w:rPr>
          <w:position w:val="-10"/>
          <w:lang w:val="es-ES_tradnl"/>
        </w:rPr>
        <w:object w:dxaOrig="2480" w:dyaOrig="440">
          <v:shape id="_x0000_i1029" type="#_x0000_t75" style="width:122.7pt;height:21.9pt" o:ole="">
            <v:imagedata r:id="rId22" o:title=""/>
          </v:shape>
          <o:OLEObject Type="Embed" ProgID="Equation.3" ShapeID="_x0000_i1029" DrawAspect="Content" ObjectID="_1587383930" r:id="rId23"/>
        </w:object>
      </w:r>
    </w:p>
    <w:p w:rsidR="00E00246" w:rsidRPr="00067EBA" w:rsidRDefault="00E00246" w:rsidP="00E00246">
      <w:pPr>
        <w:ind w:left="708"/>
        <w:rPr>
          <w:bCs/>
          <w:szCs w:val="24"/>
          <w:lang w:val="es-ES_tradnl"/>
        </w:rPr>
      </w:pPr>
      <w:r w:rsidRPr="00067EBA">
        <w:rPr>
          <w:lang w:val="es-ES_tradnl"/>
        </w:rPr>
        <w:t>Curva Q5:  </w:t>
      </w:r>
      <w:r w:rsidRPr="00067EBA">
        <w:rPr>
          <w:position w:val="-10"/>
          <w:lang w:val="es-ES_tradnl"/>
        </w:rPr>
        <w:object w:dxaOrig="2820" w:dyaOrig="440">
          <v:shape id="_x0000_i1030" type="#_x0000_t75" style="width:140.85pt;height:21.9pt" o:ole="">
            <v:imagedata r:id="rId24" o:title=""/>
          </v:shape>
          <o:OLEObject Type="Embed" ProgID="Equation.3" ShapeID="_x0000_i1030" DrawAspect="Content" ObjectID="_1587383931" r:id="rId25"/>
        </w:object>
      </w:r>
    </w:p>
    <w:p w:rsidR="00E00246" w:rsidRPr="00067EBA" w:rsidRDefault="00E00246" w:rsidP="00E00246">
      <w:pPr>
        <w:rPr>
          <w:lang w:val="es-ES_tradnl"/>
        </w:rPr>
      </w:pPr>
      <w:r w:rsidRPr="00067EBA">
        <w:rPr>
          <w:lang w:val="es-ES_tradnl"/>
        </w:rPr>
        <w:t>La zona Q1 se sitúa bajo la línea de SFP; la zona Q2 está entre el SFP y la línea QEF; la zona Q3 se sitúa por encima de la línea QEF y bajo la curva Q4; la zona Q4 está entre las curvas Q4 y Q5; y la zona Q5 se sitúa por encima de la curva Q5.</w:t>
      </w:r>
    </w:p>
    <w:p w:rsidR="00E00246" w:rsidRPr="00067EBA" w:rsidRDefault="00E00246" w:rsidP="00E00246">
      <w:pPr>
        <w:pStyle w:val="FigureNo"/>
        <w:rPr>
          <w:lang w:val="es-ES_tradnl"/>
        </w:rPr>
      </w:pPr>
      <w:r w:rsidRPr="00067EBA">
        <w:rPr>
          <w:lang w:val="es-ES_tradnl"/>
        </w:rPr>
        <w:lastRenderedPageBreak/>
        <w:t>Figura 3</w:t>
      </w:r>
    </w:p>
    <w:p w:rsidR="00E00246" w:rsidRPr="00067EBA" w:rsidRDefault="00E00246" w:rsidP="00E00246">
      <w:pPr>
        <w:pStyle w:val="Blanc"/>
        <w:rPr>
          <w:lang w:val="es-ES_tradnl"/>
        </w:rPr>
      </w:pPr>
    </w:p>
    <w:p w:rsidR="00E00246" w:rsidRPr="00067EBA" w:rsidRDefault="00E00246" w:rsidP="00E00246">
      <w:pPr>
        <w:pStyle w:val="Figure"/>
        <w:rPr>
          <w:lang w:val="es-ES_tradnl"/>
        </w:rPr>
      </w:pPr>
      <w:r w:rsidRPr="00067EBA">
        <w:rPr>
          <w:lang w:val="es-ES_tradnl"/>
        </w:rPr>
        <w:object w:dxaOrig="4916" w:dyaOrig="3831">
          <v:shape id="_x0000_i1031" type="#_x0000_t75" style="width:408.2pt;height:318.7pt" o:ole="">
            <v:imagedata r:id="rId26" o:title=""/>
          </v:shape>
          <o:OLEObject Type="Embed" ProgID="CorelDRAW.Graphic.14" ShapeID="_x0000_i1031" DrawAspect="Content" ObjectID="_1587383932" r:id="rId27"/>
        </w:object>
      </w:r>
    </w:p>
    <w:p w:rsidR="00E00246" w:rsidRPr="00067EBA" w:rsidRDefault="00E00246" w:rsidP="00E00246">
      <w:pPr>
        <w:pStyle w:val="Heading1"/>
        <w:rPr>
          <w:bCs/>
          <w:lang w:val="es-ES_tradnl"/>
        </w:rPr>
      </w:pPr>
      <w:bookmarkStart w:id="11" w:name="_Toc117308795"/>
      <w:r w:rsidRPr="00067EBA">
        <w:rPr>
          <w:lang w:val="es-ES_tradnl"/>
        </w:rPr>
        <w:t>5</w:t>
      </w:r>
      <w:r w:rsidRPr="00067EBA">
        <w:rPr>
          <w:lang w:val="es-ES_tradnl"/>
        </w:rPr>
        <w:tab/>
      </w:r>
      <w:bookmarkEnd w:id="11"/>
      <w:r w:rsidRPr="00067EBA">
        <w:rPr>
          <w:lang w:val="es-ES_tradnl"/>
        </w:rPr>
        <w:t>Mediciones a altura fija</w:t>
      </w:r>
    </w:p>
    <w:p w:rsidR="00E00246" w:rsidRPr="00067EBA" w:rsidRDefault="00E00246" w:rsidP="00E00246">
      <w:pPr>
        <w:rPr>
          <w:lang w:val="es-ES_tradnl"/>
        </w:rPr>
      </w:pPr>
      <w:r w:rsidRPr="00067EBA">
        <w:rPr>
          <w:lang w:val="es-ES_tradnl"/>
        </w:rPr>
        <w:t>Cuando se realiza este tipo de medición, la antena receptora está situada en un mástil a una altura de aproximadamente 10 m sobre el nivel del suelo, de manera que la antena esté por encima de cualquier obstáculo u obstrucción local. Los resultados de las mediciones pueden reproducirse en cualquier momento con un sistema de recepción fija, que suele encontrarse en las estaciones de comprobación técnica. Las mediciones a altura fija resultan de utilidad únicamente en las evaluaciones formales, generalmente realizadas a una altura de 10 m sobre el nivel del suelo (la altura es la misma que se utiliza en el método de predicción de propagación adoptado para la planificación).</w:t>
      </w:r>
    </w:p>
    <w:p w:rsidR="00E00246" w:rsidRPr="00067EBA" w:rsidRDefault="00E00246" w:rsidP="00E00246">
      <w:pPr>
        <w:rPr>
          <w:lang w:val="es-ES_tradnl"/>
        </w:rPr>
      </w:pPr>
      <w:r w:rsidRPr="00067EBA">
        <w:rPr>
          <w:lang w:val="es-ES_tradnl"/>
        </w:rPr>
        <w:t>En situaciones reales, la intensidad de campo medida depende de la composición de fase de los diversos trayectos de recepción. Por consiguiente, el resultado final dependerá tanto de la ubicación de la antena receptora como de la variación vertical de la intensidad de campo. Utilizando antenas receptoras de media longitud de onda, pueden darse tres situaciones distintas:</w:t>
      </w:r>
    </w:p>
    <w:p w:rsidR="00E00246" w:rsidRPr="00067EBA" w:rsidRDefault="00E00246" w:rsidP="00E00246">
      <w:pPr>
        <w:pStyle w:val="enumlev1"/>
        <w:rPr>
          <w:lang w:val="es-ES_tradnl"/>
        </w:rPr>
      </w:pPr>
      <w:r w:rsidRPr="00067EBA">
        <w:rPr>
          <w:lang w:val="es-ES_tradnl"/>
        </w:rPr>
        <w:t>–</w:t>
      </w:r>
      <w:r w:rsidRPr="00067EBA">
        <w:rPr>
          <w:lang w:val="es-ES_tradnl"/>
        </w:rPr>
        <w:tab/>
        <w:t>la diferencia entre los máximos valores de la variación vertical de la intensidad de campo es inferior a la mitad de la longitud de onda: la intensidad de campo medida es equivalente al campo de trayecto directo;</w:t>
      </w:r>
    </w:p>
    <w:p w:rsidR="00E00246" w:rsidRPr="00067EBA" w:rsidRDefault="00E00246" w:rsidP="00E00246">
      <w:pPr>
        <w:pStyle w:val="enumlev1"/>
        <w:rPr>
          <w:lang w:val="es-ES_tradnl"/>
        </w:rPr>
      </w:pPr>
      <w:r w:rsidRPr="00067EBA">
        <w:rPr>
          <w:lang w:val="es-ES_tradnl"/>
        </w:rPr>
        <w:t>–</w:t>
      </w:r>
      <w:r w:rsidRPr="00067EBA">
        <w:rPr>
          <w:lang w:val="es-ES_tradnl"/>
        </w:rPr>
        <w:tab/>
        <w:t>la diferencia entre los máximos valores de la variación vertical de la intensidad de campo es superior a la mitad de la longitud de onda: la intensidad de campo medida puede ser inferior o superior al campo de trayecto directo;</w:t>
      </w:r>
    </w:p>
    <w:p w:rsidR="00E00246" w:rsidRPr="00067EBA" w:rsidRDefault="00E00246" w:rsidP="00E00246">
      <w:pPr>
        <w:pStyle w:val="enumlev1"/>
        <w:rPr>
          <w:lang w:val="es-ES_tradnl"/>
        </w:rPr>
      </w:pPr>
      <w:r w:rsidRPr="00067EBA">
        <w:rPr>
          <w:lang w:val="es-ES_tradnl"/>
        </w:rPr>
        <w:t>–</w:t>
      </w:r>
      <w:r w:rsidRPr="00067EBA">
        <w:rPr>
          <w:lang w:val="es-ES_tradnl"/>
        </w:rPr>
        <w:tab/>
        <w:t>el primer valor máximo es superior a 10 m: la intensidad de campo medida aumenta con la altura.</w:t>
      </w:r>
    </w:p>
    <w:p w:rsidR="00E00246" w:rsidRPr="00067EBA" w:rsidRDefault="00E00246" w:rsidP="00E00246">
      <w:pPr>
        <w:rPr>
          <w:lang w:val="es-ES_tradnl"/>
        </w:rPr>
      </w:pPr>
      <w:r w:rsidRPr="00067EBA">
        <w:rPr>
          <w:lang w:val="es-ES_tradnl"/>
        </w:rPr>
        <w:t xml:space="preserve">Puede realizarse la medición a altura fija para caracterizar la zona de servicio únicamente si los resultados obtienen las Notas Q4 y Q5, lo que significa que la intensidad de campo es superior a </w:t>
      </w:r>
      <w:r w:rsidRPr="00067EBA">
        <w:rPr>
          <w:i/>
          <w:lang w:val="es-ES_tradnl"/>
        </w:rPr>
        <w:t>E</w:t>
      </w:r>
      <w:r w:rsidRPr="00067EBA">
        <w:rPr>
          <w:i/>
          <w:vertAlign w:val="subscript"/>
          <w:lang w:val="es-ES_tradnl"/>
        </w:rPr>
        <w:t>mín</w:t>
      </w:r>
      <w:r w:rsidRPr="00067EBA">
        <w:rPr>
          <w:lang w:val="es-ES_tradnl"/>
        </w:rPr>
        <w:t xml:space="preserve"> y no hay perturbaciones en el canal de transmisión. En estos casos, es posible asociar el valor medido </w:t>
      </w:r>
      <w:r w:rsidRPr="00067EBA">
        <w:rPr>
          <w:lang w:val="es-ES_tradnl"/>
        </w:rPr>
        <w:lastRenderedPageBreak/>
        <w:t>con una «zona de validez». La extensión de la zona de validez debe determinarse basándose en el entorno, la distancia desde el transmisor, la variación vertical de la intensidad de campo y la altura del primer valor máximo de la intensidad de campo. La experiencia en la evaluación de señales analógicas de MFN indica que el radio de la zona de validez es de 10 km como máximo.</w:t>
      </w:r>
    </w:p>
    <w:p w:rsidR="00E00246" w:rsidRPr="00067EBA" w:rsidRDefault="00E00246" w:rsidP="00E00246">
      <w:pPr>
        <w:rPr>
          <w:b/>
          <w:bCs/>
          <w:lang w:val="es-ES_tradnl"/>
        </w:rPr>
      </w:pPr>
      <w:r w:rsidRPr="00067EBA">
        <w:rPr>
          <w:lang w:val="es-ES_tradnl"/>
        </w:rPr>
        <w:t>Los resultados de calidad objetiva Q5 y Q4 indican que el servicio evaluado ha logrado una cobertura «sobresaliente».</w:t>
      </w:r>
    </w:p>
    <w:p w:rsidR="00E00246" w:rsidRPr="00067EBA" w:rsidRDefault="00E00246" w:rsidP="00E00246">
      <w:pPr>
        <w:rPr>
          <w:lang w:val="es-ES_tradnl"/>
        </w:rPr>
      </w:pPr>
      <w:r w:rsidRPr="00067EBA">
        <w:rPr>
          <w:lang w:val="es-ES_tradnl"/>
        </w:rPr>
        <w:t>Si los resultados de calidad objetiva de la recepción son inferiores a Q4, es necesario evaluar la variación vertical de la intensidad de campo y, por último, la variación horizontal de la intensidad de campo.</w:t>
      </w:r>
    </w:p>
    <w:p w:rsidR="00E00246" w:rsidRPr="00067EBA" w:rsidRDefault="00E00246" w:rsidP="00E00246">
      <w:pPr>
        <w:rPr>
          <w:lang w:val="es-ES_tradnl"/>
        </w:rPr>
      </w:pPr>
      <w:r w:rsidRPr="00067EBA">
        <w:rPr>
          <w:lang w:val="es-ES_tradnl"/>
        </w:rPr>
        <w:t>En tal caso, o cuando se utiliza el método simplificado, ha de reducirse la extensión de la zona de validez.</w:t>
      </w:r>
    </w:p>
    <w:p w:rsidR="00E00246" w:rsidRPr="00067EBA" w:rsidRDefault="00E00246" w:rsidP="00E00246">
      <w:pPr>
        <w:rPr>
          <w:lang w:val="es-ES_tradnl"/>
        </w:rPr>
      </w:pPr>
      <w:r w:rsidRPr="00067EBA">
        <w:rPr>
          <w:lang w:val="es-ES_tradnl"/>
        </w:rPr>
        <w:t>En la SFN, la extensión de la zona de validez depende de la evaluación de la CIR. Para las redes de frecuencia única que tengan contribuciones que caigan dentro del 50% del intervalo de guarda y logren resultados de calidad objetiva de la recepción Q5 o Q4, puede utilizarse una zona máxima de 10 km.</w:t>
      </w:r>
    </w:p>
    <w:p w:rsidR="00E00246" w:rsidRPr="00067EBA" w:rsidRDefault="00E00246" w:rsidP="00E00246">
      <w:pPr>
        <w:rPr>
          <w:lang w:val="es-ES_tradnl"/>
        </w:rPr>
      </w:pPr>
      <w:r w:rsidRPr="00067EBA">
        <w:rPr>
          <w:lang w:val="es-ES_tradnl"/>
        </w:rPr>
        <w:t xml:space="preserve">Para las SFN que tengan contribuciones que caigan cerca del borde del intervalo de guarda o junto al mismo, o cuyos resultados objetivos de calidad de la recepción sean inferiores a Q4, debe tenerse en cuenta un </w:t>
      </w:r>
      <w:r w:rsidRPr="00067EBA">
        <w:rPr>
          <w:rFonts w:asciiTheme="majorBidi" w:hAnsiTheme="majorBidi" w:cstheme="majorBidi"/>
          <w:lang w:val="es-ES_tradnl"/>
        </w:rPr>
        <w:t>radio de validez menor que el antes mencionado</w:t>
      </w:r>
      <w:r w:rsidRPr="00067EBA">
        <w:rPr>
          <w:lang w:val="es-ES_tradnl"/>
        </w:rPr>
        <w:t>.</w:t>
      </w:r>
    </w:p>
    <w:p w:rsidR="00E00246" w:rsidRPr="00067EBA" w:rsidRDefault="00E00246" w:rsidP="00E00246">
      <w:pPr>
        <w:pStyle w:val="Heading1"/>
        <w:rPr>
          <w:bCs/>
          <w:lang w:val="es-ES_tradnl"/>
        </w:rPr>
      </w:pPr>
      <w:bookmarkStart w:id="12" w:name="_Toc117308796"/>
      <w:r w:rsidRPr="00067EBA">
        <w:rPr>
          <w:lang w:val="es-ES_tradnl"/>
        </w:rPr>
        <w:t>6</w:t>
      </w:r>
      <w:r w:rsidRPr="00067EBA">
        <w:rPr>
          <w:lang w:val="es-ES_tradnl"/>
        </w:rPr>
        <w:tab/>
      </w:r>
      <w:bookmarkEnd w:id="12"/>
      <w:r w:rsidRPr="00067EBA">
        <w:rPr>
          <w:lang w:val="es-ES_tradnl"/>
        </w:rPr>
        <w:t>Variación vertical de la intensidad de campo</w:t>
      </w:r>
    </w:p>
    <w:p w:rsidR="00E00246" w:rsidRPr="00067EBA" w:rsidRDefault="00E00246" w:rsidP="00E00246">
      <w:pPr>
        <w:rPr>
          <w:lang w:val="es-ES_tradnl"/>
        </w:rPr>
      </w:pPr>
      <w:r w:rsidRPr="00067EBA">
        <w:rPr>
          <w:lang w:val="es-ES_tradnl"/>
        </w:rPr>
        <w:t>La intensidad de campo y la BER cambian continuamente durante el proceso de emplazamiento de antena hasta 10 m sobre el nivel del suelo. Los valores dependen de las distintas combinaciones de trayectos y de las obstrucciones a baja altura. Si la calidad objetiva evaluada es inferior a Q4 con una antena situada a unos 10 m, es necesario verificar si se ha superado la nota de calidad objetiva Q3 durante el proceso de emplazamiento. Debe encontrarse la posición de la antena más adecuada a la recepción. La nota de calidad objetiva obtenida en este caso se registra como válida y se incluye la variación vertical (VV) en los resultados de la medición. Se ha comprobado que el radio de la zona de validez puede llegar hasta 2 km.</w:t>
      </w:r>
    </w:p>
    <w:p w:rsidR="00E00246" w:rsidRPr="00067EBA" w:rsidRDefault="00E00246" w:rsidP="00E00246">
      <w:pPr>
        <w:rPr>
          <w:lang w:val="es-ES_tradnl"/>
        </w:rPr>
      </w:pPr>
      <w:r w:rsidRPr="00067EBA">
        <w:rPr>
          <w:lang w:val="es-ES_tradnl"/>
        </w:rPr>
        <w:t>El resultado Q3 de calidad objetiva se asemeja al grado de nivel de cobertura adoptado en el sistema planificado.</w:t>
      </w:r>
    </w:p>
    <w:p w:rsidR="00E00246" w:rsidRPr="00067EBA" w:rsidRDefault="00E00246" w:rsidP="00E00246">
      <w:pPr>
        <w:pStyle w:val="Heading1"/>
        <w:rPr>
          <w:bCs/>
          <w:lang w:val="es-ES_tradnl"/>
        </w:rPr>
      </w:pPr>
      <w:bookmarkStart w:id="13" w:name="_Toc117667129"/>
      <w:r w:rsidRPr="00067EBA">
        <w:rPr>
          <w:lang w:val="es-ES_tradnl"/>
        </w:rPr>
        <w:t>7</w:t>
      </w:r>
      <w:r w:rsidRPr="00067EBA">
        <w:rPr>
          <w:lang w:val="es-ES_tradnl"/>
        </w:rPr>
        <w:tab/>
        <w:t>Variación horizontal de la intensidad de campo</w:t>
      </w:r>
      <w:bookmarkEnd w:id="13"/>
    </w:p>
    <w:p w:rsidR="00E00246" w:rsidRPr="00067EBA" w:rsidRDefault="00E00246" w:rsidP="00E00246">
      <w:pPr>
        <w:rPr>
          <w:lang w:val="es-ES_tradnl"/>
        </w:rPr>
      </w:pPr>
      <w:r w:rsidRPr="00067EBA">
        <w:rPr>
          <w:lang w:val="es-ES_tradnl"/>
        </w:rPr>
        <w:t>Si al utilizar el método de la variación vertical de la intensidad de campo la evaluación de la calidad objetiva da siempre un resultado inferior a Q3, es necesario verificar si este resultado depende de una mala elección del punto de medición o si tiene relación con la zona que se evalúa.</w:t>
      </w:r>
    </w:p>
    <w:p w:rsidR="00E00246" w:rsidRPr="00067EBA" w:rsidRDefault="00E00246" w:rsidP="00E00246">
      <w:pPr>
        <w:rPr>
          <w:lang w:val="es-ES_tradnl"/>
        </w:rPr>
      </w:pPr>
      <w:r w:rsidRPr="00067EBA">
        <w:rPr>
          <w:lang w:val="es-ES_tradnl"/>
        </w:rPr>
        <w:t>En estos casos, es necesario seleccionar otros puntos de medición cercanos al primero. Si los resultados que se obtienen en los nuevos puntos siguen dando una calidad objetiva inferior a Q3, debe registrarse como más significativo el mejor resultado obtenido así como la gama de validez relativa. La gama de validez debe ser más amplia cuanta más distancia haya entre los puntos de medición.</w:t>
      </w:r>
    </w:p>
    <w:p w:rsidR="00E00246" w:rsidRPr="00067EBA" w:rsidRDefault="00E00246" w:rsidP="00E00246">
      <w:pPr>
        <w:rPr>
          <w:lang w:val="es-ES_tradnl"/>
        </w:rPr>
      </w:pPr>
    </w:p>
    <w:p w:rsidR="00E00246" w:rsidRPr="00067EBA" w:rsidRDefault="00E00246" w:rsidP="00E00246">
      <w:pPr>
        <w:jc w:val="center"/>
        <w:rPr>
          <w:lang w:val="es-ES_tradnl"/>
        </w:rPr>
      </w:pPr>
      <w:r w:rsidRPr="00067EBA">
        <w:rPr>
          <w:lang w:val="es-ES_tradnl"/>
        </w:rPr>
        <w:t>______________</w:t>
      </w:r>
    </w:p>
    <w:p w:rsidR="00F77F28" w:rsidRDefault="00F77F28" w:rsidP="00344123">
      <w:pPr>
        <w:pStyle w:val="RecNo"/>
        <w:spacing w:before="0"/>
        <w:rPr>
          <w:lang w:val="es-ES_tradnl"/>
        </w:rPr>
      </w:pPr>
    </w:p>
    <w:sectPr w:rsidR="00F77F28" w:rsidSect="00344123">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 w:id="1">
    <w:p w:rsidR="00E00246" w:rsidRDefault="00E00246" w:rsidP="00E00246">
      <w:pPr>
        <w:pStyle w:val="FootnoteText"/>
        <w:rPr>
          <w:lang w:val="es-ES"/>
        </w:rPr>
      </w:pPr>
      <w:r>
        <w:rPr>
          <w:rStyle w:val="FootnoteReference"/>
        </w:rPr>
        <w:footnoteRef/>
      </w:r>
      <w:r>
        <w:rPr>
          <w:lang w:val="es-ES_tradnl"/>
        </w:rPr>
        <w:tab/>
        <w:t>Éste se aplica principalmente</w:t>
      </w:r>
      <w:r w:rsidRPr="004C1C54">
        <w:rPr>
          <w:lang w:val="es-ES"/>
        </w:rPr>
        <w:t xml:space="preserve"> a la recepción fija y </w:t>
      </w:r>
      <w:r>
        <w:rPr>
          <w:lang w:val="es-ES"/>
        </w:rPr>
        <w:t>en</w:t>
      </w:r>
      <w:r w:rsidRPr="004C1C54">
        <w:rPr>
          <w:lang w:val="es-ES"/>
        </w:rPr>
        <w:t xml:space="preserve"> condiciones de recepción</w:t>
      </w:r>
      <w:r>
        <w:rPr>
          <w:lang w:val="es-ES"/>
        </w:rPr>
        <w:t xml:space="preserve"> estables</w:t>
      </w:r>
      <w:r w:rsidRPr="004C1C54">
        <w:rPr>
          <w:lang w:val="es-ES"/>
        </w:rPr>
        <w:t xml:space="preserve">. </w:t>
      </w:r>
      <w:r>
        <w:rPr>
          <w:lang w:val="es-ES"/>
        </w:rPr>
        <w:t xml:space="preserve">Conviene tener muy presente </w:t>
      </w:r>
      <w:r w:rsidRPr="004C1C54">
        <w:rPr>
          <w:lang w:val="es-ES"/>
        </w:rPr>
        <w:t xml:space="preserve">la propagación troposférica </w:t>
      </w:r>
      <w:r>
        <w:rPr>
          <w:lang w:val="es-ES"/>
        </w:rPr>
        <w:t>cuando</w:t>
      </w:r>
      <w:r w:rsidRPr="004C1C54">
        <w:rPr>
          <w:lang w:val="es-ES"/>
        </w:rPr>
        <w:t xml:space="preserve"> las </w:t>
      </w:r>
      <w:r w:rsidRPr="00364E91">
        <w:rPr>
          <w:lang w:val="es-ES"/>
        </w:rPr>
        <w:t xml:space="preserve">contribuciones detectables </w:t>
      </w:r>
      <w:r>
        <w:rPr>
          <w:lang w:val="es-ES"/>
        </w:rPr>
        <w:t xml:space="preserve">caen </w:t>
      </w:r>
      <w:r w:rsidRPr="004C1C54">
        <w:rPr>
          <w:lang w:val="es-ES"/>
        </w:rPr>
        <w:t>c</w:t>
      </w:r>
      <w:r>
        <w:rPr>
          <w:lang w:val="es-ES"/>
        </w:rPr>
        <w:t xml:space="preserve">erca o </w:t>
      </w:r>
      <w:r>
        <w:rPr>
          <w:lang w:val="es-ES_tradnl"/>
        </w:rPr>
        <w:t>fuera del intervalo de guarda</w:t>
      </w:r>
      <w:r w:rsidRPr="004C1C54">
        <w:rPr>
          <w:lang w:val="es-ES"/>
        </w:rPr>
        <w:t>.</w:t>
      </w:r>
    </w:p>
    <w:p w:rsidR="00E00246" w:rsidRPr="004C1C54" w:rsidRDefault="00E00246" w:rsidP="00E00246">
      <w:pPr>
        <w:pStyle w:val="FootnoteText"/>
        <w:rPr>
          <w:lang w:val="es-ES_tradnl"/>
        </w:rPr>
      </w:pPr>
      <w:r>
        <w:rPr>
          <w:lang w:val="es-ES"/>
        </w:rPr>
        <w:tab/>
      </w:r>
      <w:r w:rsidRPr="004C1C54">
        <w:rPr>
          <w:lang w:val="es-ES"/>
        </w:rPr>
        <w:t xml:space="preserve">Para </w:t>
      </w:r>
      <w:r>
        <w:rPr>
          <w:lang w:val="es-ES"/>
        </w:rPr>
        <w:t>una</w:t>
      </w:r>
      <w:r w:rsidRPr="004C1C54">
        <w:rPr>
          <w:lang w:val="es-ES"/>
        </w:rPr>
        <w:t xml:space="preserve"> recepción fija y </w:t>
      </w:r>
      <w:r>
        <w:rPr>
          <w:lang w:val="es-ES"/>
        </w:rPr>
        <w:t>unas</w:t>
      </w:r>
      <w:r w:rsidRPr="004C1C54">
        <w:rPr>
          <w:lang w:val="es-ES"/>
        </w:rPr>
        <w:t xml:space="preserve"> condiciones de recepción</w:t>
      </w:r>
      <w:r>
        <w:rPr>
          <w:lang w:val="es-ES"/>
        </w:rPr>
        <w:t xml:space="preserve"> variables en el tiempo</w:t>
      </w:r>
      <w:r w:rsidRPr="004C1C54">
        <w:rPr>
          <w:lang w:val="es-ES"/>
        </w:rPr>
        <w:t xml:space="preserve">, </w:t>
      </w:r>
      <w:r>
        <w:rPr>
          <w:lang w:val="es-ES"/>
        </w:rPr>
        <w:t xml:space="preserve">se utiliza </w:t>
      </w:r>
      <w:r w:rsidRPr="004C1C54">
        <w:rPr>
          <w:lang w:val="es-ES"/>
        </w:rPr>
        <w:t xml:space="preserve">un método estadístico. </w:t>
      </w:r>
      <w:r>
        <w:rPr>
          <w:lang w:val="es-ES"/>
        </w:rPr>
        <w:t>Han de tomarse v</w:t>
      </w:r>
      <w:r w:rsidRPr="004C1C54">
        <w:rPr>
          <w:lang w:val="es-ES"/>
        </w:rPr>
        <w:t>arias muestras de</w:t>
      </w:r>
      <w:r>
        <w:rPr>
          <w:lang w:val="es-ES"/>
        </w:rPr>
        <w:t xml:space="preserve"> la</w:t>
      </w:r>
      <w:r w:rsidRPr="004C1C54">
        <w:rPr>
          <w:lang w:val="es-ES"/>
        </w:rPr>
        <w:t xml:space="preserve"> </w:t>
      </w:r>
      <w:r>
        <w:rPr>
          <w:lang w:val="es-ES"/>
        </w:rPr>
        <w:t xml:space="preserve">intensidad de </w:t>
      </w:r>
      <w:r w:rsidRPr="004C1C54">
        <w:rPr>
          <w:lang w:val="es-ES"/>
        </w:rPr>
        <w:t>campo y</w:t>
      </w:r>
      <w:r>
        <w:rPr>
          <w:lang w:val="es-ES"/>
        </w:rPr>
        <w:t xml:space="preserve"> la</w:t>
      </w:r>
      <w:r w:rsidRPr="004C1C54">
        <w:rPr>
          <w:lang w:val="es-ES"/>
        </w:rPr>
        <w:t xml:space="preserve"> BER </w:t>
      </w:r>
      <w:r>
        <w:rPr>
          <w:lang w:val="es-ES"/>
        </w:rPr>
        <w:t>durante</w:t>
      </w:r>
      <w:r w:rsidRPr="004C1C54">
        <w:rPr>
          <w:lang w:val="es-ES"/>
        </w:rPr>
        <w:t xml:space="preserve"> un per</w:t>
      </w:r>
      <w:r>
        <w:rPr>
          <w:lang w:val="es-ES"/>
        </w:rPr>
        <w:t>i</w:t>
      </w:r>
      <w:r w:rsidRPr="004C1C54">
        <w:rPr>
          <w:lang w:val="es-ES"/>
        </w:rPr>
        <w:t xml:space="preserve">odo </w:t>
      </w:r>
      <w:r>
        <w:rPr>
          <w:lang w:val="es-ES"/>
        </w:rPr>
        <w:t>de</w:t>
      </w:r>
      <w:r w:rsidRPr="004C1C54">
        <w:rPr>
          <w:lang w:val="es-ES"/>
        </w:rPr>
        <w:t xml:space="preserve"> tiempo significativo y</w:t>
      </w:r>
      <w:r>
        <w:rPr>
          <w:lang w:val="es-ES"/>
        </w:rPr>
        <w:t xml:space="preserve"> se </w:t>
      </w:r>
      <w:r w:rsidRPr="0032775A">
        <w:rPr>
          <w:lang w:val="es-ES_tradnl"/>
        </w:rPr>
        <w:t>deben calcular</w:t>
      </w:r>
      <w:r w:rsidRPr="004C1C54">
        <w:rPr>
          <w:lang w:val="es-ES"/>
        </w:rPr>
        <w:t xml:space="preserve"> </w:t>
      </w:r>
      <w:r>
        <w:rPr>
          <w:lang w:val="es-ES"/>
        </w:rPr>
        <w:t xml:space="preserve">los </w:t>
      </w:r>
      <w:r>
        <w:rPr>
          <w:lang w:val="es-ES_tradnl"/>
        </w:rPr>
        <w:t>valores de</w:t>
      </w:r>
      <w:r w:rsidRPr="0032775A">
        <w:rPr>
          <w:lang w:val="es-ES_tradnl"/>
        </w:rPr>
        <w:t xml:space="preserve"> Q </w:t>
      </w:r>
      <w:r w:rsidRPr="004C1C54">
        <w:rPr>
          <w:lang w:val="es-ES"/>
        </w:rPr>
        <w:t xml:space="preserve">para cada muestra. </w:t>
      </w:r>
      <w:r>
        <w:rPr>
          <w:lang w:val="es-ES"/>
        </w:rPr>
        <w:t xml:space="preserve">El valor </w:t>
      </w:r>
      <w:r w:rsidRPr="004C1C54">
        <w:rPr>
          <w:lang w:val="es-ES"/>
        </w:rPr>
        <w:t xml:space="preserve">Q superado </w:t>
      </w:r>
      <w:r>
        <w:rPr>
          <w:lang w:val="es-ES"/>
        </w:rPr>
        <w:t>durante</w:t>
      </w:r>
      <w:r w:rsidRPr="004C1C54">
        <w:rPr>
          <w:lang w:val="es-ES"/>
        </w:rPr>
        <w:t xml:space="preserve"> más de un porcentaje </w:t>
      </w:r>
      <w:r>
        <w:rPr>
          <w:lang w:val="es-ES"/>
        </w:rPr>
        <w:t>de</w:t>
      </w:r>
      <w:r w:rsidRPr="004C1C54">
        <w:rPr>
          <w:lang w:val="es-ES"/>
        </w:rPr>
        <w:t xml:space="preserve"> tiempo determinado (por ejemplo</w:t>
      </w:r>
      <w:r>
        <w:rPr>
          <w:lang w:val="es-ES"/>
        </w:rPr>
        <w:t>, el</w:t>
      </w:r>
      <w:r w:rsidRPr="004C1C54">
        <w:rPr>
          <w:lang w:val="es-ES"/>
        </w:rPr>
        <w:t xml:space="preserve"> 90%) </w:t>
      </w:r>
      <w:r>
        <w:rPr>
          <w:lang w:val="es-ES"/>
        </w:rPr>
        <w:t>de</w:t>
      </w:r>
      <w:r w:rsidRPr="004C1C54">
        <w:rPr>
          <w:lang w:val="es-ES"/>
        </w:rPr>
        <w:t xml:space="preserve"> las muestras </w:t>
      </w:r>
      <w:r>
        <w:rPr>
          <w:lang w:val="es-ES"/>
        </w:rPr>
        <w:t>representa</w:t>
      </w:r>
      <w:r w:rsidRPr="004C1C54">
        <w:rPr>
          <w:lang w:val="es-ES"/>
        </w:rPr>
        <w:t xml:space="preserve"> el valor de la calidad de </w:t>
      </w:r>
      <w:r>
        <w:rPr>
          <w:lang w:val="es-ES"/>
        </w:rPr>
        <w:t xml:space="preserve">la </w:t>
      </w:r>
      <w:r w:rsidRPr="004C1C54">
        <w:rPr>
          <w:lang w:val="es-ES"/>
        </w:rPr>
        <w:t>cobertura.</w:t>
      </w:r>
    </w:p>
  </w:footnote>
  <w:footnote w:id="2">
    <w:p w:rsidR="00E00246" w:rsidRPr="00364E91" w:rsidRDefault="00E00246" w:rsidP="00E00246">
      <w:pPr>
        <w:pStyle w:val="FootnoteText"/>
        <w:rPr>
          <w:lang w:val="es-ES_tradnl"/>
        </w:rPr>
      </w:pPr>
      <w:r>
        <w:rPr>
          <w:rStyle w:val="FootnoteReference"/>
        </w:rPr>
        <w:footnoteRef/>
      </w:r>
      <w:r w:rsidRPr="00CB5F42">
        <w:rPr>
          <w:lang w:val="es-ES_tradnl"/>
        </w:rPr>
        <w:tab/>
      </w:r>
      <w:r w:rsidRPr="00627E83">
        <w:rPr>
          <w:lang w:val="es-ES_tradnl"/>
        </w:rPr>
        <w:t>El mínimo valor aceptable de MER</w:t>
      </w:r>
      <w:r>
        <w:rPr>
          <w:lang w:val="es-ES_tradnl"/>
        </w:rPr>
        <w:t xml:space="preserve"> se incluye en la </w:t>
      </w:r>
      <w:r w:rsidRPr="00364E91">
        <w:rPr>
          <w:lang w:val="es-ES_tradnl"/>
        </w:rPr>
        <w:t>especificación</w:t>
      </w:r>
      <w:r>
        <w:rPr>
          <w:lang w:val="es-ES_tradnl"/>
        </w:rPr>
        <w:t xml:space="preserve"> de compra de los transmisores.</w:t>
      </w:r>
    </w:p>
  </w:footnote>
  <w:footnote w:id="3">
    <w:p w:rsidR="00E00246" w:rsidRPr="00A61A8D" w:rsidRDefault="00E00246" w:rsidP="00E00246">
      <w:pPr>
        <w:pStyle w:val="FootnoteText"/>
        <w:rPr>
          <w:lang w:val="es-ES_tradnl"/>
        </w:rPr>
      </w:pPr>
      <w:r>
        <w:rPr>
          <w:rStyle w:val="FootnoteReference"/>
        </w:rPr>
        <w:footnoteRef/>
      </w:r>
      <w:r w:rsidRPr="00A61A8D">
        <w:rPr>
          <w:lang w:val="es-ES_tradnl"/>
        </w:rPr>
        <w:tab/>
      </w:r>
      <w:r w:rsidRPr="00730A2B">
        <w:rPr>
          <w:lang w:val="es-ES_tradnl"/>
        </w:rPr>
        <w:t>Véase el §</w:t>
      </w:r>
      <w:r>
        <w:rPr>
          <w:lang w:val="es-ES_tradnl"/>
        </w:rPr>
        <w:t xml:space="preserve"> 4 para acrónimos, valores fijos e interpretación de la escala de los cuadros.</w:t>
      </w:r>
    </w:p>
  </w:footnote>
  <w:footnote w:id="4">
    <w:p w:rsidR="00E00246" w:rsidRPr="00931079" w:rsidRDefault="00E00246" w:rsidP="00E00246">
      <w:pPr>
        <w:pStyle w:val="FootnoteText"/>
        <w:rPr>
          <w:lang w:val="es-ES_tradnl"/>
        </w:rPr>
      </w:pPr>
      <w:r>
        <w:rPr>
          <w:rStyle w:val="FootnoteReference"/>
        </w:rPr>
        <w:footnoteRef/>
      </w:r>
      <w:r>
        <w:rPr>
          <w:lang w:val="es-ES_tradnl"/>
        </w:rPr>
        <w:tab/>
      </w:r>
      <w:r w:rsidRPr="00DE7C75">
        <w:rPr>
          <w:lang w:val="es-ES_tradnl"/>
        </w:rPr>
        <w:t>E</w:t>
      </w:r>
      <w:r w:rsidRPr="00DE7C75">
        <w:rPr>
          <w:vertAlign w:val="subscript"/>
          <w:lang w:val="es-ES_tradnl"/>
        </w:rPr>
        <w:t>xx</w:t>
      </w:r>
      <w:r w:rsidRPr="00D37A0E">
        <w:rPr>
          <w:lang w:val="es-ES_tradnl"/>
        </w:rPr>
        <w:t xml:space="preserve"> </w:t>
      </w:r>
      <w:r w:rsidRPr="00D37A0E">
        <w:rPr>
          <w:lang w:val="es-ES"/>
        </w:rPr>
        <w:t xml:space="preserve">puede </w:t>
      </w:r>
      <w:r>
        <w:rPr>
          <w:lang w:val="es-ES"/>
        </w:rPr>
        <w:t xml:space="preserve">asimismo </w:t>
      </w:r>
      <w:r w:rsidRPr="00D37A0E">
        <w:rPr>
          <w:lang w:val="es-ES"/>
        </w:rPr>
        <w:t>representar los valores de planificación elegido</w:t>
      </w:r>
      <w:r w:rsidR="0015754B">
        <w:rPr>
          <w:lang w:val="es-ES"/>
        </w:rPr>
        <w:t>s por las administraciones (por </w:t>
      </w:r>
      <w:r w:rsidRPr="00D37A0E">
        <w:rPr>
          <w:lang w:val="es-ES"/>
        </w:rPr>
        <w:t>ejemplo,</w:t>
      </w:r>
      <w:r>
        <w:rPr>
          <w:lang w:val="es-ES"/>
        </w:rPr>
        <w:t> </w:t>
      </w:r>
      <w:r w:rsidRPr="00D37A0E">
        <w:rPr>
          <w:lang w:val="es-ES"/>
        </w:rPr>
        <w:t>E</w:t>
      </w:r>
      <w:r w:rsidRPr="00D37A0E">
        <w:rPr>
          <w:vertAlign w:val="subscript"/>
          <w:lang w:val="es-ES"/>
        </w:rPr>
        <w:t>95</w:t>
      </w:r>
      <w:r w:rsidRPr="00D37A0E">
        <w:rPr>
          <w:lang w:val="es-ES"/>
        </w:rPr>
        <w:t>).</w:t>
      </w:r>
    </w:p>
  </w:footnote>
  <w:footnote w:id="5">
    <w:p w:rsidR="00E00246" w:rsidRPr="00BB5E21" w:rsidRDefault="00E00246" w:rsidP="00E00246">
      <w:pPr>
        <w:pStyle w:val="FootnoteText"/>
        <w:rPr>
          <w:lang w:val="es-ES_tradnl"/>
        </w:rPr>
      </w:pPr>
      <w:r>
        <w:rPr>
          <w:rStyle w:val="FootnoteReference"/>
        </w:rPr>
        <w:footnoteRef/>
      </w:r>
      <w:r>
        <w:rPr>
          <w:lang w:val="es-ES_tradnl"/>
        </w:rPr>
        <w:tab/>
      </w:r>
      <w:r w:rsidRPr="00A16250">
        <w:rPr>
          <w:lang w:val="es-ES_tradnl"/>
        </w:rPr>
        <w:t>E</w:t>
      </w:r>
      <w:r w:rsidRPr="00A16250">
        <w:rPr>
          <w:vertAlign w:val="subscript"/>
          <w:lang w:val="es-ES_tradnl"/>
        </w:rPr>
        <w:t>xx</w:t>
      </w:r>
      <w:r w:rsidRPr="00A16250">
        <w:rPr>
          <w:lang w:val="es-ES_tradnl"/>
        </w:rPr>
        <w:t xml:space="preserve"> también puede representar el valor de planificación es</w:t>
      </w:r>
      <w:r>
        <w:rPr>
          <w:lang w:val="es-ES_tradnl"/>
        </w:rPr>
        <w:t>cogido por las administraciones.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527519">
      <w:rPr>
        <w:rStyle w:val="PageNumber"/>
        <w:b/>
        <w:bCs/>
        <w:noProof/>
      </w:rPr>
      <w:t>ii</w:t>
    </w:r>
    <w:r>
      <w:rPr>
        <w:rStyle w:val="PageNumber"/>
        <w:b/>
        <w:bCs/>
      </w:rPr>
      <w:fldChar w:fldCharType="end"/>
    </w:r>
    <w:r w:rsidR="00987473">
      <w:tab/>
    </w:r>
    <w:r w:rsidR="00F858EE">
      <w:fldChar w:fldCharType="begin"/>
    </w:r>
    <w:r w:rsidR="00F858EE">
      <w:instrText xml:space="preserve"> DOCPROPERTY "Header" \* MERGEFORMAT </w:instrText>
    </w:r>
    <w:r w:rsidR="00F858EE">
      <w:fldChar w:fldCharType="separate"/>
    </w:r>
    <w:r w:rsidR="00527519" w:rsidRPr="00527519">
      <w:rPr>
        <w:b/>
        <w:bCs/>
      </w:rPr>
      <w:t xml:space="preserve">Rec. </w:t>
    </w:r>
    <w:r w:rsidR="00F858EE">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527519">
      <w:rPr>
        <w:b/>
        <w:bCs/>
        <w:noProof/>
      </w:rPr>
      <w:t>UIT-R  BT.1735-3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F858EE">
      <w:fldChar w:fldCharType="begin"/>
    </w:r>
    <w:r w:rsidR="00F858EE">
      <w:instrText xml:space="preserve"> DOCPROPERTY "Header" \* MERGEFORMAT </w:instrText>
    </w:r>
    <w:r w:rsidR="00F858EE">
      <w:fldChar w:fldCharType="separate"/>
    </w:r>
    <w:r w:rsidR="00527519" w:rsidRPr="00527519">
      <w:rPr>
        <w:b/>
        <w:bCs/>
      </w:rPr>
      <w:t xml:space="preserve">Rec. </w:t>
    </w:r>
    <w:r w:rsidR="00F858EE">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527519">
      <w:rPr>
        <w:b/>
        <w:bCs/>
        <w:noProof/>
      </w:rPr>
      <w:t>UIT-R  BT.1735-3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F858EE">
      <w:rPr>
        <w:rStyle w:val="PageNumber"/>
        <w:b/>
        <w:bCs/>
        <w:noProof/>
        <w:lang w:val="en-US"/>
      </w:rPr>
      <w:t>6</w:t>
    </w:r>
    <w:r>
      <w:rPr>
        <w:rStyle w:val="PageNumber"/>
        <w:b/>
        <w:bCs/>
      </w:rPr>
      <w:fldChar w:fldCharType="end"/>
    </w:r>
    <w:r w:rsidR="00987473">
      <w:rPr>
        <w:lang w:val="en-US"/>
      </w:rPr>
      <w:tab/>
    </w:r>
    <w:r w:rsidR="00F858EE">
      <w:fldChar w:fldCharType="begin"/>
    </w:r>
    <w:r w:rsidR="00F858EE">
      <w:instrText xml:space="preserve"> DOCPROPERTY "Header" \* MERGEFORMAT </w:instrText>
    </w:r>
    <w:r w:rsidR="00F858EE">
      <w:fldChar w:fldCharType="separate"/>
    </w:r>
    <w:r w:rsidR="00527519" w:rsidRPr="00527519">
      <w:rPr>
        <w:b/>
        <w:bCs/>
        <w:lang w:val="en-US"/>
      </w:rPr>
      <w:t xml:space="preserve">Rec. </w:t>
    </w:r>
    <w:r w:rsidR="00F858EE">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F858EE">
      <w:rPr>
        <w:b/>
        <w:bCs/>
        <w:noProof/>
      </w:rPr>
      <w:t>UIT-R  BT.1735-3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F858EE">
      <w:fldChar w:fldCharType="begin"/>
    </w:r>
    <w:r w:rsidR="00F858EE">
      <w:instrText xml:space="preserve"> DOCPROPERTY "Header" \* MERGEFORMAT </w:instrText>
    </w:r>
    <w:r w:rsidR="00F858EE">
      <w:fldChar w:fldCharType="separate"/>
    </w:r>
    <w:r w:rsidR="00527519" w:rsidRPr="00527519">
      <w:rPr>
        <w:b/>
        <w:bCs/>
      </w:rPr>
      <w:t xml:space="preserve">Rec. </w:t>
    </w:r>
    <w:r w:rsidR="00F858EE">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F858EE">
      <w:rPr>
        <w:b/>
        <w:bCs/>
        <w:noProof/>
      </w:rPr>
      <w:t>UIT-R  BT.1735-3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F858EE">
      <w:rPr>
        <w:rStyle w:val="PageNumber"/>
        <w:b/>
        <w:bCs/>
        <w:noProof/>
      </w:rPr>
      <w:t>5</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5754B"/>
    <w:rsid w:val="001A704B"/>
    <w:rsid w:val="001B3F9D"/>
    <w:rsid w:val="001E29DB"/>
    <w:rsid w:val="001F5054"/>
    <w:rsid w:val="00227CED"/>
    <w:rsid w:val="0025326C"/>
    <w:rsid w:val="00284AF8"/>
    <w:rsid w:val="002D76C4"/>
    <w:rsid w:val="0032222F"/>
    <w:rsid w:val="00344123"/>
    <w:rsid w:val="00360BEA"/>
    <w:rsid w:val="00363854"/>
    <w:rsid w:val="00364BE9"/>
    <w:rsid w:val="003829F0"/>
    <w:rsid w:val="004156D2"/>
    <w:rsid w:val="004452A9"/>
    <w:rsid w:val="00474E13"/>
    <w:rsid w:val="004B5CC6"/>
    <w:rsid w:val="00527519"/>
    <w:rsid w:val="005726A7"/>
    <w:rsid w:val="005777F3"/>
    <w:rsid w:val="005F43D1"/>
    <w:rsid w:val="00607D68"/>
    <w:rsid w:val="00633625"/>
    <w:rsid w:val="006553B9"/>
    <w:rsid w:val="006818DE"/>
    <w:rsid w:val="00684CC5"/>
    <w:rsid w:val="006A3F8C"/>
    <w:rsid w:val="006C7692"/>
    <w:rsid w:val="00721270"/>
    <w:rsid w:val="007A0B78"/>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7FDF"/>
    <w:rsid w:val="00B44E24"/>
    <w:rsid w:val="00B4535E"/>
    <w:rsid w:val="00C058C9"/>
    <w:rsid w:val="00C225E7"/>
    <w:rsid w:val="00C23DBD"/>
    <w:rsid w:val="00C86E03"/>
    <w:rsid w:val="00CC6858"/>
    <w:rsid w:val="00CD276D"/>
    <w:rsid w:val="00DF4176"/>
    <w:rsid w:val="00E00246"/>
    <w:rsid w:val="00E35FD1"/>
    <w:rsid w:val="00E40FF2"/>
    <w:rsid w:val="00E830BF"/>
    <w:rsid w:val="00EB1B24"/>
    <w:rsid w:val="00F16D82"/>
    <w:rsid w:val="00F35BEB"/>
    <w:rsid w:val="00F77F28"/>
    <w:rsid w:val="00F858EE"/>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F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A3F8C"/>
    <w:pPr>
      <w:keepNext/>
      <w:keepLines/>
      <w:spacing w:before="480"/>
      <w:ind w:left="794" w:hanging="794"/>
      <w:outlineLvl w:val="0"/>
    </w:pPr>
    <w:rPr>
      <w:b/>
    </w:rPr>
  </w:style>
  <w:style w:type="paragraph" w:styleId="Heading2">
    <w:name w:val="heading 2"/>
    <w:basedOn w:val="Heading1"/>
    <w:next w:val="Normal"/>
    <w:link w:val="Heading2Char"/>
    <w:qFormat/>
    <w:rsid w:val="006A3F8C"/>
    <w:pPr>
      <w:spacing w:before="320"/>
      <w:outlineLvl w:val="1"/>
    </w:pPr>
  </w:style>
  <w:style w:type="paragraph" w:styleId="Heading3">
    <w:name w:val="heading 3"/>
    <w:basedOn w:val="Heading1"/>
    <w:next w:val="Normal"/>
    <w:qFormat/>
    <w:rsid w:val="006A3F8C"/>
    <w:pPr>
      <w:spacing w:before="200"/>
      <w:outlineLvl w:val="2"/>
    </w:pPr>
  </w:style>
  <w:style w:type="paragraph" w:styleId="Heading4">
    <w:name w:val="heading 4"/>
    <w:basedOn w:val="Heading3"/>
    <w:next w:val="Normal"/>
    <w:qFormat/>
    <w:rsid w:val="006A3F8C"/>
    <w:pPr>
      <w:tabs>
        <w:tab w:val="clear" w:pos="794"/>
        <w:tab w:val="left" w:pos="992"/>
      </w:tabs>
      <w:ind w:left="992" w:hanging="992"/>
      <w:outlineLvl w:val="3"/>
    </w:pPr>
  </w:style>
  <w:style w:type="paragraph" w:styleId="Heading5">
    <w:name w:val="heading 5"/>
    <w:basedOn w:val="Heading4"/>
    <w:next w:val="Normal"/>
    <w:qFormat/>
    <w:rsid w:val="006A3F8C"/>
    <w:pPr>
      <w:outlineLvl w:val="4"/>
    </w:pPr>
  </w:style>
  <w:style w:type="paragraph" w:styleId="Heading6">
    <w:name w:val="heading 6"/>
    <w:basedOn w:val="Heading4"/>
    <w:next w:val="Normal"/>
    <w:qFormat/>
    <w:rsid w:val="006A3F8C"/>
    <w:pPr>
      <w:tabs>
        <w:tab w:val="clear" w:pos="992"/>
        <w:tab w:val="clear" w:pos="1191"/>
      </w:tabs>
      <w:ind w:left="1588" w:hanging="1588"/>
      <w:outlineLvl w:val="5"/>
    </w:pPr>
  </w:style>
  <w:style w:type="paragraph" w:styleId="Heading7">
    <w:name w:val="heading 7"/>
    <w:basedOn w:val="Heading6"/>
    <w:next w:val="Normal"/>
    <w:qFormat/>
    <w:rsid w:val="006A3F8C"/>
    <w:pPr>
      <w:outlineLvl w:val="6"/>
    </w:pPr>
  </w:style>
  <w:style w:type="paragraph" w:styleId="Heading8">
    <w:name w:val="heading 8"/>
    <w:basedOn w:val="Heading6"/>
    <w:next w:val="Normal"/>
    <w:qFormat/>
    <w:rsid w:val="006A3F8C"/>
    <w:pPr>
      <w:outlineLvl w:val="7"/>
    </w:pPr>
  </w:style>
  <w:style w:type="paragraph" w:styleId="Heading9">
    <w:name w:val="heading 9"/>
    <w:basedOn w:val="Heading6"/>
    <w:next w:val="Normal"/>
    <w:qFormat/>
    <w:rsid w:val="006A3F8C"/>
    <w:pPr>
      <w:jc w:val="left"/>
      <w:outlineLvl w:val="8"/>
    </w:pPr>
  </w:style>
  <w:style w:type="character" w:default="1" w:styleId="DefaultParagraphFont">
    <w:name w:val="Default Paragraph Font"/>
    <w:uiPriority w:val="1"/>
    <w:semiHidden/>
    <w:unhideWhenUsed/>
    <w:rsid w:val="006A3F8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3F8C"/>
  </w:style>
  <w:style w:type="paragraph" w:styleId="Header">
    <w:name w:val="header"/>
    <w:basedOn w:val="Normal"/>
    <w:rsid w:val="006A3F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A3F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A3F8C"/>
  </w:style>
  <w:style w:type="paragraph" w:customStyle="1" w:styleId="Headingb">
    <w:name w:val="Heading_b"/>
    <w:basedOn w:val="Heading3"/>
    <w:next w:val="Normal"/>
    <w:rsid w:val="006A3F8C"/>
    <w:pPr>
      <w:spacing w:before="160"/>
      <w:ind w:left="0" w:firstLine="0"/>
      <w:outlineLvl w:val="9"/>
    </w:pPr>
  </w:style>
  <w:style w:type="paragraph" w:customStyle="1" w:styleId="Headingi">
    <w:name w:val="Heading_i"/>
    <w:basedOn w:val="Heading3"/>
    <w:next w:val="Normal"/>
    <w:rsid w:val="006A3F8C"/>
    <w:pPr>
      <w:spacing w:before="160"/>
      <w:ind w:left="0" w:firstLine="0"/>
    </w:pPr>
    <w:rPr>
      <w:b w:val="0"/>
      <w:i/>
    </w:rPr>
  </w:style>
  <w:style w:type="character" w:customStyle="1" w:styleId="href">
    <w:name w:val="href"/>
    <w:basedOn w:val="DefaultParagraphFont"/>
    <w:rsid w:val="006A3F8C"/>
  </w:style>
  <w:style w:type="paragraph" w:customStyle="1" w:styleId="enumlev1">
    <w:name w:val="enumlev1"/>
    <w:basedOn w:val="Normal"/>
    <w:rsid w:val="006A3F8C"/>
    <w:pPr>
      <w:spacing w:before="80"/>
      <w:ind w:left="794" w:hanging="794"/>
    </w:pPr>
  </w:style>
  <w:style w:type="paragraph" w:customStyle="1" w:styleId="enumlev2">
    <w:name w:val="enumlev2"/>
    <w:basedOn w:val="enumlev1"/>
    <w:rsid w:val="006A3F8C"/>
    <w:pPr>
      <w:ind w:left="1191" w:hanging="397"/>
    </w:pPr>
  </w:style>
  <w:style w:type="paragraph" w:customStyle="1" w:styleId="enumlev3">
    <w:name w:val="enumlev3"/>
    <w:basedOn w:val="enumlev2"/>
    <w:rsid w:val="006A3F8C"/>
    <w:pPr>
      <w:ind w:left="1588"/>
    </w:pPr>
  </w:style>
  <w:style w:type="paragraph" w:customStyle="1" w:styleId="Normalaftertitle">
    <w:name w:val="Normal_after_title"/>
    <w:basedOn w:val="Normal"/>
    <w:next w:val="Normal"/>
    <w:rsid w:val="006A3F8C"/>
    <w:pPr>
      <w:spacing w:before="320"/>
    </w:pPr>
  </w:style>
  <w:style w:type="paragraph" w:customStyle="1" w:styleId="Note">
    <w:name w:val="Note"/>
    <w:basedOn w:val="Normal"/>
    <w:rsid w:val="006A3F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A3F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A3F8C"/>
    <w:pPr>
      <w:keepNext/>
      <w:keepLines/>
      <w:spacing w:before="240"/>
      <w:jc w:val="center"/>
    </w:pPr>
    <w:rPr>
      <w:b/>
      <w:sz w:val="28"/>
    </w:rPr>
  </w:style>
  <w:style w:type="paragraph" w:customStyle="1" w:styleId="Recref">
    <w:name w:val="Rec_ref"/>
    <w:basedOn w:val="Normal"/>
    <w:next w:val="Recdate"/>
    <w:rsid w:val="006A3F8C"/>
    <w:pPr>
      <w:jc w:val="center"/>
    </w:pPr>
  </w:style>
  <w:style w:type="paragraph" w:customStyle="1" w:styleId="Recdate">
    <w:name w:val="Rec_date"/>
    <w:basedOn w:val="Recref"/>
    <w:next w:val="Normalaftertitle"/>
    <w:rsid w:val="006A3F8C"/>
    <w:pPr>
      <w:jc w:val="right"/>
    </w:pPr>
  </w:style>
  <w:style w:type="paragraph" w:customStyle="1" w:styleId="HeadingSum">
    <w:name w:val="Heading_Sum"/>
    <w:basedOn w:val="Headingb"/>
    <w:next w:val="Normal"/>
    <w:autoRedefine/>
    <w:rsid w:val="006A3F8C"/>
    <w:pPr>
      <w:spacing w:before="240"/>
    </w:pPr>
    <w:rPr>
      <w:sz w:val="22"/>
      <w:lang w:val="es-ES_tradnl"/>
    </w:rPr>
  </w:style>
  <w:style w:type="paragraph" w:customStyle="1" w:styleId="AnnexNoTitle">
    <w:name w:val="Annex_NoTitle"/>
    <w:basedOn w:val="Normal"/>
    <w:next w:val="Normalaftertitle"/>
    <w:rsid w:val="006A3F8C"/>
    <w:pPr>
      <w:keepNext/>
      <w:keepLines/>
      <w:spacing w:before="480" w:after="80"/>
      <w:jc w:val="center"/>
    </w:pPr>
    <w:rPr>
      <w:b/>
      <w:sz w:val="28"/>
    </w:rPr>
  </w:style>
  <w:style w:type="paragraph" w:customStyle="1" w:styleId="AppendixNoTitle">
    <w:name w:val="Appendix_NoTitle"/>
    <w:basedOn w:val="AnnexNoTitle"/>
    <w:next w:val="Normal"/>
    <w:rsid w:val="006A3F8C"/>
  </w:style>
  <w:style w:type="paragraph" w:customStyle="1" w:styleId="Tablefin">
    <w:name w:val="Table_fin"/>
    <w:basedOn w:val="Normal"/>
    <w:next w:val="Normal"/>
    <w:rsid w:val="006A3F8C"/>
    <w:pPr>
      <w:spacing w:before="0"/>
    </w:pPr>
    <w:rPr>
      <w:sz w:val="20"/>
      <w:lang w:val="en-GB"/>
    </w:rPr>
  </w:style>
  <w:style w:type="paragraph" w:customStyle="1" w:styleId="Tablehead">
    <w:name w:val="Table_head"/>
    <w:basedOn w:val="Normal"/>
    <w:next w:val="Normal"/>
    <w:link w:val="TableheadChar"/>
    <w:rsid w:val="006A3F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A3F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A3F8C"/>
    <w:pPr>
      <w:keepNext/>
      <w:spacing w:before="360" w:after="120"/>
      <w:jc w:val="center"/>
    </w:pPr>
  </w:style>
  <w:style w:type="paragraph" w:customStyle="1" w:styleId="Tabletext">
    <w:name w:val="Table_text"/>
    <w:basedOn w:val="Normal"/>
    <w:link w:val="TabletextChar"/>
    <w:rsid w:val="006A3F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A3F8C"/>
    <w:pPr>
      <w:tabs>
        <w:tab w:val="clear" w:pos="1191"/>
        <w:tab w:val="clear" w:pos="1588"/>
        <w:tab w:val="clear" w:pos="1985"/>
        <w:tab w:val="center" w:pos="4820"/>
        <w:tab w:val="right" w:pos="9639"/>
      </w:tabs>
    </w:pPr>
  </w:style>
  <w:style w:type="paragraph" w:customStyle="1" w:styleId="Equationlegend">
    <w:name w:val="Equation_legend"/>
    <w:basedOn w:val="NormalIndent"/>
    <w:rsid w:val="006A3F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A3F8C"/>
    <w:pPr>
      <w:ind w:left="794"/>
    </w:pPr>
  </w:style>
  <w:style w:type="paragraph" w:customStyle="1" w:styleId="Figurelegend">
    <w:name w:val="Figure_legend"/>
    <w:basedOn w:val="Normal"/>
    <w:rsid w:val="006A3F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6A3F8C"/>
    <w:pPr>
      <w:keepNext/>
      <w:keepLines/>
      <w:spacing w:before="480" w:after="80"/>
      <w:jc w:val="center"/>
    </w:pPr>
    <w:rPr>
      <w:caps/>
      <w:sz w:val="18"/>
    </w:rPr>
  </w:style>
  <w:style w:type="paragraph" w:customStyle="1" w:styleId="Figuretitle">
    <w:name w:val="Figure_title"/>
    <w:basedOn w:val="Normal"/>
    <w:next w:val="Figure"/>
    <w:rsid w:val="006A3F8C"/>
    <w:pPr>
      <w:keepNext/>
      <w:spacing w:before="0" w:after="120"/>
      <w:jc w:val="center"/>
    </w:pPr>
    <w:rPr>
      <w:rFonts w:ascii="Times New Roman Bold" w:hAnsi="Times New Roman Bold"/>
      <w:b/>
      <w:sz w:val="18"/>
    </w:rPr>
  </w:style>
  <w:style w:type="paragraph" w:customStyle="1" w:styleId="Figure">
    <w:name w:val="Figure"/>
    <w:basedOn w:val="FigureNo"/>
    <w:next w:val="Normal"/>
    <w:rsid w:val="006A3F8C"/>
    <w:pPr>
      <w:keepNext w:val="0"/>
      <w:spacing w:before="0" w:after="240"/>
    </w:pPr>
  </w:style>
  <w:style w:type="paragraph" w:customStyle="1" w:styleId="tocpart">
    <w:name w:val="tocpart"/>
    <w:basedOn w:val="Normal"/>
    <w:rsid w:val="006A3F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A3F8C"/>
    <w:pPr>
      <w:keepNext/>
      <w:keepLines/>
      <w:spacing w:before="480"/>
      <w:jc w:val="center"/>
    </w:pPr>
    <w:rPr>
      <w:sz w:val="28"/>
    </w:rPr>
  </w:style>
  <w:style w:type="paragraph" w:customStyle="1" w:styleId="Arttitle">
    <w:name w:val="Art_title"/>
    <w:basedOn w:val="Normal"/>
    <w:next w:val="Normalaftertitle"/>
    <w:rsid w:val="006A3F8C"/>
    <w:pPr>
      <w:keepNext/>
      <w:keepLines/>
      <w:spacing w:before="240"/>
      <w:jc w:val="center"/>
    </w:pPr>
    <w:rPr>
      <w:b/>
      <w:sz w:val="28"/>
    </w:rPr>
  </w:style>
  <w:style w:type="paragraph" w:customStyle="1" w:styleId="Blanc">
    <w:name w:val="Blanc"/>
    <w:basedOn w:val="Normal"/>
    <w:next w:val="Tabletext"/>
    <w:rsid w:val="006A3F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A3F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A3F8C"/>
    <w:pPr>
      <w:keepNext/>
      <w:keepLines/>
      <w:spacing w:before="160"/>
      <w:ind w:left="794"/>
    </w:pPr>
    <w:rPr>
      <w:i/>
    </w:rPr>
  </w:style>
  <w:style w:type="paragraph" w:customStyle="1" w:styleId="ChapNo">
    <w:name w:val="Chap_No"/>
    <w:basedOn w:val="ArtNo"/>
    <w:next w:val="Chaptitle"/>
    <w:rsid w:val="006A3F8C"/>
    <w:rPr>
      <w:b/>
    </w:rPr>
  </w:style>
  <w:style w:type="paragraph" w:customStyle="1" w:styleId="Chaptitle">
    <w:name w:val="Chap_title"/>
    <w:basedOn w:val="Arttitle"/>
    <w:next w:val="Normalaftertitle"/>
    <w:rsid w:val="006A3F8C"/>
  </w:style>
  <w:style w:type="character" w:styleId="FootnoteReference">
    <w:name w:val="footnote reference"/>
    <w:basedOn w:val="DefaultParagraphFont"/>
    <w:rsid w:val="006A3F8C"/>
    <w:rPr>
      <w:position w:val="6"/>
      <w:sz w:val="18"/>
    </w:rPr>
  </w:style>
  <w:style w:type="paragraph" w:styleId="FootnoteText">
    <w:name w:val="footnote text"/>
    <w:basedOn w:val="Normal"/>
    <w:link w:val="FootnoteTextChar"/>
    <w:rsid w:val="006A3F8C"/>
    <w:pPr>
      <w:keepLines/>
      <w:tabs>
        <w:tab w:val="left" w:pos="255"/>
      </w:tabs>
      <w:ind w:left="255" w:hanging="255"/>
    </w:pPr>
    <w:rPr>
      <w:sz w:val="22"/>
    </w:rPr>
  </w:style>
  <w:style w:type="paragraph" w:styleId="Index1">
    <w:name w:val="index 1"/>
    <w:basedOn w:val="Normal"/>
    <w:next w:val="Normal"/>
    <w:semiHidden/>
    <w:rsid w:val="006A3F8C"/>
  </w:style>
  <w:style w:type="paragraph" w:styleId="Index2">
    <w:name w:val="index 2"/>
    <w:basedOn w:val="Normal"/>
    <w:next w:val="Normal"/>
    <w:semiHidden/>
    <w:rsid w:val="006A3F8C"/>
    <w:pPr>
      <w:ind w:left="283"/>
    </w:pPr>
  </w:style>
  <w:style w:type="paragraph" w:styleId="Index3">
    <w:name w:val="index 3"/>
    <w:basedOn w:val="Normal"/>
    <w:next w:val="Normal"/>
    <w:semiHidden/>
    <w:rsid w:val="006A3F8C"/>
    <w:pPr>
      <w:ind w:left="566"/>
    </w:pPr>
  </w:style>
  <w:style w:type="paragraph" w:styleId="IndexHeading">
    <w:name w:val="index heading"/>
    <w:basedOn w:val="Normal"/>
    <w:next w:val="Index1"/>
    <w:semiHidden/>
    <w:rsid w:val="006A3F8C"/>
  </w:style>
  <w:style w:type="paragraph" w:customStyle="1" w:styleId="Line">
    <w:name w:val="Line"/>
    <w:basedOn w:val="Normal"/>
    <w:next w:val="Normal"/>
    <w:rsid w:val="006A3F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A3F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A3F8C"/>
  </w:style>
  <w:style w:type="paragraph" w:customStyle="1" w:styleId="Partref">
    <w:name w:val="Part_ref"/>
    <w:basedOn w:val="Normal"/>
    <w:next w:val="Normal"/>
    <w:rsid w:val="006A3F8C"/>
    <w:pPr>
      <w:keepNext/>
      <w:keepLines/>
      <w:spacing w:after="280"/>
      <w:jc w:val="center"/>
    </w:pPr>
  </w:style>
  <w:style w:type="paragraph" w:customStyle="1" w:styleId="Parttitle">
    <w:name w:val="Part_title"/>
    <w:basedOn w:val="Normal"/>
    <w:next w:val="Normalaftertitle"/>
    <w:rsid w:val="006A3F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A3F8C"/>
  </w:style>
  <w:style w:type="paragraph" w:customStyle="1" w:styleId="QuestionNo">
    <w:name w:val="Question_No"/>
    <w:basedOn w:val="RecNo"/>
    <w:next w:val="Normal"/>
    <w:rsid w:val="006A3F8C"/>
  </w:style>
  <w:style w:type="paragraph" w:customStyle="1" w:styleId="Questionref">
    <w:name w:val="Question_ref"/>
    <w:basedOn w:val="Recref"/>
    <w:next w:val="Questiondate"/>
    <w:rsid w:val="006A3F8C"/>
  </w:style>
  <w:style w:type="paragraph" w:customStyle="1" w:styleId="Questiontitle">
    <w:name w:val="Question_title"/>
    <w:basedOn w:val="Normal"/>
    <w:next w:val="Questionref"/>
    <w:rsid w:val="006A3F8C"/>
  </w:style>
  <w:style w:type="paragraph" w:customStyle="1" w:styleId="Reftext">
    <w:name w:val="Ref_text"/>
    <w:basedOn w:val="Normal"/>
    <w:rsid w:val="006A3F8C"/>
    <w:pPr>
      <w:ind w:left="794" w:hanging="794"/>
    </w:pPr>
    <w:rPr>
      <w:sz w:val="22"/>
    </w:rPr>
  </w:style>
  <w:style w:type="paragraph" w:customStyle="1" w:styleId="Reftitle">
    <w:name w:val="Ref_title"/>
    <w:basedOn w:val="Normal"/>
    <w:next w:val="Reftext"/>
    <w:rsid w:val="006A3F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A3F8C"/>
  </w:style>
  <w:style w:type="paragraph" w:customStyle="1" w:styleId="RepNo">
    <w:name w:val="Rep_No"/>
    <w:basedOn w:val="RecNo"/>
    <w:next w:val="Reptitle"/>
    <w:rsid w:val="006A3F8C"/>
  </w:style>
  <w:style w:type="paragraph" w:customStyle="1" w:styleId="Reptitle">
    <w:name w:val="Rep_title"/>
    <w:basedOn w:val="Rectitle"/>
    <w:next w:val="Repref"/>
    <w:rsid w:val="006A3F8C"/>
  </w:style>
  <w:style w:type="paragraph" w:customStyle="1" w:styleId="Repref">
    <w:name w:val="Rep_ref"/>
    <w:basedOn w:val="Recref"/>
    <w:next w:val="Repdate"/>
    <w:rsid w:val="006A3F8C"/>
  </w:style>
  <w:style w:type="paragraph" w:customStyle="1" w:styleId="Resdate">
    <w:name w:val="Res_date"/>
    <w:basedOn w:val="Recdate"/>
    <w:next w:val="Normalaftertitle"/>
    <w:rsid w:val="006A3F8C"/>
  </w:style>
  <w:style w:type="paragraph" w:customStyle="1" w:styleId="ResNo">
    <w:name w:val="Res_No"/>
    <w:basedOn w:val="RecNo"/>
    <w:next w:val="Restitle"/>
    <w:rsid w:val="006A3F8C"/>
  </w:style>
  <w:style w:type="paragraph" w:customStyle="1" w:styleId="Restitle">
    <w:name w:val="Res_title"/>
    <w:basedOn w:val="Normal"/>
    <w:next w:val="Resref"/>
    <w:rsid w:val="006A3F8C"/>
    <w:pPr>
      <w:spacing w:before="240"/>
      <w:jc w:val="center"/>
    </w:pPr>
    <w:rPr>
      <w:b/>
      <w:sz w:val="28"/>
    </w:rPr>
  </w:style>
  <w:style w:type="paragraph" w:customStyle="1" w:styleId="Resref">
    <w:name w:val="Res_ref"/>
    <w:basedOn w:val="Recref"/>
    <w:next w:val="Resdate"/>
    <w:rsid w:val="006A3F8C"/>
  </w:style>
  <w:style w:type="paragraph" w:customStyle="1" w:styleId="SectionNo">
    <w:name w:val="Section_No"/>
    <w:basedOn w:val="Normal"/>
    <w:next w:val="Normal"/>
    <w:rsid w:val="006A3F8C"/>
  </w:style>
  <w:style w:type="paragraph" w:customStyle="1" w:styleId="Sectiontitle">
    <w:name w:val="Section_title"/>
    <w:basedOn w:val="Normal"/>
    <w:next w:val="Normalaftertitle"/>
    <w:rsid w:val="006A3F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A3F8C"/>
    <w:pPr>
      <w:tabs>
        <w:tab w:val="clear" w:pos="794"/>
        <w:tab w:val="clear" w:pos="1191"/>
        <w:tab w:val="clear" w:pos="1588"/>
        <w:tab w:val="clear" w:pos="1985"/>
        <w:tab w:val="right" w:pos="9611"/>
      </w:tabs>
    </w:pPr>
    <w:rPr>
      <w:i/>
    </w:rPr>
  </w:style>
  <w:style w:type="paragraph" w:styleId="TOC1">
    <w:name w:val="toc 1"/>
    <w:basedOn w:val="Normal"/>
    <w:semiHidden/>
    <w:rsid w:val="006A3F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A3F8C"/>
    <w:pPr>
      <w:tabs>
        <w:tab w:val="clear" w:pos="567"/>
        <w:tab w:val="left" w:pos="1276"/>
      </w:tabs>
      <w:spacing w:before="160"/>
      <w:ind w:left="1276" w:hanging="709"/>
    </w:pPr>
  </w:style>
  <w:style w:type="paragraph" w:styleId="TOC3">
    <w:name w:val="toc 3"/>
    <w:basedOn w:val="TOC2"/>
    <w:semiHidden/>
    <w:rsid w:val="006A3F8C"/>
    <w:pPr>
      <w:tabs>
        <w:tab w:val="clear" w:pos="1276"/>
        <w:tab w:val="left" w:pos="2155"/>
      </w:tabs>
      <w:ind w:left="2155" w:hanging="879"/>
    </w:pPr>
  </w:style>
  <w:style w:type="paragraph" w:styleId="TOC4">
    <w:name w:val="toc 4"/>
    <w:basedOn w:val="TOC3"/>
    <w:semiHidden/>
    <w:rsid w:val="006A3F8C"/>
    <w:pPr>
      <w:tabs>
        <w:tab w:val="left" w:pos="3261"/>
      </w:tabs>
      <w:spacing w:before="80"/>
      <w:ind w:left="3261" w:hanging="993"/>
    </w:pPr>
  </w:style>
  <w:style w:type="paragraph" w:styleId="TOC5">
    <w:name w:val="toc 5"/>
    <w:basedOn w:val="TOC4"/>
    <w:semiHidden/>
    <w:rsid w:val="006A3F8C"/>
  </w:style>
  <w:style w:type="paragraph" w:styleId="TOC6">
    <w:name w:val="toc 6"/>
    <w:basedOn w:val="TOC4"/>
    <w:semiHidden/>
    <w:rsid w:val="006A3F8C"/>
  </w:style>
  <w:style w:type="paragraph" w:styleId="TOC7">
    <w:name w:val="toc 7"/>
    <w:basedOn w:val="TOC4"/>
    <w:semiHidden/>
    <w:rsid w:val="006A3F8C"/>
  </w:style>
  <w:style w:type="paragraph" w:styleId="TOC8">
    <w:name w:val="toc 8"/>
    <w:basedOn w:val="TOC4"/>
    <w:semiHidden/>
    <w:rsid w:val="006A3F8C"/>
  </w:style>
  <w:style w:type="paragraph" w:customStyle="1" w:styleId="Annexref">
    <w:name w:val="Annex_ref"/>
    <w:basedOn w:val="Normal"/>
    <w:next w:val="Normalaftertitle"/>
    <w:rsid w:val="006A3F8C"/>
    <w:pPr>
      <w:keepNext/>
      <w:keepLines/>
      <w:spacing w:after="280"/>
      <w:jc w:val="center"/>
    </w:pPr>
  </w:style>
  <w:style w:type="paragraph" w:customStyle="1" w:styleId="Appendixref">
    <w:name w:val="Appendix_ref"/>
    <w:basedOn w:val="Annexref"/>
    <w:next w:val="Normalaftertitle"/>
    <w:rsid w:val="006A3F8C"/>
  </w:style>
  <w:style w:type="paragraph" w:customStyle="1" w:styleId="Tabletitle">
    <w:name w:val="Table_title"/>
    <w:basedOn w:val="Normal"/>
    <w:next w:val="Tablehead"/>
    <w:rsid w:val="006A3F8C"/>
    <w:pPr>
      <w:keepNext/>
      <w:spacing w:before="0" w:after="120"/>
      <w:jc w:val="center"/>
    </w:pPr>
    <w:rPr>
      <w:b/>
    </w:rPr>
  </w:style>
  <w:style w:type="paragraph" w:customStyle="1" w:styleId="Summary">
    <w:name w:val="Summary"/>
    <w:basedOn w:val="Normal"/>
    <w:next w:val="Normalaftertitle"/>
    <w:autoRedefine/>
    <w:rsid w:val="006A3F8C"/>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6A3F8C"/>
    <w:pPr>
      <w:ind w:left="-85" w:firstLine="0"/>
    </w:pPr>
    <w:rPr>
      <w:lang w:val="en-US"/>
    </w:rPr>
  </w:style>
  <w:style w:type="character" w:customStyle="1" w:styleId="Heading2Char">
    <w:name w:val="Heading 2 Char"/>
    <w:basedOn w:val="DefaultParagraphFont"/>
    <w:link w:val="Heading2"/>
    <w:rsid w:val="00E00246"/>
    <w:rPr>
      <w:b/>
      <w:sz w:val="24"/>
      <w:lang w:val="fr-FR" w:eastAsia="en-US"/>
    </w:rPr>
  </w:style>
  <w:style w:type="character" w:customStyle="1" w:styleId="TabletextChar">
    <w:name w:val="Table_text Char"/>
    <w:link w:val="Tabletext"/>
    <w:locked/>
    <w:rsid w:val="00E00246"/>
    <w:rPr>
      <w:sz w:val="22"/>
      <w:lang w:val="fr-FR" w:eastAsia="en-US"/>
    </w:rPr>
  </w:style>
  <w:style w:type="character" w:customStyle="1" w:styleId="FigureNo0">
    <w:name w:val="Figure_No (文字)"/>
    <w:link w:val="FigureNo"/>
    <w:locked/>
    <w:rsid w:val="00E00246"/>
    <w:rPr>
      <w:caps/>
      <w:sz w:val="18"/>
      <w:lang w:val="fr-FR" w:eastAsia="en-US"/>
    </w:rPr>
  </w:style>
  <w:style w:type="character" w:customStyle="1" w:styleId="FootnoteTextChar">
    <w:name w:val="Footnote Text Char"/>
    <w:basedOn w:val="DefaultParagraphFont"/>
    <w:link w:val="FootnoteText"/>
    <w:rsid w:val="00E00246"/>
    <w:rPr>
      <w:sz w:val="22"/>
      <w:lang w:val="fr-FR" w:eastAsia="en-US"/>
    </w:rPr>
  </w:style>
  <w:style w:type="character" w:customStyle="1" w:styleId="TableheadChar">
    <w:name w:val="Table_head Char"/>
    <w:link w:val="Tablehead"/>
    <w:locked/>
    <w:rsid w:val="00E00246"/>
    <w:rPr>
      <w:b/>
      <w:sz w:val="22"/>
      <w:lang w:val="fr-FR" w:eastAsia="en-US"/>
    </w:rPr>
  </w:style>
  <w:style w:type="character" w:customStyle="1" w:styleId="Heading1Char">
    <w:name w:val="Heading 1 Char"/>
    <w:basedOn w:val="DefaultParagraphFont"/>
    <w:link w:val="Heading1"/>
    <w:rsid w:val="00E0024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14</Pages>
  <Words>4859</Words>
  <Characters>24459</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29260</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8</cp:revision>
  <cp:lastPrinted>2018-05-09T13:02:00Z</cp:lastPrinted>
  <dcterms:created xsi:type="dcterms:W3CDTF">2018-05-09T12:43:00Z</dcterms:created>
  <dcterms:modified xsi:type="dcterms:W3CDTF">2018-05-09T13:11:00Z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