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344" w:rsidRDefault="00C85344">
      <w:bookmarkStart w:id="0" w:name="Doc_title"/>
    </w:p>
    <w:p w:rsidR="00C85344" w:rsidRDefault="00C85344"/>
    <w:p w:rsidR="00C85344" w:rsidRDefault="00C85344"/>
    <w:p w:rsidR="00C85344" w:rsidRDefault="00C85344"/>
    <w:p w:rsidR="00C85344" w:rsidRDefault="00C85344"/>
    <w:p w:rsidR="00C85344" w:rsidRDefault="00C85344"/>
    <w:p w:rsidR="00C85344" w:rsidRDefault="00C85344"/>
    <w:p w:rsidR="00C85344" w:rsidRDefault="00C85344"/>
    <w:p w:rsidR="00C85344" w:rsidRDefault="00C85344"/>
    <w:p w:rsidR="00C85344" w:rsidRDefault="00C85344"/>
    <w:p w:rsidR="00C85344" w:rsidRDefault="00C85344"/>
    <w:p w:rsidR="00C85344" w:rsidRDefault="00C85344"/>
    <w:tbl>
      <w:tblPr>
        <w:tblW w:w="10089" w:type="dxa"/>
        <w:tblLook w:val="01E0"/>
      </w:tblPr>
      <w:tblGrid>
        <w:gridCol w:w="10089"/>
      </w:tblGrid>
      <w:tr w:rsidR="00C85344" w:rsidRPr="00A443C2">
        <w:tc>
          <w:tcPr>
            <w:tcW w:w="10089" w:type="dxa"/>
          </w:tcPr>
          <w:p w:rsidR="00C85344" w:rsidRPr="00B033C8" w:rsidRDefault="00C85344" w:rsidP="0014322C">
            <w:pPr>
              <w:spacing w:before="380" w:line="280" w:lineRule="exact"/>
              <w:jc w:val="right"/>
              <w:rPr>
                <w:rFonts w:ascii="Tahoma" w:hAnsi="Tahoma" w:cs="Tahoma"/>
                <w:b/>
                <w:bCs/>
                <w:iCs/>
                <w:color w:val="243285"/>
                <w:sz w:val="32"/>
                <w:szCs w:val="32"/>
                <w:lang w:val="en-US"/>
              </w:rPr>
            </w:pPr>
          </w:p>
          <w:p w:rsidR="00C85344" w:rsidRPr="00A443C2" w:rsidRDefault="00C85344" w:rsidP="00C8534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1728-1</w:t>
            </w:r>
          </w:p>
          <w:p w:rsidR="00C85344" w:rsidRPr="00A443C2" w:rsidRDefault="00C85344" w:rsidP="00C8534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03</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C85344" w:rsidRPr="00F54FBD">
        <w:tc>
          <w:tcPr>
            <w:tcW w:w="10089" w:type="dxa"/>
          </w:tcPr>
          <w:p w:rsidR="00C85344" w:rsidRPr="0043089F" w:rsidRDefault="00C85344" w:rsidP="0014322C">
            <w:pPr>
              <w:spacing w:before="80" w:line="500" w:lineRule="exact"/>
              <w:jc w:val="right"/>
              <w:rPr>
                <w:rFonts w:ascii="Tahoma" w:hAnsi="Tahoma" w:cs="Tahoma"/>
                <w:b/>
                <w:bCs/>
                <w:iCs/>
                <w:color w:val="243285"/>
                <w:sz w:val="44"/>
                <w:szCs w:val="44"/>
              </w:rPr>
            </w:pPr>
          </w:p>
          <w:p w:rsidR="00C85344" w:rsidRPr="00C85344" w:rsidRDefault="00C85344" w:rsidP="00C85344">
            <w:pPr>
              <w:spacing w:before="80" w:line="500" w:lineRule="exact"/>
              <w:jc w:val="right"/>
              <w:rPr>
                <w:rFonts w:ascii="Tahoma" w:hAnsi="Tahoma" w:cs="Tahoma"/>
                <w:b/>
                <w:bCs/>
                <w:color w:val="243285"/>
                <w:sz w:val="44"/>
                <w:szCs w:val="44"/>
              </w:rPr>
            </w:pPr>
            <w:r w:rsidRPr="00C85344">
              <w:rPr>
                <w:rFonts w:ascii="Tahoma" w:hAnsi="Tahoma" w:cs="Tahoma"/>
                <w:b/>
                <w:bCs/>
                <w:color w:val="243285"/>
                <w:sz w:val="44"/>
                <w:szCs w:val="44"/>
              </w:rPr>
              <w:t>Lignes directrices relatives à</w:t>
            </w:r>
            <w:r>
              <w:rPr>
                <w:rFonts w:ascii="Tahoma" w:hAnsi="Tahoma" w:cs="Tahoma"/>
                <w:b/>
                <w:bCs/>
                <w:color w:val="243285"/>
                <w:sz w:val="44"/>
                <w:szCs w:val="44"/>
              </w:rPr>
              <w:t xml:space="preserve"> </w:t>
            </w:r>
            <w:r w:rsidRPr="00C85344">
              <w:rPr>
                <w:rFonts w:ascii="Tahoma" w:hAnsi="Tahoma" w:cs="Tahoma"/>
                <w:b/>
                <w:bCs/>
                <w:color w:val="243285"/>
                <w:sz w:val="44"/>
                <w:szCs w:val="44"/>
              </w:rPr>
              <w:t>l'utilisation</w:t>
            </w:r>
            <w:r>
              <w:rPr>
                <w:rFonts w:ascii="Tahoma" w:hAnsi="Tahoma" w:cs="Tahoma"/>
                <w:b/>
                <w:bCs/>
                <w:color w:val="243285"/>
                <w:sz w:val="44"/>
                <w:szCs w:val="44"/>
              </w:rPr>
              <w:t xml:space="preserve"> </w:t>
            </w:r>
            <w:r>
              <w:rPr>
                <w:rFonts w:ascii="Tahoma" w:hAnsi="Tahoma" w:cs="Tahoma"/>
                <w:b/>
                <w:bCs/>
                <w:color w:val="243285"/>
                <w:sz w:val="44"/>
                <w:szCs w:val="44"/>
              </w:rPr>
              <w:br/>
            </w:r>
            <w:r w:rsidRPr="00C85344">
              <w:rPr>
                <w:rFonts w:ascii="Tahoma" w:hAnsi="Tahoma" w:cs="Tahoma"/>
                <w:b/>
                <w:bCs/>
                <w:color w:val="243285"/>
                <w:sz w:val="44"/>
                <w:szCs w:val="44"/>
              </w:rPr>
              <w:t>des écrans plats en</w:t>
            </w:r>
            <w:r>
              <w:rPr>
                <w:rFonts w:ascii="Tahoma" w:hAnsi="Tahoma" w:cs="Tahoma"/>
                <w:b/>
                <w:bCs/>
                <w:color w:val="243285"/>
                <w:sz w:val="44"/>
                <w:szCs w:val="44"/>
              </w:rPr>
              <w:t xml:space="preserve"> </w:t>
            </w:r>
            <w:r w:rsidRPr="00C85344">
              <w:rPr>
                <w:rFonts w:ascii="Tahoma" w:hAnsi="Tahoma" w:cs="Tahoma"/>
                <w:b/>
                <w:bCs/>
                <w:color w:val="243285"/>
                <w:sz w:val="44"/>
                <w:szCs w:val="44"/>
              </w:rPr>
              <w:t>production</w:t>
            </w:r>
            <w:r>
              <w:rPr>
                <w:rFonts w:ascii="Tahoma" w:hAnsi="Tahoma" w:cs="Tahoma"/>
                <w:b/>
                <w:bCs/>
                <w:color w:val="243285"/>
                <w:sz w:val="44"/>
                <w:szCs w:val="44"/>
              </w:rPr>
              <w:t xml:space="preserve"> </w:t>
            </w:r>
            <w:r w:rsidRPr="00C85344">
              <w:rPr>
                <w:rFonts w:ascii="Tahoma" w:hAnsi="Tahoma" w:cs="Tahoma"/>
                <w:b/>
                <w:bCs/>
                <w:color w:val="243285"/>
                <w:sz w:val="44"/>
                <w:szCs w:val="44"/>
              </w:rPr>
              <w:t>et postproduction</w:t>
            </w:r>
            <w:r>
              <w:rPr>
                <w:rFonts w:ascii="Tahoma" w:hAnsi="Tahoma" w:cs="Tahoma"/>
                <w:b/>
                <w:bCs/>
                <w:color w:val="243285"/>
                <w:sz w:val="44"/>
                <w:szCs w:val="44"/>
              </w:rPr>
              <w:t xml:space="preserve"> </w:t>
            </w:r>
            <w:r w:rsidRPr="00C85344">
              <w:rPr>
                <w:rFonts w:ascii="Tahoma" w:hAnsi="Tahoma" w:cs="Tahoma"/>
                <w:b/>
                <w:bCs/>
                <w:color w:val="243285"/>
                <w:sz w:val="44"/>
                <w:szCs w:val="44"/>
              </w:rPr>
              <w:t>des</w:t>
            </w:r>
            <w:r>
              <w:rPr>
                <w:rFonts w:ascii="Tahoma" w:hAnsi="Tahoma" w:cs="Tahoma"/>
                <w:b/>
                <w:bCs/>
                <w:color w:val="243285"/>
                <w:sz w:val="44"/>
                <w:szCs w:val="44"/>
              </w:rPr>
              <w:t xml:space="preserve"> </w:t>
            </w:r>
            <w:r w:rsidRPr="00C85344">
              <w:rPr>
                <w:rFonts w:ascii="Tahoma" w:hAnsi="Tahoma" w:cs="Tahoma"/>
                <w:b/>
                <w:bCs/>
                <w:color w:val="243285"/>
                <w:sz w:val="44"/>
                <w:szCs w:val="44"/>
              </w:rPr>
              <w:t xml:space="preserve">programmes </w:t>
            </w:r>
            <w:r>
              <w:rPr>
                <w:rFonts w:ascii="Tahoma" w:hAnsi="Tahoma" w:cs="Tahoma"/>
                <w:b/>
                <w:bCs/>
                <w:color w:val="243285"/>
                <w:sz w:val="44"/>
                <w:szCs w:val="44"/>
              </w:rPr>
              <w:br/>
            </w:r>
            <w:r w:rsidRPr="00C85344">
              <w:rPr>
                <w:rFonts w:ascii="Tahoma" w:hAnsi="Tahoma" w:cs="Tahoma"/>
                <w:b/>
                <w:bCs/>
                <w:color w:val="243285"/>
                <w:sz w:val="44"/>
                <w:szCs w:val="44"/>
              </w:rPr>
              <w:t>de télévision</w:t>
            </w:r>
          </w:p>
          <w:p w:rsidR="00C85344" w:rsidRPr="0043089F" w:rsidRDefault="00C85344"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C85344" w:rsidRPr="00F54FBD">
        <w:tc>
          <w:tcPr>
            <w:tcW w:w="10089" w:type="dxa"/>
          </w:tcPr>
          <w:p w:rsidR="00C85344" w:rsidRPr="00F54FBD" w:rsidRDefault="00C85344" w:rsidP="0014322C">
            <w:pPr>
              <w:spacing w:before="80" w:line="280" w:lineRule="exact"/>
              <w:ind w:right="640"/>
              <w:rPr>
                <w:rFonts w:ascii="Tahoma" w:hAnsi="Tahoma" w:cs="Tahoma"/>
                <w:b/>
                <w:bCs/>
                <w:iCs/>
                <w:color w:val="243285"/>
                <w:sz w:val="32"/>
                <w:szCs w:val="32"/>
              </w:rPr>
            </w:pPr>
          </w:p>
          <w:p w:rsidR="00C85344" w:rsidRPr="00F54FBD" w:rsidRDefault="00C85344" w:rsidP="0014322C">
            <w:pPr>
              <w:spacing w:before="80" w:line="280" w:lineRule="exact"/>
              <w:ind w:right="640"/>
              <w:rPr>
                <w:rFonts w:ascii="Tahoma" w:hAnsi="Tahoma" w:cs="Tahoma"/>
                <w:b/>
                <w:bCs/>
                <w:iCs/>
                <w:color w:val="243285"/>
                <w:sz w:val="32"/>
                <w:szCs w:val="32"/>
              </w:rPr>
            </w:pPr>
          </w:p>
          <w:p w:rsidR="00C85344" w:rsidRPr="00F54FBD" w:rsidRDefault="00C85344" w:rsidP="0014322C">
            <w:pPr>
              <w:spacing w:before="80" w:after="180" w:line="360" w:lineRule="exact"/>
              <w:ind w:right="720"/>
              <w:rPr>
                <w:rFonts w:ascii="Tahoma" w:hAnsi="Tahoma" w:cs="Tahoma"/>
                <w:b/>
                <w:bCs/>
                <w:iCs/>
                <w:color w:val="243285"/>
                <w:sz w:val="36"/>
                <w:szCs w:val="36"/>
              </w:rPr>
            </w:pPr>
          </w:p>
          <w:p w:rsidR="00C85344" w:rsidRPr="00F54FBD" w:rsidRDefault="00C85344"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C85344" w:rsidRPr="0043089F" w:rsidRDefault="00C85344"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C85344" w:rsidRPr="00F54FBD" w:rsidRDefault="00C85344" w:rsidP="0014322C">
      <w:pPr>
        <w:spacing w:before="80"/>
        <w:rPr>
          <w:i/>
          <w:sz w:val="22"/>
        </w:rPr>
      </w:pPr>
    </w:p>
    <w:p w:rsidR="00C85344" w:rsidRPr="00F54FBD" w:rsidRDefault="00C85344" w:rsidP="0014322C">
      <w:pPr>
        <w:spacing w:before="80"/>
        <w:rPr>
          <w:i/>
          <w:sz w:val="22"/>
        </w:rPr>
      </w:pPr>
    </w:p>
    <w:p w:rsidR="00C85344" w:rsidRPr="00F54FBD" w:rsidRDefault="00C85344" w:rsidP="0014322C">
      <w:pPr>
        <w:spacing w:before="80"/>
        <w:rPr>
          <w:i/>
          <w:sz w:val="22"/>
        </w:rPr>
      </w:pPr>
    </w:p>
    <w:p w:rsidR="00C85344" w:rsidRPr="00F54FBD" w:rsidRDefault="00C85344" w:rsidP="0014322C">
      <w:pPr>
        <w:spacing w:before="80"/>
        <w:rPr>
          <w:i/>
          <w:sz w:val="22"/>
        </w:rPr>
      </w:pPr>
    </w:p>
    <w:p w:rsidR="00C85344" w:rsidRPr="00F54FBD" w:rsidRDefault="00C85344" w:rsidP="0014322C">
      <w:pPr>
        <w:spacing w:before="80"/>
        <w:rPr>
          <w:i/>
          <w:sz w:val="22"/>
        </w:rPr>
      </w:pPr>
    </w:p>
    <w:p w:rsidR="00C85344" w:rsidRPr="00F54FBD" w:rsidRDefault="00C85344" w:rsidP="0014322C">
      <w:pPr>
        <w:spacing w:before="80"/>
        <w:rPr>
          <w:i/>
          <w:sz w:val="22"/>
        </w:rPr>
      </w:pPr>
    </w:p>
    <w:p w:rsidR="00C85344" w:rsidRPr="00F54FBD" w:rsidRDefault="00C85344" w:rsidP="0014322C">
      <w:pPr>
        <w:pStyle w:val="Equation"/>
        <w:tabs>
          <w:tab w:val="clear" w:pos="4820"/>
          <w:tab w:val="clear" w:pos="9639"/>
          <w:tab w:val="left" w:pos="1191"/>
          <w:tab w:val="left" w:pos="1588"/>
          <w:tab w:val="left" w:pos="1985"/>
        </w:tabs>
        <w:rPr>
          <w:rFonts w:ascii="Palatino Linotype" w:hAnsi="Palatino Linotype"/>
        </w:rPr>
        <w:sectPr w:rsidR="00C85344" w:rsidRPr="00F54FBD" w:rsidSect="0014322C">
          <w:headerReference w:type="even" r:id="rId6"/>
          <w:headerReference w:type="default" r:id="rId7"/>
          <w:pgSz w:w="11907" w:h="16834" w:code="9"/>
          <w:pgMar w:top="1418" w:right="1134" w:bottom="1134" w:left="1134" w:header="720" w:footer="482" w:gutter="0"/>
          <w:paperSrc w:first="15" w:other="15"/>
          <w:cols w:space="720"/>
        </w:sectPr>
      </w:pPr>
    </w:p>
    <w:p w:rsidR="00C85344" w:rsidRPr="00F54FBD" w:rsidRDefault="00C85344"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85344" w:rsidRPr="00F54FBD" w:rsidRDefault="00C85344"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85344" w:rsidRPr="00F54FBD" w:rsidRDefault="00C85344"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85344" w:rsidRPr="00E44CBB" w:rsidRDefault="00C85344"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85344" w:rsidRPr="00E44CBB" w:rsidRDefault="00C85344"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85344" w:rsidRPr="00C85344" w:rsidRDefault="00C85344"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85344" w:rsidRPr="009454F8">
        <w:tc>
          <w:tcPr>
            <w:tcW w:w="9360" w:type="dxa"/>
            <w:gridSpan w:val="2"/>
          </w:tcPr>
          <w:p w:rsidR="00C85344" w:rsidRPr="009454F8" w:rsidRDefault="00C85344"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85344" w:rsidRPr="009454F8" w:rsidRDefault="00C85344"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85344" w:rsidRPr="00036EE3">
        <w:tc>
          <w:tcPr>
            <w:tcW w:w="1140" w:type="dxa"/>
          </w:tcPr>
          <w:p w:rsidR="00C85344" w:rsidRPr="00614CC6" w:rsidRDefault="00C85344" w:rsidP="0014322C">
            <w:pPr>
              <w:spacing w:before="90" w:after="100"/>
              <w:ind w:left="57"/>
              <w:rPr>
                <w:b/>
                <w:bCs/>
                <w:sz w:val="20"/>
                <w:lang w:val="en-US"/>
              </w:rPr>
            </w:pPr>
            <w:r w:rsidRPr="00614CC6">
              <w:rPr>
                <w:b/>
                <w:bCs/>
                <w:sz w:val="20"/>
                <w:lang w:val="en-US"/>
              </w:rPr>
              <w:t>Séries</w:t>
            </w:r>
          </w:p>
        </w:tc>
        <w:tc>
          <w:tcPr>
            <w:tcW w:w="8220" w:type="dxa"/>
          </w:tcPr>
          <w:p w:rsidR="00C85344" w:rsidRPr="00614CC6" w:rsidRDefault="00C85344"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85344" w:rsidRPr="00036EE3" w:rsidTr="0014322C">
        <w:tc>
          <w:tcPr>
            <w:tcW w:w="1140" w:type="dxa"/>
            <w:tcBorders>
              <w:bottom w:val="nil"/>
            </w:tcBorders>
          </w:tcPr>
          <w:p w:rsidR="00C85344" w:rsidRPr="00614CC6" w:rsidRDefault="00C85344" w:rsidP="0014322C">
            <w:pPr>
              <w:spacing w:before="30" w:after="30"/>
              <w:ind w:left="57"/>
              <w:rPr>
                <w:b/>
                <w:bCs/>
                <w:sz w:val="20"/>
                <w:lang w:val="en-US"/>
              </w:rPr>
            </w:pPr>
            <w:r w:rsidRPr="00614CC6">
              <w:rPr>
                <w:b/>
                <w:bCs/>
                <w:sz w:val="20"/>
                <w:lang w:val="en-US"/>
              </w:rPr>
              <w:t>BO</w:t>
            </w:r>
          </w:p>
        </w:tc>
        <w:tc>
          <w:tcPr>
            <w:tcW w:w="8220" w:type="dxa"/>
            <w:tcBorders>
              <w:bottom w:val="nil"/>
            </w:tcBorders>
          </w:tcPr>
          <w:p w:rsidR="00C85344" w:rsidRPr="00614CC6" w:rsidRDefault="00C85344"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85344" w:rsidRPr="009454F8" w:rsidTr="0014322C">
        <w:tc>
          <w:tcPr>
            <w:tcW w:w="1140" w:type="dxa"/>
            <w:tcBorders>
              <w:top w:val="nil"/>
              <w:bottom w:val="nil"/>
            </w:tcBorders>
            <w:shd w:val="clear" w:color="auto" w:fill="auto"/>
          </w:tcPr>
          <w:p w:rsidR="00C85344" w:rsidRPr="0014322C" w:rsidRDefault="00C85344"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C85344" w:rsidRPr="0014322C" w:rsidRDefault="00C85344"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C85344" w:rsidRPr="00036EE3" w:rsidTr="0014322C">
        <w:tc>
          <w:tcPr>
            <w:tcW w:w="1140" w:type="dxa"/>
            <w:tcBorders>
              <w:top w:val="nil"/>
              <w:bottom w:val="nil"/>
            </w:tcBorders>
          </w:tcPr>
          <w:p w:rsidR="00C85344" w:rsidRPr="00614CC6" w:rsidRDefault="00C85344"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C85344" w:rsidRPr="00614CC6" w:rsidRDefault="00C85344"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85344" w:rsidRPr="00ED2695" w:rsidTr="0014322C">
        <w:tc>
          <w:tcPr>
            <w:tcW w:w="1140" w:type="dxa"/>
            <w:tcBorders>
              <w:top w:val="nil"/>
              <w:bottom w:val="nil"/>
            </w:tcBorders>
            <w:shd w:val="clear" w:color="auto" w:fill="F3F3F3"/>
          </w:tcPr>
          <w:p w:rsidR="00C85344" w:rsidRPr="0014322C" w:rsidRDefault="00C85344"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C85344" w:rsidRPr="0014322C" w:rsidRDefault="00C85344"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C85344" w:rsidRPr="00036EE3" w:rsidTr="0014322C">
        <w:tc>
          <w:tcPr>
            <w:tcW w:w="1140" w:type="dxa"/>
            <w:tcBorders>
              <w:top w:val="nil"/>
              <w:bottom w:val="nil"/>
            </w:tcBorders>
            <w:shd w:val="clear" w:color="auto" w:fill="auto"/>
          </w:tcPr>
          <w:p w:rsidR="00C85344" w:rsidRPr="00614CC6" w:rsidRDefault="00C85344"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C85344" w:rsidRPr="00614CC6" w:rsidRDefault="00C85344"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85344" w:rsidRPr="00592F9F" w:rsidTr="0014322C">
        <w:tc>
          <w:tcPr>
            <w:tcW w:w="1140" w:type="dxa"/>
            <w:tcBorders>
              <w:top w:val="nil"/>
              <w:bottom w:val="nil"/>
            </w:tcBorders>
            <w:shd w:val="clear" w:color="auto" w:fill="auto"/>
          </w:tcPr>
          <w:p w:rsidR="00C85344" w:rsidRPr="00766861" w:rsidRDefault="00C85344"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C85344" w:rsidRPr="00766861" w:rsidRDefault="00C85344"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C85344" w:rsidRPr="00036EE3" w:rsidTr="0014322C">
        <w:tc>
          <w:tcPr>
            <w:tcW w:w="1140" w:type="dxa"/>
            <w:tcBorders>
              <w:top w:val="nil"/>
            </w:tcBorders>
          </w:tcPr>
          <w:p w:rsidR="00C85344" w:rsidRPr="00614CC6" w:rsidRDefault="00C85344" w:rsidP="0014322C">
            <w:pPr>
              <w:spacing w:before="30" w:after="30"/>
              <w:ind w:left="57"/>
              <w:rPr>
                <w:b/>
                <w:bCs/>
                <w:sz w:val="20"/>
                <w:lang w:val="fr-CH"/>
              </w:rPr>
            </w:pPr>
            <w:r w:rsidRPr="00614CC6">
              <w:rPr>
                <w:b/>
                <w:bCs/>
                <w:sz w:val="20"/>
                <w:lang w:val="fr-CH"/>
              </w:rPr>
              <w:t>P</w:t>
            </w:r>
          </w:p>
        </w:tc>
        <w:tc>
          <w:tcPr>
            <w:tcW w:w="8220" w:type="dxa"/>
            <w:tcBorders>
              <w:top w:val="nil"/>
            </w:tcBorders>
          </w:tcPr>
          <w:p w:rsidR="00C85344" w:rsidRPr="00614CC6" w:rsidRDefault="00C85344" w:rsidP="0014322C">
            <w:pPr>
              <w:spacing w:before="30" w:after="30"/>
              <w:rPr>
                <w:sz w:val="20"/>
                <w:lang w:val="fr-CH"/>
              </w:rPr>
            </w:pPr>
            <w:r w:rsidRPr="00614CC6">
              <w:rPr>
                <w:sz w:val="20"/>
              </w:rPr>
              <w:t>Propagation des ondes radioélectriques</w:t>
            </w:r>
          </w:p>
        </w:tc>
      </w:tr>
      <w:tr w:rsidR="00C85344" w:rsidRPr="00036EE3">
        <w:tc>
          <w:tcPr>
            <w:tcW w:w="1140" w:type="dxa"/>
          </w:tcPr>
          <w:p w:rsidR="00C85344" w:rsidRPr="00614CC6" w:rsidRDefault="00C85344" w:rsidP="0014322C">
            <w:pPr>
              <w:spacing w:before="30" w:after="30"/>
              <w:ind w:left="57"/>
              <w:rPr>
                <w:b/>
                <w:bCs/>
                <w:sz w:val="20"/>
                <w:lang w:val="en-US"/>
              </w:rPr>
            </w:pPr>
            <w:r w:rsidRPr="00614CC6">
              <w:rPr>
                <w:b/>
                <w:bCs/>
                <w:sz w:val="20"/>
                <w:lang w:val="en-US"/>
              </w:rPr>
              <w:t>RA</w:t>
            </w:r>
          </w:p>
        </w:tc>
        <w:tc>
          <w:tcPr>
            <w:tcW w:w="8220" w:type="dxa"/>
          </w:tcPr>
          <w:p w:rsidR="00C85344" w:rsidRPr="00614CC6" w:rsidRDefault="00C85344"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85344" w:rsidRPr="00036EE3">
        <w:tc>
          <w:tcPr>
            <w:tcW w:w="1140" w:type="dxa"/>
          </w:tcPr>
          <w:p w:rsidR="00C85344" w:rsidRPr="00614CC6" w:rsidRDefault="00C85344" w:rsidP="0014322C">
            <w:pPr>
              <w:spacing w:before="30" w:after="30"/>
              <w:ind w:left="57"/>
              <w:rPr>
                <w:b/>
                <w:bCs/>
                <w:sz w:val="20"/>
                <w:lang w:val="en-US"/>
              </w:rPr>
            </w:pPr>
            <w:r w:rsidRPr="00614CC6">
              <w:rPr>
                <w:b/>
                <w:bCs/>
                <w:sz w:val="20"/>
                <w:lang w:val="en-US"/>
              </w:rPr>
              <w:t>RS</w:t>
            </w:r>
          </w:p>
        </w:tc>
        <w:tc>
          <w:tcPr>
            <w:tcW w:w="8220" w:type="dxa"/>
          </w:tcPr>
          <w:p w:rsidR="00C85344" w:rsidRPr="00614CC6" w:rsidRDefault="00C85344"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85344" w:rsidRPr="00036EE3">
        <w:tc>
          <w:tcPr>
            <w:tcW w:w="1140" w:type="dxa"/>
          </w:tcPr>
          <w:p w:rsidR="00C85344" w:rsidRPr="00614CC6" w:rsidRDefault="00C85344" w:rsidP="0014322C">
            <w:pPr>
              <w:spacing w:before="30" w:after="30"/>
              <w:ind w:left="57"/>
              <w:rPr>
                <w:b/>
                <w:bCs/>
                <w:sz w:val="20"/>
                <w:lang w:val="en-US"/>
              </w:rPr>
            </w:pPr>
            <w:r w:rsidRPr="00614CC6">
              <w:rPr>
                <w:b/>
                <w:bCs/>
                <w:sz w:val="20"/>
                <w:lang w:val="en-US"/>
              </w:rPr>
              <w:t>S</w:t>
            </w:r>
          </w:p>
        </w:tc>
        <w:tc>
          <w:tcPr>
            <w:tcW w:w="8220" w:type="dxa"/>
          </w:tcPr>
          <w:p w:rsidR="00C85344" w:rsidRPr="00614CC6" w:rsidRDefault="00C85344" w:rsidP="0014322C">
            <w:pPr>
              <w:spacing w:before="30" w:after="30"/>
              <w:rPr>
                <w:sz w:val="20"/>
                <w:lang w:val="en-US"/>
              </w:rPr>
            </w:pPr>
            <w:r w:rsidRPr="00614CC6">
              <w:rPr>
                <w:sz w:val="20"/>
              </w:rPr>
              <w:t>Service fixe par satellite</w:t>
            </w:r>
          </w:p>
        </w:tc>
      </w:tr>
      <w:tr w:rsidR="00C85344" w:rsidRPr="00036EE3">
        <w:tc>
          <w:tcPr>
            <w:tcW w:w="1140" w:type="dxa"/>
          </w:tcPr>
          <w:p w:rsidR="00C85344" w:rsidRPr="00614CC6" w:rsidRDefault="00C85344" w:rsidP="0014322C">
            <w:pPr>
              <w:spacing w:before="30" w:after="30"/>
              <w:ind w:left="57"/>
              <w:rPr>
                <w:b/>
                <w:bCs/>
                <w:sz w:val="20"/>
                <w:lang w:val="en-US"/>
              </w:rPr>
            </w:pPr>
            <w:r w:rsidRPr="00614CC6">
              <w:rPr>
                <w:b/>
                <w:bCs/>
                <w:sz w:val="20"/>
                <w:lang w:val="en-US"/>
              </w:rPr>
              <w:t>SA</w:t>
            </w:r>
          </w:p>
        </w:tc>
        <w:tc>
          <w:tcPr>
            <w:tcW w:w="8220" w:type="dxa"/>
          </w:tcPr>
          <w:p w:rsidR="00C85344" w:rsidRPr="00614CC6" w:rsidRDefault="00C85344" w:rsidP="0014322C">
            <w:pPr>
              <w:spacing w:before="30" w:after="30"/>
              <w:rPr>
                <w:sz w:val="20"/>
                <w:lang w:val="en-US"/>
              </w:rPr>
            </w:pPr>
            <w:r w:rsidRPr="00614CC6">
              <w:rPr>
                <w:sz w:val="20"/>
              </w:rPr>
              <w:t>Applications spatiales et météorologie</w:t>
            </w:r>
          </w:p>
        </w:tc>
      </w:tr>
      <w:tr w:rsidR="00C85344" w:rsidRPr="00614CC6">
        <w:tc>
          <w:tcPr>
            <w:tcW w:w="1140" w:type="dxa"/>
          </w:tcPr>
          <w:p w:rsidR="00C85344" w:rsidRPr="00614CC6" w:rsidRDefault="00C85344" w:rsidP="0014322C">
            <w:pPr>
              <w:spacing w:before="30" w:after="30"/>
              <w:ind w:left="57"/>
              <w:rPr>
                <w:b/>
                <w:bCs/>
                <w:sz w:val="20"/>
                <w:lang w:val="en-US"/>
              </w:rPr>
            </w:pPr>
            <w:r w:rsidRPr="00614CC6">
              <w:rPr>
                <w:b/>
                <w:bCs/>
                <w:sz w:val="20"/>
                <w:lang w:val="en-US"/>
              </w:rPr>
              <w:t>SF</w:t>
            </w:r>
          </w:p>
        </w:tc>
        <w:tc>
          <w:tcPr>
            <w:tcW w:w="8220" w:type="dxa"/>
          </w:tcPr>
          <w:p w:rsidR="00C85344" w:rsidRPr="00614CC6" w:rsidRDefault="00C85344" w:rsidP="0014322C">
            <w:pPr>
              <w:spacing w:before="30" w:after="30"/>
              <w:rPr>
                <w:sz w:val="20"/>
              </w:rPr>
            </w:pPr>
            <w:r w:rsidRPr="00614CC6">
              <w:rPr>
                <w:sz w:val="20"/>
              </w:rPr>
              <w:t>Partage des fréquences et coordination entre les systèmes du service fixe par satellite et du service fixe</w:t>
            </w:r>
          </w:p>
        </w:tc>
      </w:tr>
      <w:tr w:rsidR="00C85344" w:rsidRPr="00036EE3">
        <w:tc>
          <w:tcPr>
            <w:tcW w:w="1140" w:type="dxa"/>
            <w:shd w:val="clear" w:color="auto" w:fill="auto"/>
          </w:tcPr>
          <w:p w:rsidR="00C85344" w:rsidRPr="00592F9F" w:rsidRDefault="00C85344" w:rsidP="0014322C">
            <w:pPr>
              <w:spacing w:before="30" w:after="30"/>
              <w:ind w:left="57"/>
              <w:rPr>
                <w:b/>
                <w:bCs/>
                <w:sz w:val="20"/>
                <w:lang w:val="en-US"/>
              </w:rPr>
            </w:pPr>
            <w:r w:rsidRPr="00592F9F">
              <w:rPr>
                <w:b/>
                <w:bCs/>
                <w:sz w:val="20"/>
                <w:lang w:val="en-US"/>
              </w:rPr>
              <w:t>SM</w:t>
            </w:r>
          </w:p>
        </w:tc>
        <w:tc>
          <w:tcPr>
            <w:tcW w:w="8220" w:type="dxa"/>
            <w:shd w:val="clear" w:color="auto" w:fill="auto"/>
          </w:tcPr>
          <w:p w:rsidR="00C85344" w:rsidRPr="00592F9F" w:rsidRDefault="00C85344" w:rsidP="0014322C">
            <w:pPr>
              <w:spacing w:before="30" w:after="30"/>
              <w:rPr>
                <w:sz w:val="20"/>
                <w:lang w:val="en-US"/>
              </w:rPr>
            </w:pPr>
            <w:r w:rsidRPr="00592F9F">
              <w:rPr>
                <w:sz w:val="20"/>
              </w:rPr>
              <w:t>Gestion du spectre</w:t>
            </w:r>
          </w:p>
        </w:tc>
      </w:tr>
      <w:tr w:rsidR="00C85344" w:rsidRPr="00036EE3">
        <w:tc>
          <w:tcPr>
            <w:tcW w:w="1140" w:type="dxa"/>
          </w:tcPr>
          <w:p w:rsidR="00C85344" w:rsidRPr="00614CC6" w:rsidRDefault="00C85344" w:rsidP="0014322C">
            <w:pPr>
              <w:spacing w:before="30" w:after="30"/>
              <w:ind w:left="57"/>
              <w:rPr>
                <w:b/>
                <w:bCs/>
                <w:sz w:val="20"/>
                <w:lang w:val="en-US"/>
              </w:rPr>
            </w:pPr>
            <w:r w:rsidRPr="00614CC6">
              <w:rPr>
                <w:b/>
                <w:bCs/>
                <w:sz w:val="20"/>
                <w:lang w:val="en-US"/>
              </w:rPr>
              <w:t>SNG</w:t>
            </w:r>
          </w:p>
        </w:tc>
        <w:tc>
          <w:tcPr>
            <w:tcW w:w="8220" w:type="dxa"/>
          </w:tcPr>
          <w:p w:rsidR="00C85344" w:rsidRPr="00614CC6" w:rsidRDefault="00C85344" w:rsidP="0014322C">
            <w:pPr>
              <w:spacing w:before="30" w:after="30"/>
              <w:rPr>
                <w:sz w:val="20"/>
                <w:lang w:val="en-US"/>
              </w:rPr>
            </w:pPr>
            <w:r w:rsidRPr="00614CC6">
              <w:rPr>
                <w:sz w:val="20"/>
              </w:rPr>
              <w:t>Reportage d'actualités par satellite</w:t>
            </w:r>
          </w:p>
        </w:tc>
      </w:tr>
      <w:tr w:rsidR="00C85344" w:rsidRPr="00614CC6">
        <w:tc>
          <w:tcPr>
            <w:tcW w:w="1140" w:type="dxa"/>
          </w:tcPr>
          <w:p w:rsidR="00C85344" w:rsidRPr="00614CC6" w:rsidRDefault="00C85344" w:rsidP="0014322C">
            <w:pPr>
              <w:spacing w:before="30" w:after="30"/>
              <w:ind w:left="57"/>
              <w:rPr>
                <w:b/>
                <w:bCs/>
                <w:sz w:val="20"/>
                <w:lang w:val="en-US"/>
              </w:rPr>
            </w:pPr>
            <w:r w:rsidRPr="00614CC6">
              <w:rPr>
                <w:b/>
                <w:bCs/>
                <w:sz w:val="20"/>
                <w:lang w:val="en-US"/>
              </w:rPr>
              <w:t>TF</w:t>
            </w:r>
          </w:p>
        </w:tc>
        <w:tc>
          <w:tcPr>
            <w:tcW w:w="8220" w:type="dxa"/>
          </w:tcPr>
          <w:p w:rsidR="00C85344" w:rsidRPr="00614CC6" w:rsidRDefault="00C85344" w:rsidP="0014322C">
            <w:pPr>
              <w:spacing w:before="30" w:after="30"/>
              <w:rPr>
                <w:sz w:val="20"/>
              </w:rPr>
            </w:pPr>
            <w:r w:rsidRPr="00614CC6">
              <w:rPr>
                <w:sz w:val="20"/>
              </w:rPr>
              <w:t>Emissions de fréquences étalon et de signaux horaires</w:t>
            </w:r>
          </w:p>
        </w:tc>
      </w:tr>
      <w:tr w:rsidR="00C85344" w:rsidRPr="00036EE3">
        <w:tc>
          <w:tcPr>
            <w:tcW w:w="1140" w:type="dxa"/>
          </w:tcPr>
          <w:p w:rsidR="00C85344" w:rsidRPr="00614CC6" w:rsidRDefault="00C85344" w:rsidP="0014322C">
            <w:pPr>
              <w:spacing w:before="30" w:after="30"/>
              <w:ind w:left="57"/>
              <w:rPr>
                <w:b/>
                <w:bCs/>
                <w:sz w:val="20"/>
                <w:lang w:val="en-US"/>
              </w:rPr>
            </w:pPr>
            <w:r w:rsidRPr="00614CC6">
              <w:rPr>
                <w:b/>
                <w:bCs/>
                <w:sz w:val="20"/>
                <w:lang w:val="en-US"/>
              </w:rPr>
              <w:t>V</w:t>
            </w:r>
          </w:p>
        </w:tc>
        <w:tc>
          <w:tcPr>
            <w:tcW w:w="8220" w:type="dxa"/>
          </w:tcPr>
          <w:p w:rsidR="00C85344" w:rsidRPr="00614CC6" w:rsidRDefault="00C85344" w:rsidP="0014322C">
            <w:pPr>
              <w:spacing w:before="30" w:after="140"/>
              <w:rPr>
                <w:sz w:val="20"/>
                <w:lang w:val="en-US"/>
              </w:rPr>
            </w:pPr>
            <w:r w:rsidRPr="00614CC6">
              <w:rPr>
                <w:sz w:val="20"/>
              </w:rPr>
              <w:t>Vocabulaire et sujets associés</w:t>
            </w:r>
          </w:p>
        </w:tc>
      </w:tr>
    </w:tbl>
    <w:p w:rsidR="00C85344" w:rsidRPr="00036EE3" w:rsidRDefault="00C85344" w:rsidP="0014322C">
      <w:pPr>
        <w:spacing w:before="0"/>
        <w:jc w:val="center"/>
        <w:rPr>
          <w:sz w:val="20"/>
          <w:lang w:val="en-US"/>
        </w:rPr>
      </w:pPr>
    </w:p>
    <w:p w:rsidR="00C85344" w:rsidRPr="00036EE3" w:rsidRDefault="00C85344"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C85344" w:rsidRPr="00756B4D">
        <w:tc>
          <w:tcPr>
            <w:tcW w:w="9360" w:type="dxa"/>
          </w:tcPr>
          <w:p w:rsidR="00C85344" w:rsidRPr="00756B4D" w:rsidRDefault="00C85344" w:rsidP="0014322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C85344" w:rsidRPr="00756B4D" w:rsidRDefault="00C85344" w:rsidP="0014322C">
      <w:pPr>
        <w:spacing w:before="0"/>
        <w:jc w:val="center"/>
        <w:rPr>
          <w:sz w:val="22"/>
        </w:rPr>
      </w:pPr>
    </w:p>
    <w:p w:rsidR="00C85344" w:rsidRPr="00614CC6" w:rsidRDefault="00C85344" w:rsidP="0014322C">
      <w:pPr>
        <w:spacing w:before="100"/>
        <w:jc w:val="right"/>
        <w:rPr>
          <w:i/>
          <w:iCs/>
          <w:sz w:val="20"/>
        </w:rPr>
      </w:pPr>
      <w:r w:rsidRPr="00614CC6">
        <w:rPr>
          <w:i/>
          <w:iCs/>
          <w:sz w:val="20"/>
        </w:rPr>
        <w:t>Publication électronique</w:t>
      </w:r>
    </w:p>
    <w:p w:rsidR="00C85344" w:rsidRPr="00614CC6" w:rsidRDefault="00C85344" w:rsidP="009D3E41">
      <w:pPr>
        <w:spacing w:before="0"/>
        <w:jc w:val="right"/>
        <w:rPr>
          <w:sz w:val="20"/>
        </w:rPr>
      </w:pPr>
      <w:r w:rsidRPr="00614CC6">
        <w:rPr>
          <w:sz w:val="20"/>
        </w:rPr>
        <w:t>Genève, 20</w:t>
      </w:r>
      <w:r>
        <w:rPr>
          <w:sz w:val="20"/>
        </w:rPr>
        <w:t>10</w:t>
      </w:r>
    </w:p>
    <w:p w:rsidR="00C85344" w:rsidRPr="00614CC6" w:rsidRDefault="00C85344" w:rsidP="009D3E4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10</w:t>
      </w:r>
    </w:p>
    <w:p w:rsidR="00C85344" w:rsidRPr="00614CC6" w:rsidRDefault="00C85344"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85344" w:rsidRPr="00614CC6" w:rsidRDefault="00C85344" w:rsidP="0014322C">
      <w:pPr>
        <w:spacing w:before="160"/>
        <w:rPr>
          <w:i/>
          <w:sz w:val="20"/>
          <w:highlight w:val="yellow"/>
        </w:rPr>
        <w:sectPr w:rsidR="00C85344" w:rsidRPr="00614CC6"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C85344" w:rsidRDefault="00C85344" w:rsidP="00C85344">
      <w:pPr>
        <w:pStyle w:val="RecNo"/>
        <w:spacing w:before="0"/>
      </w:pPr>
      <w:bookmarkStart w:id="3" w:name="irecnoe"/>
      <w:bookmarkEnd w:id="3"/>
      <w:r>
        <w:lastRenderedPageBreak/>
        <w:t xml:space="preserve">RECOMMANDATION  </w:t>
      </w:r>
      <w:r>
        <w:rPr>
          <w:rStyle w:val="href"/>
        </w:rPr>
        <w:t>UIT-R  BT</w:t>
      </w:r>
      <w:bookmarkEnd w:id="0"/>
      <w:r>
        <w:rPr>
          <w:rStyle w:val="href"/>
        </w:rPr>
        <w:t>.1728-1</w:t>
      </w:r>
    </w:p>
    <w:p w:rsidR="00C85344" w:rsidRDefault="00C85344" w:rsidP="00C85344">
      <w:pPr>
        <w:pStyle w:val="Rectitle"/>
      </w:pPr>
      <w:r>
        <w:t>Lignes directrices relatives à l'utilisation des écrans plats en production</w:t>
      </w:r>
      <w:r>
        <w:br/>
        <w:t>et postproduction des programmes de télévision</w:t>
      </w:r>
    </w:p>
    <w:p w:rsidR="00C85344" w:rsidRDefault="00C85344" w:rsidP="00C85344">
      <w:pPr>
        <w:pStyle w:val="Recref"/>
      </w:pPr>
      <w:r>
        <w:t>(Question UIT-R 95/6)</w:t>
      </w:r>
    </w:p>
    <w:p w:rsidR="00C85344" w:rsidRDefault="00C85344" w:rsidP="00C85344">
      <w:pPr>
        <w:pStyle w:val="Recdate"/>
      </w:pPr>
      <w:r>
        <w:t>(2005-2010)</w:t>
      </w:r>
    </w:p>
    <w:p w:rsidR="00C85344" w:rsidRDefault="00C85344" w:rsidP="00C85344">
      <w:pPr>
        <w:pStyle w:val="HeadingSum"/>
        <w:rPr>
          <w:lang w:val="fr-CH"/>
        </w:rPr>
        <w:pPrChange w:id="4" w:author="POOL" w:date="2005-06-28T13:31:00Z">
          <w:pPr>
            <w:pStyle w:val="Normalaftertitle"/>
          </w:pPr>
        </w:pPrChange>
      </w:pPr>
      <w:r w:rsidRPr="00533238">
        <w:rPr>
          <w:lang w:val="fr-FR"/>
        </w:rPr>
        <w:t xml:space="preserve">Domaine </w:t>
      </w:r>
      <w:r>
        <w:rPr>
          <w:lang w:val="fr-FR"/>
        </w:rPr>
        <w:t>d'application</w:t>
      </w:r>
    </w:p>
    <w:p w:rsidR="00C85344" w:rsidRPr="00533238" w:rsidRDefault="00C85344" w:rsidP="00C85344">
      <w:pPr>
        <w:pStyle w:val="Summary"/>
        <w:rPr>
          <w:lang w:val="fr-FR"/>
        </w:rPr>
      </w:pPr>
      <w:r w:rsidRPr="00533238">
        <w:rPr>
          <w:lang w:val="fr-FR"/>
        </w:rPr>
        <w:t xml:space="preserve">La présente Recommandation </w:t>
      </w:r>
      <w:r>
        <w:rPr>
          <w:lang w:val="fr-FR"/>
        </w:rPr>
        <w:t>énonce des lignes directrices mises à jour relatives à l'utilisation professionnelle des écrans plats en production et postproduction des programmes de télévision.</w:t>
      </w:r>
    </w:p>
    <w:p w:rsidR="00C85344" w:rsidRDefault="00C85344" w:rsidP="00C85344">
      <w:pPr>
        <w:pStyle w:val="Normalaftertitle"/>
      </w:pPr>
      <w:r>
        <w:t>L'Assemblée des radiocommunications de l'UIT,</w:t>
      </w:r>
    </w:p>
    <w:p w:rsidR="00C85344" w:rsidRDefault="00C85344" w:rsidP="00C85344">
      <w:pPr>
        <w:pStyle w:val="Call"/>
      </w:pPr>
      <w:r>
        <w:t>considérant</w:t>
      </w:r>
    </w:p>
    <w:p w:rsidR="00C85344" w:rsidRDefault="00C85344" w:rsidP="00C85344">
      <w:r>
        <w:t>a)</w:t>
      </w:r>
      <w:r>
        <w:tab/>
        <w:t>que les écrans plats sont aujourd'hui utilisés pour des raisons de disponibilité dans la radiodiffusion télévisuelle, pour diverses applications, notamment des applications professionnelles de production et de postproduction des programmes;</w:t>
      </w:r>
    </w:p>
    <w:p w:rsidR="00C85344" w:rsidRDefault="00C85344" w:rsidP="00C85344">
      <w:r>
        <w:t>b)</w:t>
      </w:r>
      <w:r>
        <w:tab/>
        <w:t>que l'utilisation des écrans plats dans les activités de production/postproduction de programmes de télévision peut présenter des avantages, par exemple dans les cars de reportage, ou en studio, étant donné que ces écrans peuvent afficher des images de grandes dimensions tout en étant relativement peu encombrants et légers;</w:t>
      </w:r>
    </w:p>
    <w:p w:rsidR="00C85344" w:rsidRDefault="00C85344" w:rsidP="00C85344">
      <w:r>
        <w:t>c)</w:t>
      </w:r>
      <w:r>
        <w:tab/>
        <w:t>qu'au stade d'évolution actuel, le rendu des images obtenues avec les systèmes d'affichage sur écran plat dépend du type de technique utilisée et souvent aussi, pour une même technique, de la marque et du modèle de l'équipement;</w:t>
      </w:r>
    </w:p>
    <w:p w:rsidR="00C85344" w:rsidRDefault="00C85344" w:rsidP="00C85344">
      <w:r>
        <w:t>d)</w:t>
      </w:r>
      <w:r>
        <w:tab/>
        <w:t>que les écrans plats sont souvent réglés pour afficher des images dont la température de couleur est plus élevée que la valeur normalisée (images généralement plus «froides»);</w:t>
      </w:r>
    </w:p>
    <w:p w:rsidR="00C85344" w:rsidRDefault="00C85344" w:rsidP="00C85344">
      <w:r>
        <w:t>e)</w:t>
      </w:r>
      <w:r>
        <w:tab/>
        <w:t>que les écrans plats utilisent généralement un prétraitement qui peut être tel que les images affichées présentent des artefacts spatiaux ou temporels;</w:t>
      </w:r>
    </w:p>
    <w:p w:rsidR="00C85344" w:rsidRDefault="00C85344" w:rsidP="00C85344">
      <w:r>
        <w:t>f)</w:t>
      </w:r>
      <w:r>
        <w:tab/>
        <w:t>que le rendu des images affichées par certains écrans plats dépend de l'angle de vision;</w:t>
      </w:r>
    </w:p>
    <w:p w:rsidR="00C85344" w:rsidRDefault="00C85344" w:rsidP="00C85344">
      <w:r>
        <w:t>g)</w:t>
      </w:r>
      <w:r>
        <w:tab/>
        <w:t>que la technologie des écrans plats se développe rapidement de sorte que les futurs dispositifs devraient être plus performants,</w:t>
      </w:r>
    </w:p>
    <w:p w:rsidR="00C85344" w:rsidRDefault="00C85344" w:rsidP="00C85344">
      <w:pPr>
        <w:pStyle w:val="Call"/>
      </w:pPr>
      <w:r>
        <w:t>recommande</w:t>
      </w:r>
    </w:p>
    <w:p w:rsidR="00C85344" w:rsidRDefault="00C85344" w:rsidP="00C85344">
      <w:r>
        <w:rPr>
          <w:b/>
          <w:bCs/>
        </w:rPr>
        <w:t>1</w:t>
      </w:r>
      <w:r>
        <w:rPr>
          <w:b/>
          <w:bCs/>
        </w:rPr>
        <w:tab/>
      </w:r>
      <w:r>
        <w:t>d'éviter d'utiliser arbitrairement des écrans plats de toute marque et de tout modèle pour des applications de production/postproduction de programmes de télévision, notamment lorsque le rendu de l'image doit être toujours précis et uniforme, par exemple dans les régies et les salles de projection, où sont effectuées les opérations d'équilibrage et d'adaptation et où la qualité des programmes est vérifiée et certifiée;</w:t>
      </w:r>
    </w:p>
    <w:p w:rsidR="00C85344" w:rsidRDefault="00C85344" w:rsidP="00C85344">
      <w:r>
        <w:rPr>
          <w:b/>
          <w:bCs/>
        </w:rPr>
        <w:t>2</w:t>
      </w:r>
      <w:r>
        <w:tab/>
        <w:t>dans les salles de production télévisuelle et les régies, de contrôler la qualité de l'image sur un moniteur professionnel à tube cathodique (CRT), si un tel moniteur est disponible, ou sur un écran plat professionnel dont la marque et le modèle ont fait l'objet d'une évaluation préalable dans le but de vérifier que la qualité de fonctionnement est relativement proche de celle d'un moniteur CRT;</w:t>
      </w:r>
    </w:p>
    <w:p w:rsidR="00C85344" w:rsidRDefault="00C85344" w:rsidP="00EF672A">
      <w:pPr>
        <w:keepNext/>
        <w:keepLines/>
        <w:rPr>
          <w:b/>
        </w:rPr>
      </w:pPr>
      <w:r w:rsidRPr="00F6602B">
        <w:lastRenderedPageBreak/>
        <w:t>3</w:t>
      </w:r>
      <w:r w:rsidRPr="00F6602B">
        <w:tab/>
        <w:t>chaque fois que l'on envisage d'utiliser des écrans plats dans d'autres applications de production/postproduction de programmes</w:t>
      </w:r>
      <w:r>
        <w:t xml:space="preserve"> de télévision</w:t>
      </w:r>
      <w:r w:rsidRPr="00F6602B">
        <w:t xml:space="preserve">, de procéder </w:t>
      </w:r>
      <w:r>
        <w:t xml:space="preserve">en premier lieu </w:t>
      </w:r>
      <w:r w:rsidRPr="00F6602B">
        <w:t>aux essais nécessaires pour vérifier que ces équipements conviennent pour ces applications.</w:t>
      </w:r>
    </w:p>
    <w:p w:rsidR="00C85344" w:rsidRDefault="00C85344" w:rsidP="00C85344"/>
    <w:p w:rsidR="00C85344" w:rsidRPr="00645952" w:rsidRDefault="00C85344" w:rsidP="00C85344">
      <w:pPr>
        <w:pStyle w:val="Line"/>
        <w:rPr>
          <w:lang w:val="fr-CH"/>
        </w:rPr>
      </w:pPr>
    </w:p>
    <w:sectPr w:rsidR="00C85344" w:rsidRPr="00645952" w:rsidSect="00C85344">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344" w:rsidRDefault="00C85344">
      <w:r>
        <w:separator/>
      </w:r>
    </w:p>
  </w:endnote>
  <w:endnote w:type="continuationSeparator" w:id="0">
    <w:p w:rsidR="00C85344" w:rsidRDefault="00C853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344" w:rsidRDefault="00C85344">
      <w:r>
        <w:separator/>
      </w:r>
    </w:p>
  </w:footnote>
  <w:footnote w:type="continuationSeparator" w:id="0">
    <w:p w:rsidR="00C85344" w:rsidRDefault="00C853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344" w:rsidRDefault="00C8534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344" w:rsidRDefault="00C85344" w:rsidP="0014322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344" w:rsidRPr="00C85344" w:rsidRDefault="00C85344">
    <w:pPr>
      <w:pStyle w:val="Header"/>
      <w:jc w:val="left"/>
      <w:rPr>
        <w:lang w:val="fr-CH"/>
      </w:rPr>
    </w:pPr>
    <w:r>
      <w:rPr>
        <w:rStyle w:val="PageNumber"/>
        <w:b/>
        <w:bCs/>
      </w:rPr>
      <w:fldChar w:fldCharType="begin"/>
    </w:r>
    <w:r w:rsidRPr="00C85344">
      <w:rPr>
        <w:rStyle w:val="PageNumber"/>
        <w:b/>
        <w:bCs/>
        <w:lang w:val="fr-CH"/>
      </w:rPr>
      <w:instrText xml:space="preserve"> PAGE </w:instrText>
    </w:r>
    <w:r>
      <w:rPr>
        <w:rStyle w:val="PageNumber"/>
        <w:b/>
        <w:bCs/>
      </w:rPr>
      <w:fldChar w:fldCharType="separate"/>
    </w:r>
    <w:r w:rsidR="00EF672A">
      <w:rPr>
        <w:rStyle w:val="PageNumber"/>
        <w:b/>
        <w:bCs/>
        <w:noProof/>
        <w:lang w:val="fr-CH"/>
      </w:rPr>
      <w:t>ii</w:t>
    </w:r>
    <w:r>
      <w:rPr>
        <w:rStyle w:val="PageNumber"/>
        <w:b/>
        <w:bCs/>
      </w:rPr>
      <w:fldChar w:fldCharType="end"/>
    </w:r>
    <w:r w:rsidRPr="00C85344">
      <w:rPr>
        <w:lang w:val="fr-CH"/>
      </w:rPr>
      <w:tab/>
    </w:r>
    <w:fldSimple w:instr=" DOCPROPERTY &quot;Header&quot; \* MERGEFORMAT ">
      <w:r w:rsidR="00EF672A" w:rsidRPr="00EF672A">
        <w:rPr>
          <w:b/>
          <w:bCs/>
          <w:lang w:val="fr-CH"/>
        </w:rPr>
        <w:t xml:space="preserve">Rec. </w:t>
      </w:r>
    </w:fldSimple>
    <w:r>
      <w:rPr>
        <w:b/>
        <w:bCs/>
      </w:rPr>
      <w:t xml:space="preserve"> </w:t>
    </w:r>
    <w:r>
      <w:rPr>
        <w:b/>
        <w:bCs/>
      </w:rPr>
      <w:fldChar w:fldCharType="begin"/>
    </w:r>
    <w:r w:rsidRPr="00C85344">
      <w:rPr>
        <w:b/>
        <w:bCs/>
        <w:lang w:val="fr-CH"/>
      </w:rPr>
      <w:instrText>styleref href</w:instrText>
    </w:r>
    <w:r>
      <w:rPr>
        <w:b/>
        <w:bCs/>
      </w:rPr>
      <w:fldChar w:fldCharType="separate"/>
    </w:r>
    <w:r w:rsidR="00EF672A">
      <w:rPr>
        <w:b/>
        <w:bCs/>
        <w:noProof/>
      </w:rPr>
      <w:t>UIT-R  BT.1728-1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344" w:rsidRDefault="00C85344">
    <w:pPr>
      <w:pStyle w:val="Header"/>
    </w:pPr>
    <w:r>
      <w:tab/>
    </w:r>
    <w:fldSimple w:instr=" DOCPROPERTY &quot;Header&quot; \* MERGEFORMAT ">
      <w:r w:rsidR="00EF672A" w:rsidRPr="00EF672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F672A">
      <w:rPr>
        <w:b/>
        <w:bCs/>
        <w:noProof/>
      </w:rPr>
      <w:t>UIT-R  BT.1728-1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9A73D0">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EF672A">
      <w:rPr>
        <w:rStyle w:val="PageNumber"/>
        <w:b/>
        <w:bCs/>
        <w:noProof/>
        <w:lang w:val="en-US"/>
      </w:rPr>
      <w:t>2</w:t>
    </w:r>
    <w:r>
      <w:rPr>
        <w:rStyle w:val="PageNumber"/>
        <w:b/>
        <w:bCs/>
      </w:rPr>
      <w:fldChar w:fldCharType="end"/>
    </w:r>
    <w:r w:rsidR="00607D68">
      <w:rPr>
        <w:lang w:val="en-US"/>
      </w:rPr>
      <w:tab/>
    </w:r>
    <w:fldSimple w:instr=" DOCPROPERTY &quot;Header&quot; \* MERGEFORMAT ">
      <w:r w:rsidR="00EF672A" w:rsidRPr="00EF672A">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EF672A">
      <w:rPr>
        <w:b/>
        <w:bCs/>
        <w:noProof/>
      </w:rPr>
      <w:t>UIT-R  BT.1728-1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EF672A" w:rsidRPr="00EF672A">
        <w:rPr>
          <w:b/>
          <w:bCs/>
        </w:rPr>
        <w:t xml:space="preserve">Rec. </w:t>
      </w:r>
    </w:fldSimple>
    <w:r>
      <w:rPr>
        <w:b/>
        <w:bCs/>
      </w:rPr>
      <w:t xml:space="preserve"> </w:t>
    </w:r>
    <w:r w:rsidR="009A73D0">
      <w:rPr>
        <w:b/>
        <w:bCs/>
      </w:rPr>
      <w:fldChar w:fldCharType="begin"/>
    </w:r>
    <w:r>
      <w:rPr>
        <w:b/>
        <w:bCs/>
      </w:rPr>
      <w:instrText>styleref href</w:instrText>
    </w:r>
    <w:r w:rsidR="009A73D0">
      <w:rPr>
        <w:b/>
        <w:bCs/>
      </w:rPr>
      <w:fldChar w:fldCharType="separate"/>
    </w:r>
    <w:r w:rsidR="00EF672A">
      <w:rPr>
        <w:b/>
        <w:bCs/>
        <w:noProof/>
      </w:rPr>
      <w:t>UIT-R  BT.1728-1</w:t>
    </w:r>
    <w:r w:rsidR="009A73D0">
      <w:rPr>
        <w:b/>
        <w:bCs/>
      </w:rPr>
      <w:fldChar w:fldCharType="end"/>
    </w:r>
    <w:r>
      <w:tab/>
    </w:r>
    <w:r w:rsidR="009A73D0">
      <w:rPr>
        <w:rStyle w:val="PageNumber"/>
        <w:b/>
        <w:bCs/>
      </w:rPr>
      <w:fldChar w:fldCharType="begin"/>
    </w:r>
    <w:r>
      <w:rPr>
        <w:rStyle w:val="PageNumber"/>
        <w:b/>
        <w:bCs/>
      </w:rPr>
      <w:instrText xml:space="preserve"> PAGE </w:instrText>
    </w:r>
    <w:r w:rsidR="009A73D0">
      <w:rPr>
        <w:rStyle w:val="PageNumber"/>
        <w:b/>
        <w:bCs/>
      </w:rPr>
      <w:fldChar w:fldCharType="separate"/>
    </w:r>
    <w:r w:rsidR="00EF672A">
      <w:rPr>
        <w:rStyle w:val="PageNumber"/>
        <w:b/>
        <w:bCs/>
        <w:noProof/>
      </w:rPr>
      <w:t>1</w:t>
    </w:r>
    <w:r w:rsidR="009A73D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revisionView w:inkAnnotations="0"/>
  <w:defaultTabStop w:val="720"/>
  <w:evenAndOddHeaders/>
  <w:noPunctuationKerning/>
  <w:characterSpacingControl w:val="doNotCompress"/>
  <w:footnotePr>
    <w:footnote w:id="-1"/>
    <w:footnote w:id="0"/>
  </w:footnotePr>
  <w:endnotePr>
    <w:endnote w:id="-1"/>
    <w:endnote w:id="0"/>
  </w:endnotePr>
  <w:compat/>
  <w:rsids>
    <w:rsidRoot w:val="00150DC7"/>
    <w:rsid w:val="00150DC7"/>
    <w:rsid w:val="00217EBF"/>
    <w:rsid w:val="002D76C4"/>
    <w:rsid w:val="00607D68"/>
    <w:rsid w:val="007468DA"/>
    <w:rsid w:val="009A73D0"/>
    <w:rsid w:val="00A6617B"/>
    <w:rsid w:val="00AB0DC8"/>
    <w:rsid w:val="00B44E24"/>
    <w:rsid w:val="00C85344"/>
    <w:rsid w:val="00DF4176"/>
    <w:rsid w:val="00EF672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73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A73D0"/>
    <w:pPr>
      <w:keepNext/>
      <w:keepLines/>
      <w:spacing w:before="480"/>
      <w:ind w:left="794" w:hanging="794"/>
      <w:outlineLvl w:val="0"/>
    </w:pPr>
    <w:rPr>
      <w:b/>
    </w:rPr>
  </w:style>
  <w:style w:type="paragraph" w:styleId="Heading2">
    <w:name w:val="heading 2"/>
    <w:basedOn w:val="Heading1"/>
    <w:next w:val="Normal"/>
    <w:qFormat/>
    <w:rsid w:val="009A73D0"/>
    <w:pPr>
      <w:spacing w:before="320"/>
      <w:outlineLvl w:val="1"/>
    </w:pPr>
  </w:style>
  <w:style w:type="paragraph" w:styleId="Heading3">
    <w:name w:val="heading 3"/>
    <w:basedOn w:val="Heading1"/>
    <w:next w:val="Normal"/>
    <w:qFormat/>
    <w:rsid w:val="009A73D0"/>
    <w:pPr>
      <w:spacing w:before="200"/>
      <w:outlineLvl w:val="2"/>
    </w:pPr>
  </w:style>
  <w:style w:type="paragraph" w:styleId="Heading4">
    <w:name w:val="heading 4"/>
    <w:basedOn w:val="Heading3"/>
    <w:next w:val="Normal"/>
    <w:qFormat/>
    <w:rsid w:val="009A73D0"/>
    <w:pPr>
      <w:tabs>
        <w:tab w:val="clear" w:pos="794"/>
        <w:tab w:val="left" w:pos="992"/>
      </w:tabs>
      <w:ind w:left="992" w:hanging="992"/>
      <w:outlineLvl w:val="3"/>
    </w:pPr>
  </w:style>
  <w:style w:type="paragraph" w:styleId="Heading5">
    <w:name w:val="heading 5"/>
    <w:basedOn w:val="Heading4"/>
    <w:next w:val="Normal"/>
    <w:qFormat/>
    <w:rsid w:val="009A73D0"/>
    <w:pPr>
      <w:outlineLvl w:val="4"/>
    </w:pPr>
  </w:style>
  <w:style w:type="paragraph" w:styleId="Heading6">
    <w:name w:val="heading 6"/>
    <w:basedOn w:val="Heading4"/>
    <w:next w:val="Normal"/>
    <w:qFormat/>
    <w:rsid w:val="009A73D0"/>
    <w:pPr>
      <w:tabs>
        <w:tab w:val="clear" w:pos="992"/>
        <w:tab w:val="clear" w:pos="1191"/>
      </w:tabs>
      <w:ind w:left="1588" w:hanging="1588"/>
      <w:outlineLvl w:val="5"/>
    </w:pPr>
  </w:style>
  <w:style w:type="paragraph" w:styleId="Heading7">
    <w:name w:val="heading 7"/>
    <w:basedOn w:val="Heading6"/>
    <w:next w:val="Normal"/>
    <w:qFormat/>
    <w:rsid w:val="009A73D0"/>
    <w:pPr>
      <w:outlineLvl w:val="6"/>
    </w:pPr>
  </w:style>
  <w:style w:type="paragraph" w:styleId="Heading8">
    <w:name w:val="heading 8"/>
    <w:basedOn w:val="Heading6"/>
    <w:next w:val="Normal"/>
    <w:qFormat/>
    <w:rsid w:val="009A73D0"/>
    <w:pPr>
      <w:outlineLvl w:val="7"/>
    </w:pPr>
  </w:style>
  <w:style w:type="paragraph" w:styleId="Heading9">
    <w:name w:val="heading 9"/>
    <w:basedOn w:val="Heading6"/>
    <w:next w:val="Normal"/>
    <w:qFormat/>
    <w:rsid w:val="009A73D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73D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A73D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A73D0"/>
  </w:style>
  <w:style w:type="paragraph" w:customStyle="1" w:styleId="Headingb">
    <w:name w:val="Heading_b"/>
    <w:basedOn w:val="Heading3"/>
    <w:next w:val="Normal"/>
    <w:rsid w:val="009A73D0"/>
    <w:pPr>
      <w:spacing w:before="160"/>
      <w:ind w:left="0" w:firstLine="0"/>
      <w:outlineLvl w:val="9"/>
    </w:pPr>
  </w:style>
  <w:style w:type="paragraph" w:customStyle="1" w:styleId="Headingi">
    <w:name w:val="Heading_i"/>
    <w:basedOn w:val="Heading3"/>
    <w:next w:val="Normal"/>
    <w:rsid w:val="009A73D0"/>
    <w:pPr>
      <w:spacing w:before="160"/>
      <w:ind w:left="0" w:firstLine="0"/>
    </w:pPr>
    <w:rPr>
      <w:b w:val="0"/>
      <w:i/>
    </w:rPr>
  </w:style>
  <w:style w:type="character" w:customStyle="1" w:styleId="href">
    <w:name w:val="href"/>
    <w:basedOn w:val="DefaultParagraphFont"/>
    <w:rsid w:val="009A73D0"/>
  </w:style>
  <w:style w:type="paragraph" w:customStyle="1" w:styleId="enumlev1">
    <w:name w:val="enumlev1"/>
    <w:basedOn w:val="Normal"/>
    <w:rsid w:val="009A73D0"/>
    <w:pPr>
      <w:spacing w:before="80"/>
      <w:ind w:left="794" w:hanging="794"/>
    </w:pPr>
  </w:style>
  <w:style w:type="paragraph" w:customStyle="1" w:styleId="enumlev2">
    <w:name w:val="enumlev2"/>
    <w:basedOn w:val="enumlev1"/>
    <w:rsid w:val="009A73D0"/>
    <w:pPr>
      <w:ind w:left="1191" w:hanging="397"/>
    </w:pPr>
  </w:style>
  <w:style w:type="paragraph" w:customStyle="1" w:styleId="enumlev3">
    <w:name w:val="enumlev3"/>
    <w:basedOn w:val="enumlev2"/>
    <w:rsid w:val="009A73D0"/>
    <w:pPr>
      <w:ind w:left="1588"/>
    </w:pPr>
  </w:style>
  <w:style w:type="paragraph" w:customStyle="1" w:styleId="Normalaftertitle">
    <w:name w:val="Normal_after_title"/>
    <w:basedOn w:val="Normal"/>
    <w:next w:val="Normal"/>
    <w:rsid w:val="009A73D0"/>
    <w:pPr>
      <w:spacing w:before="320"/>
    </w:pPr>
  </w:style>
  <w:style w:type="paragraph" w:customStyle="1" w:styleId="Note">
    <w:name w:val="Note"/>
    <w:basedOn w:val="Normal"/>
    <w:rsid w:val="009A73D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A73D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A73D0"/>
    <w:pPr>
      <w:spacing w:before="240"/>
    </w:pPr>
    <w:rPr>
      <w:sz w:val="22"/>
      <w:lang w:val="es-ES_tradnl"/>
    </w:rPr>
  </w:style>
  <w:style w:type="paragraph" w:customStyle="1" w:styleId="Recref">
    <w:name w:val="Rec_ref"/>
    <w:basedOn w:val="Normal"/>
    <w:next w:val="Recdate"/>
    <w:rsid w:val="009A73D0"/>
    <w:pPr>
      <w:jc w:val="center"/>
    </w:pPr>
  </w:style>
  <w:style w:type="paragraph" w:customStyle="1" w:styleId="Recdate">
    <w:name w:val="Rec_date"/>
    <w:basedOn w:val="Recref"/>
    <w:next w:val="Normalaftertitle"/>
    <w:rsid w:val="009A73D0"/>
    <w:pPr>
      <w:jc w:val="right"/>
    </w:pPr>
  </w:style>
  <w:style w:type="paragraph" w:customStyle="1" w:styleId="AnnexNoTitle">
    <w:name w:val="Annex_NoTitle"/>
    <w:basedOn w:val="Normal"/>
    <w:next w:val="Normalaftertitle"/>
    <w:rsid w:val="009A73D0"/>
    <w:pPr>
      <w:keepNext/>
      <w:keepLines/>
      <w:spacing w:before="480" w:after="80"/>
      <w:jc w:val="center"/>
    </w:pPr>
    <w:rPr>
      <w:b/>
      <w:sz w:val="28"/>
    </w:rPr>
  </w:style>
  <w:style w:type="paragraph" w:customStyle="1" w:styleId="AppendixNoTitle">
    <w:name w:val="Appendix_NoTitle"/>
    <w:basedOn w:val="AnnexNoTitle"/>
    <w:next w:val="Normal"/>
    <w:rsid w:val="009A73D0"/>
  </w:style>
  <w:style w:type="paragraph" w:customStyle="1" w:styleId="Tablefin">
    <w:name w:val="Table_fin"/>
    <w:basedOn w:val="Normal"/>
    <w:next w:val="Normal"/>
    <w:rsid w:val="009A73D0"/>
    <w:pPr>
      <w:spacing w:before="0"/>
    </w:pPr>
    <w:rPr>
      <w:sz w:val="20"/>
      <w:lang w:val="en-GB"/>
    </w:rPr>
  </w:style>
  <w:style w:type="paragraph" w:customStyle="1" w:styleId="Tablehead">
    <w:name w:val="Table_head"/>
    <w:basedOn w:val="Normal"/>
    <w:next w:val="Normal"/>
    <w:rsid w:val="009A73D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73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A73D0"/>
    <w:pPr>
      <w:keepNext/>
      <w:spacing w:before="360" w:after="120"/>
      <w:jc w:val="center"/>
    </w:pPr>
  </w:style>
  <w:style w:type="paragraph" w:customStyle="1" w:styleId="Tabletext">
    <w:name w:val="Table_text"/>
    <w:basedOn w:val="Normal"/>
    <w:rsid w:val="009A73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A73D0"/>
    <w:pPr>
      <w:tabs>
        <w:tab w:val="clear" w:pos="1191"/>
        <w:tab w:val="clear" w:pos="1588"/>
        <w:tab w:val="clear" w:pos="1985"/>
        <w:tab w:val="center" w:pos="4820"/>
        <w:tab w:val="right" w:pos="9639"/>
      </w:tabs>
    </w:pPr>
  </w:style>
  <w:style w:type="paragraph" w:customStyle="1" w:styleId="Equationlegend">
    <w:name w:val="Equation_legend"/>
    <w:basedOn w:val="NormalIndent"/>
    <w:rsid w:val="009A73D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A73D0"/>
    <w:pPr>
      <w:ind w:left="794"/>
    </w:pPr>
  </w:style>
  <w:style w:type="paragraph" w:customStyle="1" w:styleId="Figurelegend">
    <w:name w:val="Figure_legend"/>
    <w:basedOn w:val="Normal"/>
    <w:rsid w:val="009A73D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A73D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A73D0"/>
    <w:pPr>
      <w:keepNext/>
      <w:keepLines/>
      <w:spacing w:before="480"/>
      <w:jc w:val="center"/>
    </w:pPr>
    <w:rPr>
      <w:sz w:val="28"/>
    </w:rPr>
  </w:style>
  <w:style w:type="paragraph" w:customStyle="1" w:styleId="Arttitle">
    <w:name w:val="Art_title"/>
    <w:basedOn w:val="Normal"/>
    <w:next w:val="Normalaftertitle"/>
    <w:rsid w:val="009A73D0"/>
    <w:pPr>
      <w:keepNext/>
      <w:keepLines/>
      <w:spacing w:before="240"/>
      <w:jc w:val="center"/>
    </w:pPr>
    <w:rPr>
      <w:b/>
      <w:sz w:val="28"/>
    </w:rPr>
  </w:style>
  <w:style w:type="paragraph" w:customStyle="1" w:styleId="Blanc">
    <w:name w:val="Blanc"/>
    <w:basedOn w:val="Normal"/>
    <w:next w:val="Tabletext"/>
    <w:rsid w:val="009A73D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A73D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A73D0"/>
    <w:pPr>
      <w:keepNext/>
      <w:keepLines/>
      <w:spacing w:before="160"/>
      <w:ind w:left="794"/>
    </w:pPr>
    <w:rPr>
      <w:i/>
    </w:rPr>
  </w:style>
  <w:style w:type="paragraph" w:customStyle="1" w:styleId="ChapNo">
    <w:name w:val="Chap_No"/>
    <w:basedOn w:val="ArtNo"/>
    <w:next w:val="Chaptitle"/>
    <w:rsid w:val="009A73D0"/>
    <w:rPr>
      <w:b/>
    </w:rPr>
  </w:style>
  <w:style w:type="paragraph" w:customStyle="1" w:styleId="Chaptitle">
    <w:name w:val="Chap_title"/>
    <w:basedOn w:val="Arttitle"/>
    <w:next w:val="Normalaftertitle"/>
    <w:rsid w:val="009A73D0"/>
  </w:style>
  <w:style w:type="character" w:styleId="FootnoteReference">
    <w:name w:val="footnote reference"/>
    <w:basedOn w:val="DefaultParagraphFont"/>
    <w:semiHidden/>
    <w:rsid w:val="009A73D0"/>
    <w:rPr>
      <w:position w:val="6"/>
      <w:sz w:val="18"/>
    </w:rPr>
  </w:style>
  <w:style w:type="paragraph" w:styleId="FootnoteText">
    <w:name w:val="footnote text"/>
    <w:basedOn w:val="Normal"/>
    <w:semiHidden/>
    <w:rsid w:val="009A73D0"/>
    <w:pPr>
      <w:keepLines/>
      <w:tabs>
        <w:tab w:val="left" w:pos="255"/>
      </w:tabs>
      <w:ind w:left="255" w:hanging="255"/>
    </w:pPr>
    <w:rPr>
      <w:sz w:val="22"/>
    </w:rPr>
  </w:style>
  <w:style w:type="paragraph" w:styleId="Index1">
    <w:name w:val="index 1"/>
    <w:basedOn w:val="Normal"/>
    <w:next w:val="Normal"/>
    <w:semiHidden/>
    <w:rsid w:val="009A73D0"/>
  </w:style>
  <w:style w:type="paragraph" w:styleId="Index2">
    <w:name w:val="index 2"/>
    <w:basedOn w:val="Normal"/>
    <w:next w:val="Normal"/>
    <w:semiHidden/>
    <w:rsid w:val="009A73D0"/>
    <w:pPr>
      <w:ind w:left="283"/>
    </w:pPr>
  </w:style>
  <w:style w:type="paragraph" w:styleId="Index3">
    <w:name w:val="index 3"/>
    <w:basedOn w:val="Normal"/>
    <w:next w:val="Normal"/>
    <w:semiHidden/>
    <w:rsid w:val="009A73D0"/>
    <w:pPr>
      <w:ind w:left="566"/>
    </w:pPr>
  </w:style>
  <w:style w:type="paragraph" w:styleId="IndexHeading">
    <w:name w:val="index heading"/>
    <w:basedOn w:val="Normal"/>
    <w:next w:val="Index1"/>
    <w:semiHidden/>
    <w:rsid w:val="009A73D0"/>
  </w:style>
  <w:style w:type="paragraph" w:customStyle="1" w:styleId="Line">
    <w:name w:val="Line"/>
    <w:basedOn w:val="Normal"/>
    <w:next w:val="Normal"/>
    <w:rsid w:val="009A73D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A73D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A73D0"/>
  </w:style>
  <w:style w:type="paragraph" w:customStyle="1" w:styleId="Partref">
    <w:name w:val="Part_ref"/>
    <w:basedOn w:val="Normal"/>
    <w:next w:val="Normal"/>
    <w:rsid w:val="009A73D0"/>
    <w:pPr>
      <w:keepNext/>
      <w:keepLines/>
      <w:spacing w:after="280"/>
      <w:jc w:val="center"/>
    </w:pPr>
  </w:style>
  <w:style w:type="paragraph" w:customStyle="1" w:styleId="Parttitle">
    <w:name w:val="Part_title"/>
    <w:basedOn w:val="Normal"/>
    <w:next w:val="Normalaftertitle"/>
    <w:rsid w:val="009A73D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A73D0"/>
  </w:style>
  <w:style w:type="paragraph" w:customStyle="1" w:styleId="QuestionNo">
    <w:name w:val="Question_No"/>
    <w:basedOn w:val="RecNo"/>
    <w:next w:val="Normal"/>
    <w:rsid w:val="009A73D0"/>
  </w:style>
  <w:style w:type="paragraph" w:customStyle="1" w:styleId="Questionref">
    <w:name w:val="Question_ref"/>
    <w:basedOn w:val="Recref"/>
    <w:next w:val="Questiondate"/>
    <w:rsid w:val="009A73D0"/>
  </w:style>
  <w:style w:type="paragraph" w:customStyle="1" w:styleId="Questiontitle">
    <w:name w:val="Question_title"/>
    <w:basedOn w:val="Normal"/>
    <w:next w:val="Questionref"/>
    <w:rsid w:val="009A73D0"/>
  </w:style>
  <w:style w:type="paragraph" w:customStyle="1" w:styleId="Reftext">
    <w:name w:val="Ref_text"/>
    <w:basedOn w:val="Normal"/>
    <w:rsid w:val="009A73D0"/>
    <w:pPr>
      <w:ind w:left="794" w:hanging="794"/>
    </w:pPr>
    <w:rPr>
      <w:sz w:val="22"/>
    </w:rPr>
  </w:style>
  <w:style w:type="paragraph" w:customStyle="1" w:styleId="Reftitle">
    <w:name w:val="Ref_title"/>
    <w:basedOn w:val="Normal"/>
    <w:next w:val="Reftext"/>
    <w:rsid w:val="009A73D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A73D0"/>
  </w:style>
  <w:style w:type="paragraph" w:customStyle="1" w:styleId="RepNo">
    <w:name w:val="Rep_No"/>
    <w:basedOn w:val="RecNo"/>
    <w:next w:val="Reptitle"/>
    <w:rsid w:val="009A73D0"/>
  </w:style>
  <w:style w:type="paragraph" w:customStyle="1" w:styleId="Repref">
    <w:name w:val="Rep_ref"/>
    <w:basedOn w:val="Recref"/>
    <w:next w:val="Repdate"/>
    <w:rsid w:val="009A73D0"/>
  </w:style>
  <w:style w:type="paragraph" w:customStyle="1" w:styleId="Reptitle">
    <w:name w:val="Rep_title"/>
    <w:basedOn w:val="Rectitle"/>
    <w:next w:val="Repref"/>
    <w:rsid w:val="009A73D0"/>
  </w:style>
  <w:style w:type="paragraph" w:customStyle="1" w:styleId="Resdate">
    <w:name w:val="Res_date"/>
    <w:basedOn w:val="Recdate"/>
    <w:next w:val="Normalaftertitle"/>
    <w:rsid w:val="009A73D0"/>
  </w:style>
  <w:style w:type="paragraph" w:customStyle="1" w:styleId="ResNo">
    <w:name w:val="Res_No"/>
    <w:basedOn w:val="RecNo"/>
    <w:next w:val="Restitle"/>
    <w:rsid w:val="009A73D0"/>
  </w:style>
  <w:style w:type="paragraph" w:customStyle="1" w:styleId="Resref">
    <w:name w:val="Res_ref"/>
    <w:basedOn w:val="Recref"/>
    <w:next w:val="Resdate"/>
    <w:rsid w:val="009A73D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A73D0"/>
  </w:style>
  <w:style w:type="paragraph" w:customStyle="1" w:styleId="Sectiontitle">
    <w:name w:val="Section_title"/>
    <w:basedOn w:val="Normal"/>
    <w:next w:val="Normalaftertitle"/>
    <w:rsid w:val="009A73D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A73D0"/>
    <w:pPr>
      <w:tabs>
        <w:tab w:val="clear" w:pos="794"/>
        <w:tab w:val="clear" w:pos="1191"/>
        <w:tab w:val="clear" w:pos="1588"/>
        <w:tab w:val="clear" w:pos="1985"/>
        <w:tab w:val="right" w:pos="9611"/>
      </w:tabs>
    </w:pPr>
    <w:rPr>
      <w:i/>
    </w:rPr>
  </w:style>
  <w:style w:type="paragraph" w:styleId="TOC1">
    <w:name w:val="toc 1"/>
    <w:basedOn w:val="Normal"/>
    <w:semiHidden/>
    <w:rsid w:val="009A73D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A73D0"/>
    <w:pPr>
      <w:tabs>
        <w:tab w:val="clear" w:pos="567"/>
        <w:tab w:val="left" w:pos="1276"/>
      </w:tabs>
      <w:spacing w:before="160"/>
      <w:ind w:left="1276" w:hanging="709"/>
    </w:pPr>
  </w:style>
  <w:style w:type="paragraph" w:styleId="TOC3">
    <w:name w:val="toc 3"/>
    <w:basedOn w:val="TOC2"/>
    <w:semiHidden/>
    <w:rsid w:val="009A73D0"/>
    <w:pPr>
      <w:tabs>
        <w:tab w:val="clear" w:pos="1276"/>
        <w:tab w:val="left" w:pos="2155"/>
      </w:tabs>
      <w:ind w:left="2155" w:hanging="879"/>
    </w:pPr>
  </w:style>
  <w:style w:type="paragraph" w:styleId="TOC4">
    <w:name w:val="toc 4"/>
    <w:basedOn w:val="TOC3"/>
    <w:semiHidden/>
    <w:rsid w:val="009A73D0"/>
    <w:pPr>
      <w:tabs>
        <w:tab w:val="left" w:pos="3261"/>
      </w:tabs>
      <w:spacing w:before="80"/>
      <w:ind w:left="3261" w:hanging="993"/>
    </w:pPr>
  </w:style>
  <w:style w:type="paragraph" w:styleId="TOC5">
    <w:name w:val="toc 5"/>
    <w:basedOn w:val="TOC4"/>
    <w:semiHidden/>
    <w:rsid w:val="009A73D0"/>
  </w:style>
  <w:style w:type="paragraph" w:styleId="TOC6">
    <w:name w:val="toc 6"/>
    <w:basedOn w:val="TOC4"/>
    <w:semiHidden/>
    <w:rsid w:val="009A73D0"/>
  </w:style>
  <w:style w:type="paragraph" w:styleId="TOC7">
    <w:name w:val="toc 7"/>
    <w:basedOn w:val="TOC4"/>
    <w:semiHidden/>
    <w:rsid w:val="009A73D0"/>
  </w:style>
  <w:style w:type="paragraph" w:styleId="TOC8">
    <w:name w:val="toc 8"/>
    <w:basedOn w:val="TOC4"/>
    <w:semiHidden/>
    <w:rsid w:val="009A73D0"/>
  </w:style>
  <w:style w:type="paragraph" w:customStyle="1" w:styleId="Rectitle">
    <w:name w:val="Rec_title"/>
    <w:basedOn w:val="Normal"/>
    <w:next w:val="Recref"/>
    <w:link w:val="RectitleChar"/>
    <w:rsid w:val="009A73D0"/>
    <w:pPr>
      <w:keepNext/>
      <w:keepLines/>
      <w:spacing w:before="240"/>
      <w:jc w:val="center"/>
    </w:pPr>
    <w:rPr>
      <w:b/>
      <w:sz w:val="28"/>
    </w:rPr>
  </w:style>
  <w:style w:type="paragraph" w:customStyle="1" w:styleId="Annexref">
    <w:name w:val="Annex_ref"/>
    <w:basedOn w:val="Normal"/>
    <w:next w:val="Normalaftertitle"/>
    <w:rsid w:val="009A73D0"/>
    <w:pPr>
      <w:keepNext/>
      <w:keepLines/>
      <w:spacing w:after="280"/>
      <w:jc w:val="center"/>
    </w:pPr>
  </w:style>
  <w:style w:type="paragraph" w:customStyle="1" w:styleId="Appendixref">
    <w:name w:val="Appendix_ref"/>
    <w:basedOn w:val="Annexref"/>
    <w:next w:val="Normalaftertitle"/>
    <w:rsid w:val="009A73D0"/>
  </w:style>
  <w:style w:type="paragraph" w:customStyle="1" w:styleId="Figuretitle">
    <w:name w:val="Figure_title"/>
    <w:basedOn w:val="Normal"/>
    <w:next w:val="Figure"/>
    <w:rsid w:val="009A73D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A73D0"/>
    <w:pPr>
      <w:keepNext/>
      <w:spacing w:before="0" w:after="120"/>
      <w:jc w:val="center"/>
    </w:pPr>
    <w:rPr>
      <w:b/>
    </w:rPr>
  </w:style>
  <w:style w:type="paragraph" w:customStyle="1" w:styleId="Summary">
    <w:name w:val="Summary"/>
    <w:basedOn w:val="Normal"/>
    <w:next w:val="Normalaftertitle"/>
    <w:rsid w:val="009A73D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85344"/>
    <w:rPr>
      <w:color w:val="0000FF"/>
      <w:u w:val="single"/>
    </w:rPr>
  </w:style>
  <w:style w:type="character" w:customStyle="1" w:styleId="RectitleChar">
    <w:name w:val="Rec_title Char"/>
    <w:basedOn w:val="DefaultParagraphFont"/>
    <w:link w:val="Rectitle"/>
    <w:rsid w:val="00C85344"/>
    <w:rPr>
      <w:b/>
      <w:sz w:val="2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4</Pages>
  <Words>814</Words>
  <Characters>4997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3</cp:revision>
  <cp:lastPrinted>2005-02-10T15:54:00Z</cp:lastPrinted>
  <dcterms:created xsi:type="dcterms:W3CDTF">2010-11-23T11:38:00Z</dcterms:created>
  <dcterms:modified xsi:type="dcterms:W3CDTF">2010-11-23T11:45:00Z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