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DE5" w:rsidRDefault="003B1DE5" w:rsidP="003B1DE5"/>
    <w:p w:rsidR="003B1DE5" w:rsidRDefault="003B1DE5" w:rsidP="003B1DE5"/>
    <w:p w:rsidR="003B1DE5" w:rsidRDefault="003B1DE5" w:rsidP="003B1DE5"/>
    <w:p w:rsidR="003B1DE5" w:rsidRDefault="003B1DE5" w:rsidP="003B1DE5"/>
    <w:p w:rsidR="003B1DE5" w:rsidRDefault="003B1DE5" w:rsidP="003B1DE5"/>
    <w:p w:rsidR="003B1DE5" w:rsidRDefault="003B1DE5" w:rsidP="003B1DE5"/>
    <w:p w:rsidR="003B1DE5" w:rsidRDefault="003B1DE5" w:rsidP="003B1DE5"/>
    <w:p w:rsidR="003B1DE5" w:rsidRDefault="003B1DE5" w:rsidP="003B1DE5"/>
    <w:p w:rsidR="003B1DE5" w:rsidRDefault="003B1DE5" w:rsidP="003B1DE5"/>
    <w:p w:rsidR="003B1DE5" w:rsidRDefault="003B1DE5" w:rsidP="003B1DE5"/>
    <w:p w:rsidR="003B1DE5" w:rsidRDefault="003B1DE5" w:rsidP="003B1DE5"/>
    <w:p w:rsidR="003B1DE5" w:rsidRDefault="003B1DE5" w:rsidP="003B1DE5"/>
    <w:tbl>
      <w:tblPr>
        <w:tblW w:w="10089" w:type="dxa"/>
        <w:tblLook w:val="01E0"/>
      </w:tblPr>
      <w:tblGrid>
        <w:gridCol w:w="10089"/>
      </w:tblGrid>
      <w:tr w:rsidR="003B1DE5" w:rsidRPr="000F6905" w:rsidTr="000D067A">
        <w:tc>
          <w:tcPr>
            <w:tcW w:w="10089" w:type="dxa"/>
          </w:tcPr>
          <w:p w:rsidR="003B1DE5" w:rsidRPr="007B31CB" w:rsidRDefault="003B1DE5" w:rsidP="000D067A">
            <w:pPr>
              <w:spacing w:before="380" w:line="280" w:lineRule="exact"/>
              <w:jc w:val="right"/>
              <w:rPr>
                <w:rFonts w:ascii="Tahoma" w:hAnsi="Tahoma" w:cs="Tahoma"/>
                <w:b/>
                <w:bCs/>
                <w:iCs/>
                <w:color w:val="243285"/>
                <w:sz w:val="32"/>
                <w:szCs w:val="32"/>
                <w:lang w:val="en-US"/>
              </w:rPr>
            </w:pPr>
          </w:p>
          <w:p w:rsidR="003B1DE5" w:rsidRPr="006D690E" w:rsidRDefault="003B1DE5" w:rsidP="000D067A">
            <w:pPr>
              <w:spacing w:before="380" w:line="280" w:lineRule="exact"/>
              <w:jc w:val="right"/>
              <w:rPr>
                <w:rFonts w:ascii="Tahoma" w:hAnsi="Tahoma" w:cs="Tahoma"/>
                <w:b/>
                <w:bCs/>
                <w:iCs/>
                <w:color w:val="243285"/>
                <w:sz w:val="36"/>
                <w:szCs w:val="36"/>
              </w:rPr>
            </w:pPr>
            <w:r w:rsidRPr="006D690E">
              <w:rPr>
                <w:rFonts w:ascii="Tahoma" w:hAnsi="Tahoma" w:cs="Tahoma"/>
                <w:b/>
                <w:bCs/>
                <w:iCs/>
                <w:color w:val="243285"/>
                <w:sz w:val="36"/>
                <w:szCs w:val="36"/>
              </w:rPr>
              <w:t>Recommendation  ITU-R  BT.</w:t>
            </w:r>
            <w:r>
              <w:rPr>
                <w:rFonts w:ascii="Tahoma" w:hAnsi="Tahoma" w:cs="Tahoma"/>
                <w:b/>
                <w:bCs/>
                <w:iCs/>
                <w:color w:val="243285"/>
                <w:sz w:val="36"/>
                <w:szCs w:val="36"/>
              </w:rPr>
              <w:t>1728-1</w:t>
            </w:r>
          </w:p>
          <w:p w:rsidR="003B1DE5" w:rsidRPr="000F6905" w:rsidRDefault="003B1DE5" w:rsidP="00AB324E">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AB324E">
              <w:rPr>
                <w:rFonts w:ascii="Tahoma" w:hAnsi="Tahoma" w:cs="Tahoma"/>
                <w:b/>
                <w:bCs/>
                <w:iCs/>
                <w:color w:val="243285"/>
                <w:szCs w:val="24"/>
              </w:rPr>
              <w:t>03</w:t>
            </w:r>
            <w:r w:rsidRPr="000F6905">
              <w:rPr>
                <w:rFonts w:ascii="Tahoma" w:hAnsi="Tahoma" w:cs="Tahoma"/>
                <w:b/>
                <w:bCs/>
                <w:iCs/>
                <w:color w:val="243285"/>
                <w:szCs w:val="24"/>
              </w:rPr>
              <w:t>/</w:t>
            </w:r>
            <w:r>
              <w:rPr>
                <w:rFonts w:ascii="Tahoma" w:hAnsi="Tahoma" w:cs="Tahoma"/>
                <w:b/>
                <w:bCs/>
                <w:iCs/>
                <w:color w:val="243285"/>
                <w:szCs w:val="24"/>
              </w:rPr>
              <w:t>2010</w:t>
            </w:r>
            <w:r w:rsidRPr="000F6905">
              <w:rPr>
                <w:rFonts w:ascii="Tahoma" w:hAnsi="Tahoma" w:cs="Tahoma"/>
                <w:b/>
                <w:bCs/>
                <w:iCs/>
                <w:color w:val="243285"/>
                <w:szCs w:val="24"/>
              </w:rPr>
              <w:t>)</w:t>
            </w:r>
          </w:p>
        </w:tc>
      </w:tr>
      <w:tr w:rsidR="003B1DE5" w:rsidRPr="007B31CB" w:rsidTr="000D067A">
        <w:tc>
          <w:tcPr>
            <w:tcW w:w="10089" w:type="dxa"/>
          </w:tcPr>
          <w:p w:rsidR="003B1DE5" w:rsidRPr="005616E1" w:rsidRDefault="003B1DE5" w:rsidP="000D067A">
            <w:pPr>
              <w:spacing w:before="80" w:line="500" w:lineRule="exact"/>
              <w:jc w:val="right"/>
              <w:rPr>
                <w:rFonts w:ascii="Tahoma" w:hAnsi="Tahoma" w:cs="Tahoma"/>
                <w:b/>
                <w:bCs/>
                <w:iCs/>
                <w:color w:val="243285"/>
                <w:sz w:val="44"/>
                <w:szCs w:val="44"/>
                <w:lang w:val="en-US"/>
              </w:rPr>
            </w:pPr>
          </w:p>
          <w:p w:rsidR="003B1DE5" w:rsidRDefault="003B1DE5" w:rsidP="000D067A">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Guidance on the use of flat panel displays in television production and postproduction</w:t>
            </w:r>
          </w:p>
          <w:p w:rsidR="003B1DE5" w:rsidRPr="007B31CB" w:rsidRDefault="003B1DE5" w:rsidP="000D067A">
            <w:pPr>
              <w:spacing w:before="80" w:line="500" w:lineRule="exact"/>
              <w:jc w:val="right"/>
              <w:rPr>
                <w:rFonts w:ascii="Tahoma" w:hAnsi="Tahoma" w:cs="Tahoma"/>
                <w:b/>
                <w:bCs/>
                <w:iCs/>
                <w:color w:val="243285"/>
                <w:sz w:val="44"/>
                <w:szCs w:val="44"/>
                <w:lang w:val="en-US"/>
              </w:rPr>
            </w:pPr>
            <w:r w:rsidRPr="007B31CB">
              <w:rPr>
                <w:rFonts w:ascii="Tahoma" w:hAnsi="Tahoma" w:cs="Tahoma"/>
                <w:b/>
                <w:bCs/>
                <w:iCs/>
                <w:color w:val="243285"/>
                <w:sz w:val="44"/>
                <w:szCs w:val="44"/>
                <w:lang w:val="en-US"/>
              </w:rPr>
              <w:t xml:space="preserve"> </w:t>
            </w:r>
          </w:p>
        </w:tc>
      </w:tr>
      <w:tr w:rsidR="003B1DE5" w:rsidTr="000D067A">
        <w:tc>
          <w:tcPr>
            <w:tcW w:w="10089" w:type="dxa"/>
          </w:tcPr>
          <w:p w:rsidR="003B1DE5" w:rsidRPr="005616E1" w:rsidRDefault="003B1DE5" w:rsidP="000D067A">
            <w:pPr>
              <w:spacing w:before="80" w:line="280" w:lineRule="exact"/>
              <w:ind w:right="640"/>
              <w:rPr>
                <w:rFonts w:ascii="Tahoma" w:hAnsi="Tahoma" w:cs="Tahoma"/>
                <w:b/>
                <w:bCs/>
                <w:iCs/>
                <w:color w:val="243285"/>
                <w:sz w:val="32"/>
                <w:szCs w:val="32"/>
                <w:lang w:val="en-US"/>
              </w:rPr>
            </w:pPr>
          </w:p>
          <w:p w:rsidR="003B1DE5" w:rsidRPr="005616E1" w:rsidRDefault="003B1DE5" w:rsidP="000D067A">
            <w:pPr>
              <w:spacing w:before="80" w:line="280" w:lineRule="exact"/>
              <w:ind w:right="640"/>
              <w:rPr>
                <w:rFonts w:ascii="Tahoma" w:hAnsi="Tahoma" w:cs="Tahoma"/>
                <w:b/>
                <w:bCs/>
                <w:iCs/>
                <w:color w:val="243285"/>
                <w:sz w:val="32"/>
                <w:szCs w:val="32"/>
                <w:lang w:val="en-US"/>
              </w:rPr>
            </w:pPr>
          </w:p>
          <w:p w:rsidR="003B1DE5" w:rsidRPr="005616E1" w:rsidRDefault="003B1DE5" w:rsidP="000D067A">
            <w:pPr>
              <w:spacing w:before="80" w:after="180" w:line="360" w:lineRule="exact"/>
              <w:ind w:right="720"/>
              <w:rPr>
                <w:rFonts w:ascii="Tahoma" w:hAnsi="Tahoma" w:cs="Tahoma"/>
                <w:b/>
                <w:bCs/>
                <w:iCs/>
                <w:color w:val="243285"/>
                <w:sz w:val="36"/>
                <w:szCs w:val="36"/>
                <w:lang w:val="en-US"/>
              </w:rPr>
            </w:pPr>
          </w:p>
          <w:p w:rsidR="003B1DE5" w:rsidRPr="007B31CB" w:rsidRDefault="003B1DE5" w:rsidP="000D067A">
            <w:pPr>
              <w:spacing w:before="80" w:after="180" w:line="360" w:lineRule="exact"/>
              <w:jc w:val="right"/>
              <w:rPr>
                <w:rFonts w:ascii="Tahoma" w:hAnsi="Tahoma" w:cs="Tahoma"/>
                <w:b/>
                <w:bCs/>
                <w:iCs/>
                <w:color w:val="243285"/>
                <w:sz w:val="36"/>
                <w:szCs w:val="36"/>
                <w:lang w:val="en-US"/>
              </w:rPr>
            </w:pPr>
            <w:r w:rsidRPr="007B31CB">
              <w:rPr>
                <w:rFonts w:ascii="Tahoma" w:hAnsi="Tahoma" w:cs="Tahoma"/>
                <w:b/>
                <w:bCs/>
                <w:iCs/>
                <w:color w:val="243285"/>
                <w:sz w:val="36"/>
                <w:szCs w:val="36"/>
                <w:lang w:val="en-US"/>
              </w:rPr>
              <w:t>BT Series</w:t>
            </w:r>
          </w:p>
          <w:p w:rsidR="003B1DE5" w:rsidRDefault="003B1DE5" w:rsidP="00AB324E">
            <w:pPr>
              <w:spacing w:before="80" w:line="360" w:lineRule="exact"/>
              <w:jc w:val="right"/>
              <w:rPr>
                <w:rFonts w:ascii="Tahoma" w:hAnsi="Tahoma" w:cs="Tahoma"/>
                <w:b/>
                <w:bCs/>
                <w:iCs/>
                <w:color w:val="243285"/>
                <w:sz w:val="36"/>
                <w:szCs w:val="36"/>
                <w:lang w:val="en-US"/>
              </w:rPr>
            </w:pPr>
            <w:r w:rsidRPr="007B31CB">
              <w:rPr>
                <w:rFonts w:ascii="Tahoma" w:hAnsi="Tahoma" w:cs="Tahoma"/>
                <w:b/>
                <w:bCs/>
                <w:iCs/>
                <w:color w:val="243285"/>
                <w:sz w:val="36"/>
                <w:szCs w:val="36"/>
                <w:lang w:val="en-US"/>
              </w:rPr>
              <w:t>Broadcasting service</w:t>
            </w:r>
          </w:p>
          <w:p w:rsidR="003B1DE5" w:rsidRPr="007B31CB" w:rsidRDefault="003B1DE5" w:rsidP="000D067A">
            <w:pPr>
              <w:spacing w:before="80" w:line="360" w:lineRule="exact"/>
              <w:jc w:val="right"/>
              <w:rPr>
                <w:rFonts w:ascii="Tahoma" w:hAnsi="Tahoma" w:cs="Tahoma"/>
                <w:b/>
                <w:bCs/>
                <w:iCs/>
                <w:color w:val="243285"/>
                <w:sz w:val="36"/>
                <w:szCs w:val="36"/>
                <w:lang w:val="en-US"/>
              </w:rPr>
            </w:pPr>
            <w:r w:rsidRPr="007B31CB">
              <w:rPr>
                <w:rFonts w:ascii="Tahoma" w:hAnsi="Tahoma" w:cs="Tahoma"/>
                <w:b/>
                <w:bCs/>
                <w:iCs/>
                <w:color w:val="243285"/>
                <w:sz w:val="36"/>
                <w:szCs w:val="36"/>
                <w:lang w:val="en-US"/>
              </w:rPr>
              <w:t>(television)</w:t>
            </w:r>
          </w:p>
          <w:p w:rsidR="003B1DE5" w:rsidRPr="007B31CB" w:rsidRDefault="003B1DE5" w:rsidP="000D067A">
            <w:pPr>
              <w:spacing w:before="80" w:line="360" w:lineRule="exact"/>
              <w:jc w:val="right"/>
              <w:rPr>
                <w:rFonts w:ascii="Tahoma" w:hAnsi="Tahoma" w:cs="Tahoma"/>
                <w:b/>
                <w:bCs/>
                <w:iCs/>
                <w:color w:val="243285"/>
                <w:sz w:val="32"/>
                <w:szCs w:val="32"/>
                <w:lang w:val="en-US"/>
              </w:rPr>
            </w:pPr>
          </w:p>
        </w:tc>
      </w:tr>
    </w:tbl>
    <w:p w:rsidR="003B1DE5" w:rsidRDefault="003B1DE5" w:rsidP="003B1DE5">
      <w:pPr>
        <w:spacing w:before="80"/>
        <w:rPr>
          <w:i/>
          <w:sz w:val="22"/>
          <w:lang w:val="en-US"/>
        </w:rPr>
      </w:pPr>
    </w:p>
    <w:p w:rsidR="003B1DE5" w:rsidRDefault="003B1DE5" w:rsidP="003B1DE5">
      <w:pPr>
        <w:spacing w:before="80"/>
        <w:rPr>
          <w:i/>
          <w:sz w:val="22"/>
          <w:lang w:val="en-US"/>
        </w:rPr>
      </w:pPr>
    </w:p>
    <w:p w:rsidR="003B1DE5" w:rsidRDefault="003B1DE5" w:rsidP="003B1DE5">
      <w:pPr>
        <w:spacing w:before="80"/>
        <w:rPr>
          <w:i/>
          <w:sz w:val="22"/>
          <w:lang w:val="en-US"/>
        </w:rPr>
      </w:pPr>
    </w:p>
    <w:p w:rsidR="003B1DE5" w:rsidRDefault="003B1DE5" w:rsidP="003B1DE5">
      <w:pPr>
        <w:spacing w:before="80"/>
        <w:rPr>
          <w:i/>
          <w:sz w:val="22"/>
          <w:lang w:val="en-US"/>
        </w:rPr>
      </w:pPr>
    </w:p>
    <w:p w:rsidR="003B1DE5" w:rsidRDefault="003B1DE5" w:rsidP="003B1DE5">
      <w:pPr>
        <w:spacing w:before="80"/>
        <w:rPr>
          <w:i/>
          <w:sz w:val="22"/>
          <w:lang w:val="en-US"/>
        </w:rPr>
      </w:pPr>
    </w:p>
    <w:p w:rsidR="003B1DE5" w:rsidRDefault="003B1DE5" w:rsidP="003B1DE5">
      <w:pPr>
        <w:spacing w:before="80"/>
        <w:rPr>
          <w:i/>
          <w:sz w:val="22"/>
          <w:lang w:val="en-US"/>
        </w:rPr>
      </w:pPr>
    </w:p>
    <w:p w:rsidR="003B1DE5" w:rsidRDefault="003B1DE5" w:rsidP="003B1DE5">
      <w:pPr>
        <w:pStyle w:val="Equation"/>
        <w:tabs>
          <w:tab w:val="clear" w:pos="4820"/>
          <w:tab w:val="clear" w:pos="9639"/>
          <w:tab w:val="left" w:pos="1191"/>
          <w:tab w:val="left" w:pos="1588"/>
          <w:tab w:val="left" w:pos="1985"/>
        </w:tabs>
        <w:rPr>
          <w:rFonts w:ascii="Palatino Linotype" w:hAnsi="Palatino Linotype"/>
          <w:lang w:val="en-US"/>
        </w:rPr>
        <w:sectPr w:rsidR="003B1DE5">
          <w:headerReference w:type="even" r:id="rId6"/>
          <w:headerReference w:type="default" r:id="rId7"/>
          <w:pgSz w:w="11907" w:h="16840" w:code="9"/>
          <w:pgMar w:top="1089" w:right="1089" w:bottom="284" w:left="1089" w:header="567" w:footer="284" w:gutter="0"/>
          <w:pgNumType w:start="1"/>
          <w:cols w:space="720"/>
        </w:sectPr>
      </w:pPr>
    </w:p>
    <w:p w:rsidR="003B1DE5" w:rsidRPr="00586EF8" w:rsidRDefault="003B1DE5" w:rsidP="003B1D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3B1DE5" w:rsidRDefault="003B1DE5" w:rsidP="000D067A">
      <w:pPr>
        <w:spacing w:before="240"/>
        <w:jc w:val="both"/>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B1DE5" w:rsidRDefault="003B1DE5" w:rsidP="000D067A">
      <w:pPr>
        <w:jc w:val="both"/>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3B1DE5" w:rsidRPr="00B714F3" w:rsidRDefault="003B1DE5" w:rsidP="003B1DE5">
      <w:pPr>
        <w:pStyle w:val="Heading1"/>
        <w:spacing w:before="680"/>
        <w:jc w:val="center"/>
        <w:rPr>
          <w:szCs w:val="24"/>
          <w:lang w:val="en-US"/>
        </w:rPr>
      </w:pPr>
      <w:r w:rsidRPr="00B714F3">
        <w:rPr>
          <w:szCs w:val="24"/>
          <w:lang w:val="en-US"/>
        </w:rPr>
        <w:t>Policy on Intellectual Property Right (IPR)</w:t>
      </w:r>
    </w:p>
    <w:p w:rsidR="003B1DE5" w:rsidRPr="00B714F3" w:rsidRDefault="003B1DE5" w:rsidP="000D067A">
      <w:pPr>
        <w:tabs>
          <w:tab w:val="clear" w:pos="794"/>
          <w:tab w:val="clear" w:pos="1191"/>
          <w:tab w:val="clear" w:pos="1588"/>
          <w:tab w:val="clear" w:pos="1985"/>
        </w:tabs>
        <w:spacing w:before="240"/>
        <w:jc w:val="both"/>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3B1DE5" w:rsidRDefault="003B1DE5" w:rsidP="003B1DE5">
      <w:pPr>
        <w:jc w:val="center"/>
        <w:rPr>
          <w:sz w:val="22"/>
          <w:lang w:val="en-US"/>
        </w:rPr>
      </w:pPr>
    </w:p>
    <w:p w:rsidR="003B1DE5" w:rsidRDefault="003B1DE5" w:rsidP="003B1DE5">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3B1DE5" w:rsidTr="000D067A">
        <w:tc>
          <w:tcPr>
            <w:tcW w:w="9360" w:type="dxa"/>
            <w:gridSpan w:val="2"/>
          </w:tcPr>
          <w:p w:rsidR="003B1DE5" w:rsidRPr="00036EE3" w:rsidRDefault="003B1DE5" w:rsidP="000D067A">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3B1DE5" w:rsidRPr="00036EE3" w:rsidRDefault="003B1DE5" w:rsidP="000D06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036EE3">
              <w:rPr>
                <w:b w:val="0"/>
                <w:sz w:val="18"/>
                <w:szCs w:val="18"/>
                <w:lang w:val="en-US"/>
              </w:rPr>
              <w:t>)</w:t>
            </w:r>
          </w:p>
        </w:tc>
      </w:tr>
      <w:tr w:rsidR="003B1DE5" w:rsidRPr="00036EE3" w:rsidTr="000D067A">
        <w:tc>
          <w:tcPr>
            <w:tcW w:w="1140" w:type="dxa"/>
          </w:tcPr>
          <w:p w:rsidR="003B1DE5" w:rsidRPr="00036EE3" w:rsidRDefault="003B1DE5" w:rsidP="000D067A">
            <w:pPr>
              <w:spacing w:before="200" w:after="100"/>
              <w:ind w:left="57"/>
              <w:rPr>
                <w:b/>
                <w:bCs/>
                <w:sz w:val="20"/>
                <w:lang w:val="en-US"/>
              </w:rPr>
            </w:pPr>
            <w:r w:rsidRPr="00036EE3">
              <w:rPr>
                <w:b/>
                <w:bCs/>
                <w:sz w:val="20"/>
                <w:lang w:val="en-US"/>
              </w:rPr>
              <w:t>Series</w:t>
            </w:r>
          </w:p>
        </w:tc>
        <w:tc>
          <w:tcPr>
            <w:tcW w:w="8220" w:type="dxa"/>
          </w:tcPr>
          <w:p w:rsidR="003B1DE5" w:rsidRPr="00036EE3" w:rsidRDefault="003B1DE5" w:rsidP="000D06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3B1DE5" w:rsidRPr="00036EE3" w:rsidTr="000D067A">
        <w:tc>
          <w:tcPr>
            <w:tcW w:w="1140" w:type="dxa"/>
          </w:tcPr>
          <w:p w:rsidR="003B1DE5" w:rsidRPr="00036EE3" w:rsidRDefault="003B1DE5" w:rsidP="000D067A">
            <w:pPr>
              <w:spacing w:before="30" w:after="30"/>
              <w:ind w:left="57"/>
              <w:rPr>
                <w:b/>
                <w:bCs/>
                <w:sz w:val="20"/>
                <w:lang w:val="en-US"/>
              </w:rPr>
            </w:pPr>
            <w:r w:rsidRPr="00036EE3">
              <w:rPr>
                <w:b/>
                <w:bCs/>
                <w:sz w:val="20"/>
                <w:lang w:val="en-US"/>
              </w:rPr>
              <w:t>BO</w:t>
            </w:r>
          </w:p>
        </w:tc>
        <w:tc>
          <w:tcPr>
            <w:tcW w:w="8220" w:type="dxa"/>
          </w:tcPr>
          <w:p w:rsidR="003B1DE5" w:rsidRPr="00036EE3" w:rsidRDefault="003B1DE5" w:rsidP="000D06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3B1DE5" w:rsidRPr="00036EE3" w:rsidTr="000D067A">
        <w:tc>
          <w:tcPr>
            <w:tcW w:w="1140" w:type="dxa"/>
          </w:tcPr>
          <w:p w:rsidR="003B1DE5" w:rsidRPr="00036EE3" w:rsidRDefault="003B1DE5" w:rsidP="000D067A">
            <w:pPr>
              <w:spacing w:before="30" w:after="30"/>
              <w:ind w:left="57"/>
              <w:rPr>
                <w:b/>
                <w:bCs/>
                <w:sz w:val="20"/>
                <w:lang w:val="en-US"/>
              </w:rPr>
            </w:pPr>
            <w:r w:rsidRPr="00036EE3">
              <w:rPr>
                <w:b/>
                <w:bCs/>
                <w:sz w:val="20"/>
                <w:lang w:val="en-US"/>
              </w:rPr>
              <w:t>BR</w:t>
            </w:r>
          </w:p>
        </w:tc>
        <w:tc>
          <w:tcPr>
            <w:tcW w:w="8220" w:type="dxa"/>
          </w:tcPr>
          <w:p w:rsidR="003B1DE5" w:rsidRPr="00036EE3" w:rsidRDefault="003B1DE5" w:rsidP="000D06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3B1DE5" w:rsidRPr="00036EE3" w:rsidTr="000D067A">
        <w:tc>
          <w:tcPr>
            <w:tcW w:w="1140" w:type="dxa"/>
            <w:tcBorders>
              <w:bottom w:val="nil"/>
            </w:tcBorders>
          </w:tcPr>
          <w:p w:rsidR="003B1DE5" w:rsidRPr="00036EE3" w:rsidRDefault="003B1DE5" w:rsidP="000D067A">
            <w:pPr>
              <w:spacing w:before="30" w:after="30"/>
              <w:ind w:left="57"/>
              <w:rPr>
                <w:b/>
                <w:bCs/>
                <w:sz w:val="20"/>
                <w:lang w:val="en-US"/>
              </w:rPr>
            </w:pPr>
            <w:r w:rsidRPr="00036EE3">
              <w:rPr>
                <w:b/>
                <w:bCs/>
                <w:sz w:val="20"/>
                <w:lang w:val="en-US"/>
              </w:rPr>
              <w:t>BS</w:t>
            </w:r>
          </w:p>
        </w:tc>
        <w:tc>
          <w:tcPr>
            <w:tcW w:w="8220" w:type="dxa"/>
            <w:tcBorders>
              <w:bottom w:val="nil"/>
            </w:tcBorders>
          </w:tcPr>
          <w:p w:rsidR="003B1DE5" w:rsidRPr="00036EE3" w:rsidRDefault="003B1DE5" w:rsidP="000D06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3B1DE5" w:rsidRPr="00ED2695" w:rsidTr="000D067A">
        <w:tc>
          <w:tcPr>
            <w:tcW w:w="1140" w:type="dxa"/>
            <w:tcBorders>
              <w:top w:val="nil"/>
              <w:bottom w:val="nil"/>
            </w:tcBorders>
            <w:shd w:val="clear" w:color="auto" w:fill="F3F3F3"/>
          </w:tcPr>
          <w:p w:rsidR="003B1DE5" w:rsidRPr="000F6905" w:rsidRDefault="003B1DE5" w:rsidP="000D067A">
            <w:pPr>
              <w:spacing w:before="30" w:after="30"/>
              <w:ind w:left="57"/>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3B1DE5" w:rsidRPr="000F6905" w:rsidRDefault="003B1DE5" w:rsidP="000D06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3B1DE5" w:rsidRPr="00036EE3" w:rsidTr="000D067A">
        <w:tc>
          <w:tcPr>
            <w:tcW w:w="1140" w:type="dxa"/>
            <w:tcBorders>
              <w:top w:val="nil"/>
              <w:bottom w:val="nil"/>
            </w:tcBorders>
            <w:shd w:val="clear" w:color="auto" w:fill="auto"/>
          </w:tcPr>
          <w:p w:rsidR="003B1DE5" w:rsidRPr="00036EE3" w:rsidRDefault="003B1DE5" w:rsidP="000D067A">
            <w:pPr>
              <w:spacing w:before="30" w:after="30"/>
              <w:ind w:left="57"/>
              <w:rPr>
                <w:b/>
                <w:bCs/>
                <w:sz w:val="20"/>
                <w:lang w:val="fr-CH"/>
              </w:rPr>
            </w:pPr>
            <w:r w:rsidRPr="00036EE3">
              <w:rPr>
                <w:b/>
                <w:bCs/>
                <w:sz w:val="20"/>
                <w:lang w:val="fr-CH"/>
              </w:rPr>
              <w:t>F</w:t>
            </w:r>
          </w:p>
        </w:tc>
        <w:tc>
          <w:tcPr>
            <w:tcW w:w="8220" w:type="dxa"/>
            <w:tcBorders>
              <w:top w:val="nil"/>
              <w:bottom w:val="nil"/>
            </w:tcBorders>
            <w:shd w:val="clear" w:color="auto" w:fill="auto"/>
          </w:tcPr>
          <w:p w:rsidR="003B1DE5" w:rsidRPr="00036EE3" w:rsidRDefault="003B1DE5" w:rsidP="000D06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3B1DE5" w:rsidRPr="005E02E1" w:rsidTr="000D067A">
        <w:tc>
          <w:tcPr>
            <w:tcW w:w="1140" w:type="dxa"/>
            <w:tcBorders>
              <w:top w:val="nil"/>
              <w:bottom w:val="nil"/>
            </w:tcBorders>
            <w:shd w:val="clear" w:color="auto" w:fill="auto"/>
          </w:tcPr>
          <w:p w:rsidR="003B1DE5" w:rsidRPr="007D3B79" w:rsidRDefault="003B1DE5" w:rsidP="000D067A">
            <w:pPr>
              <w:spacing w:before="30" w:after="30"/>
              <w:ind w:left="57"/>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3B1DE5" w:rsidRPr="00220899" w:rsidRDefault="003B1DE5" w:rsidP="000D06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3B1DE5" w:rsidRPr="00036EE3" w:rsidTr="000D067A">
        <w:tc>
          <w:tcPr>
            <w:tcW w:w="1140" w:type="dxa"/>
            <w:tcBorders>
              <w:top w:val="nil"/>
            </w:tcBorders>
          </w:tcPr>
          <w:p w:rsidR="003B1DE5" w:rsidRPr="00036EE3" w:rsidRDefault="003B1DE5" w:rsidP="000D067A">
            <w:pPr>
              <w:spacing w:before="30" w:after="30"/>
              <w:ind w:left="57"/>
              <w:rPr>
                <w:b/>
                <w:bCs/>
                <w:sz w:val="20"/>
                <w:lang w:val="fr-CH"/>
              </w:rPr>
            </w:pPr>
            <w:r w:rsidRPr="00036EE3">
              <w:rPr>
                <w:b/>
                <w:bCs/>
                <w:sz w:val="20"/>
                <w:lang w:val="fr-CH"/>
              </w:rPr>
              <w:t>P</w:t>
            </w:r>
          </w:p>
        </w:tc>
        <w:tc>
          <w:tcPr>
            <w:tcW w:w="8220" w:type="dxa"/>
            <w:tcBorders>
              <w:top w:val="nil"/>
            </w:tcBorders>
          </w:tcPr>
          <w:p w:rsidR="003B1DE5" w:rsidRPr="00036EE3" w:rsidRDefault="003B1DE5" w:rsidP="000D067A">
            <w:pPr>
              <w:spacing w:before="30" w:after="30"/>
              <w:rPr>
                <w:sz w:val="20"/>
                <w:lang w:val="fr-CH"/>
              </w:rPr>
            </w:pPr>
            <w:r w:rsidRPr="00036EE3">
              <w:rPr>
                <w:sz w:val="20"/>
                <w:lang w:val="fr-CH"/>
              </w:rPr>
              <w:t>Radiowave propagation</w:t>
            </w:r>
          </w:p>
        </w:tc>
      </w:tr>
      <w:tr w:rsidR="003B1DE5" w:rsidRPr="00036EE3" w:rsidTr="000D067A">
        <w:tc>
          <w:tcPr>
            <w:tcW w:w="1140" w:type="dxa"/>
          </w:tcPr>
          <w:p w:rsidR="003B1DE5" w:rsidRPr="00036EE3" w:rsidRDefault="003B1DE5" w:rsidP="000D067A">
            <w:pPr>
              <w:spacing w:before="30" w:after="30"/>
              <w:ind w:left="57"/>
              <w:rPr>
                <w:b/>
                <w:bCs/>
                <w:sz w:val="20"/>
                <w:lang w:val="en-US"/>
              </w:rPr>
            </w:pPr>
            <w:r w:rsidRPr="00036EE3">
              <w:rPr>
                <w:b/>
                <w:bCs/>
                <w:sz w:val="20"/>
                <w:lang w:val="en-US"/>
              </w:rPr>
              <w:t>RA</w:t>
            </w:r>
          </w:p>
        </w:tc>
        <w:tc>
          <w:tcPr>
            <w:tcW w:w="8220" w:type="dxa"/>
          </w:tcPr>
          <w:p w:rsidR="003B1DE5" w:rsidRPr="00036EE3" w:rsidRDefault="003B1DE5" w:rsidP="000D06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3B1DE5" w:rsidRPr="00036EE3" w:rsidTr="000D067A">
        <w:tc>
          <w:tcPr>
            <w:tcW w:w="1140" w:type="dxa"/>
          </w:tcPr>
          <w:p w:rsidR="003B1DE5" w:rsidRPr="00036EE3" w:rsidRDefault="003B1DE5" w:rsidP="000D067A">
            <w:pPr>
              <w:spacing w:before="30" w:after="30"/>
              <w:ind w:left="57"/>
              <w:rPr>
                <w:b/>
                <w:bCs/>
                <w:sz w:val="20"/>
                <w:lang w:val="en-US"/>
              </w:rPr>
            </w:pPr>
            <w:r w:rsidRPr="00036EE3">
              <w:rPr>
                <w:b/>
                <w:bCs/>
                <w:sz w:val="20"/>
                <w:lang w:val="en-US"/>
              </w:rPr>
              <w:t>RS</w:t>
            </w:r>
          </w:p>
        </w:tc>
        <w:tc>
          <w:tcPr>
            <w:tcW w:w="8220" w:type="dxa"/>
          </w:tcPr>
          <w:p w:rsidR="003B1DE5" w:rsidRPr="00036EE3" w:rsidRDefault="003B1DE5" w:rsidP="000D067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3B1DE5" w:rsidRPr="00036EE3" w:rsidTr="000D067A">
        <w:tc>
          <w:tcPr>
            <w:tcW w:w="1140" w:type="dxa"/>
          </w:tcPr>
          <w:p w:rsidR="003B1DE5" w:rsidRPr="00036EE3" w:rsidRDefault="003B1DE5" w:rsidP="000D067A">
            <w:pPr>
              <w:spacing w:before="30" w:after="30"/>
              <w:ind w:left="57"/>
              <w:rPr>
                <w:b/>
                <w:bCs/>
                <w:sz w:val="20"/>
                <w:lang w:val="en-US"/>
              </w:rPr>
            </w:pPr>
            <w:r w:rsidRPr="00036EE3">
              <w:rPr>
                <w:b/>
                <w:bCs/>
                <w:sz w:val="20"/>
                <w:lang w:val="en-US"/>
              </w:rPr>
              <w:t>S</w:t>
            </w:r>
          </w:p>
        </w:tc>
        <w:tc>
          <w:tcPr>
            <w:tcW w:w="8220" w:type="dxa"/>
          </w:tcPr>
          <w:p w:rsidR="003B1DE5" w:rsidRPr="00036EE3" w:rsidRDefault="003B1DE5" w:rsidP="000D067A">
            <w:pPr>
              <w:spacing w:before="30" w:after="30"/>
              <w:rPr>
                <w:sz w:val="20"/>
                <w:lang w:val="en-US"/>
              </w:rPr>
            </w:pPr>
            <w:r w:rsidRPr="00036EE3">
              <w:rPr>
                <w:sz w:val="20"/>
                <w:lang w:val="en-US"/>
              </w:rPr>
              <w:t>Fixed-satellite service</w:t>
            </w:r>
          </w:p>
        </w:tc>
      </w:tr>
      <w:tr w:rsidR="003B1DE5" w:rsidRPr="00036EE3" w:rsidTr="000D067A">
        <w:tc>
          <w:tcPr>
            <w:tcW w:w="1140" w:type="dxa"/>
          </w:tcPr>
          <w:p w:rsidR="003B1DE5" w:rsidRPr="00036EE3" w:rsidRDefault="003B1DE5" w:rsidP="000D067A">
            <w:pPr>
              <w:spacing w:before="30" w:after="30"/>
              <w:ind w:left="57"/>
              <w:rPr>
                <w:b/>
                <w:bCs/>
                <w:sz w:val="20"/>
                <w:lang w:val="en-US"/>
              </w:rPr>
            </w:pPr>
            <w:r w:rsidRPr="00036EE3">
              <w:rPr>
                <w:b/>
                <w:bCs/>
                <w:sz w:val="20"/>
                <w:lang w:val="en-US"/>
              </w:rPr>
              <w:t>SA</w:t>
            </w:r>
          </w:p>
        </w:tc>
        <w:tc>
          <w:tcPr>
            <w:tcW w:w="8220" w:type="dxa"/>
          </w:tcPr>
          <w:p w:rsidR="003B1DE5" w:rsidRPr="00036EE3" w:rsidRDefault="003B1DE5" w:rsidP="000D067A">
            <w:pPr>
              <w:spacing w:before="30" w:after="30"/>
              <w:rPr>
                <w:sz w:val="20"/>
                <w:lang w:val="en-US"/>
              </w:rPr>
            </w:pPr>
            <w:r w:rsidRPr="00036EE3">
              <w:rPr>
                <w:sz w:val="20"/>
                <w:lang w:val="en-US"/>
              </w:rPr>
              <w:t>Space applications and meteorology</w:t>
            </w:r>
          </w:p>
        </w:tc>
      </w:tr>
      <w:tr w:rsidR="003B1DE5" w:rsidRPr="00036EE3" w:rsidTr="000D067A">
        <w:tc>
          <w:tcPr>
            <w:tcW w:w="1140" w:type="dxa"/>
          </w:tcPr>
          <w:p w:rsidR="003B1DE5" w:rsidRPr="00036EE3" w:rsidRDefault="003B1DE5" w:rsidP="000D067A">
            <w:pPr>
              <w:spacing w:before="30" w:after="30"/>
              <w:ind w:left="57"/>
              <w:rPr>
                <w:b/>
                <w:bCs/>
                <w:sz w:val="20"/>
                <w:lang w:val="en-US"/>
              </w:rPr>
            </w:pPr>
            <w:r w:rsidRPr="00036EE3">
              <w:rPr>
                <w:b/>
                <w:bCs/>
                <w:sz w:val="20"/>
                <w:lang w:val="en-US"/>
              </w:rPr>
              <w:t>SF</w:t>
            </w:r>
          </w:p>
        </w:tc>
        <w:tc>
          <w:tcPr>
            <w:tcW w:w="8220" w:type="dxa"/>
          </w:tcPr>
          <w:p w:rsidR="003B1DE5" w:rsidRPr="00036EE3" w:rsidRDefault="003B1DE5" w:rsidP="000D067A">
            <w:pPr>
              <w:spacing w:before="30" w:after="30"/>
              <w:rPr>
                <w:sz w:val="20"/>
                <w:lang w:val="en-US"/>
              </w:rPr>
            </w:pPr>
            <w:r w:rsidRPr="00036EE3">
              <w:rPr>
                <w:sz w:val="20"/>
                <w:lang w:val="en-US"/>
              </w:rPr>
              <w:t>Frequency sharing and coordination between fixed-satellite and fixed service systems</w:t>
            </w:r>
          </w:p>
        </w:tc>
      </w:tr>
      <w:tr w:rsidR="003B1DE5" w:rsidRPr="00036EE3" w:rsidTr="000D067A">
        <w:tc>
          <w:tcPr>
            <w:tcW w:w="1140" w:type="dxa"/>
          </w:tcPr>
          <w:p w:rsidR="003B1DE5" w:rsidRPr="00036EE3" w:rsidRDefault="003B1DE5" w:rsidP="000D067A">
            <w:pPr>
              <w:spacing w:before="30" w:after="30"/>
              <w:ind w:left="57"/>
              <w:rPr>
                <w:b/>
                <w:bCs/>
                <w:sz w:val="20"/>
                <w:lang w:val="en-US"/>
              </w:rPr>
            </w:pPr>
            <w:r>
              <w:rPr>
                <w:b/>
                <w:bCs/>
                <w:sz w:val="20"/>
                <w:lang w:val="en-US"/>
              </w:rPr>
              <w:t>SM</w:t>
            </w:r>
          </w:p>
        </w:tc>
        <w:tc>
          <w:tcPr>
            <w:tcW w:w="8220" w:type="dxa"/>
          </w:tcPr>
          <w:p w:rsidR="003B1DE5" w:rsidRPr="00036EE3" w:rsidRDefault="003B1DE5" w:rsidP="000D067A">
            <w:pPr>
              <w:spacing w:before="30" w:after="30"/>
              <w:rPr>
                <w:sz w:val="20"/>
                <w:lang w:val="en-US"/>
              </w:rPr>
            </w:pPr>
            <w:r>
              <w:rPr>
                <w:sz w:val="20"/>
                <w:lang w:val="en-US"/>
              </w:rPr>
              <w:t>Spectrum management</w:t>
            </w:r>
          </w:p>
        </w:tc>
      </w:tr>
      <w:tr w:rsidR="003B1DE5" w:rsidRPr="00036EE3" w:rsidTr="000D067A">
        <w:tc>
          <w:tcPr>
            <w:tcW w:w="1140" w:type="dxa"/>
          </w:tcPr>
          <w:p w:rsidR="003B1DE5" w:rsidRPr="00036EE3" w:rsidRDefault="003B1DE5" w:rsidP="000D067A">
            <w:pPr>
              <w:spacing w:before="30" w:after="30"/>
              <w:ind w:left="57"/>
              <w:rPr>
                <w:b/>
                <w:bCs/>
                <w:sz w:val="20"/>
                <w:lang w:val="en-US"/>
              </w:rPr>
            </w:pPr>
            <w:r w:rsidRPr="00036EE3">
              <w:rPr>
                <w:b/>
                <w:bCs/>
                <w:sz w:val="20"/>
                <w:lang w:val="en-US"/>
              </w:rPr>
              <w:t>SNG</w:t>
            </w:r>
          </w:p>
        </w:tc>
        <w:tc>
          <w:tcPr>
            <w:tcW w:w="8220" w:type="dxa"/>
          </w:tcPr>
          <w:p w:rsidR="003B1DE5" w:rsidRPr="00036EE3" w:rsidRDefault="003B1DE5" w:rsidP="000D067A">
            <w:pPr>
              <w:spacing w:before="30" w:after="30"/>
              <w:rPr>
                <w:sz w:val="20"/>
                <w:lang w:val="en-US"/>
              </w:rPr>
            </w:pPr>
            <w:r w:rsidRPr="00036EE3">
              <w:rPr>
                <w:sz w:val="20"/>
                <w:lang w:val="en-US"/>
              </w:rPr>
              <w:t>Satellite news gathering</w:t>
            </w:r>
          </w:p>
        </w:tc>
      </w:tr>
      <w:tr w:rsidR="003B1DE5" w:rsidRPr="00036EE3" w:rsidTr="000D067A">
        <w:tc>
          <w:tcPr>
            <w:tcW w:w="1140" w:type="dxa"/>
          </w:tcPr>
          <w:p w:rsidR="003B1DE5" w:rsidRPr="00036EE3" w:rsidRDefault="003B1DE5" w:rsidP="000D067A">
            <w:pPr>
              <w:spacing w:before="30" w:after="30"/>
              <w:ind w:left="57"/>
              <w:rPr>
                <w:b/>
                <w:bCs/>
                <w:sz w:val="20"/>
                <w:lang w:val="en-US"/>
              </w:rPr>
            </w:pPr>
            <w:r w:rsidRPr="00036EE3">
              <w:rPr>
                <w:b/>
                <w:bCs/>
                <w:sz w:val="20"/>
                <w:lang w:val="en-US"/>
              </w:rPr>
              <w:t>TF</w:t>
            </w:r>
          </w:p>
        </w:tc>
        <w:tc>
          <w:tcPr>
            <w:tcW w:w="8220" w:type="dxa"/>
          </w:tcPr>
          <w:p w:rsidR="003B1DE5" w:rsidRPr="00036EE3" w:rsidRDefault="003B1DE5" w:rsidP="000D067A">
            <w:pPr>
              <w:spacing w:before="30" w:after="30"/>
              <w:rPr>
                <w:sz w:val="20"/>
                <w:lang w:val="en-US"/>
              </w:rPr>
            </w:pPr>
            <w:r w:rsidRPr="00036EE3">
              <w:rPr>
                <w:sz w:val="20"/>
                <w:lang w:val="en-US"/>
              </w:rPr>
              <w:t>Time signals and frequency standards emissions</w:t>
            </w:r>
          </w:p>
        </w:tc>
      </w:tr>
      <w:tr w:rsidR="003B1DE5" w:rsidRPr="00036EE3" w:rsidTr="000D067A">
        <w:tc>
          <w:tcPr>
            <w:tcW w:w="1140" w:type="dxa"/>
          </w:tcPr>
          <w:p w:rsidR="003B1DE5" w:rsidRPr="00036EE3" w:rsidRDefault="003B1DE5" w:rsidP="000D067A">
            <w:pPr>
              <w:spacing w:before="30" w:after="30"/>
              <w:ind w:left="57"/>
              <w:rPr>
                <w:b/>
                <w:bCs/>
                <w:sz w:val="20"/>
                <w:lang w:val="en-US"/>
              </w:rPr>
            </w:pPr>
            <w:r w:rsidRPr="00036EE3">
              <w:rPr>
                <w:b/>
                <w:bCs/>
                <w:sz w:val="20"/>
                <w:lang w:val="en-US"/>
              </w:rPr>
              <w:t>V</w:t>
            </w:r>
          </w:p>
        </w:tc>
        <w:tc>
          <w:tcPr>
            <w:tcW w:w="8220" w:type="dxa"/>
          </w:tcPr>
          <w:p w:rsidR="003B1DE5" w:rsidRPr="00036EE3" w:rsidRDefault="003B1DE5" w:rsidP="000D067A">
            <w:pPr>
              <w:spacing w:before="30" w:after="180"/>
              <w:rPr>
                <w:sz w:val="20"/>
                <w:lang w:val="en-US"/>
              </w:rPr>
            </w:pPr>
            <w:r w:rsidRPr="00036EE3">
              <w:rPr>
                <w:sz w:val="20"/>
                <w:lang w:val="en-US"/>
              </w:rPr>
              <w:t>Vocabulary and related subjects</w:t>
            </w:r>
          </w:p>
        </w:tc>
      </w:tr>
    </w:tbl>
    <w:p w:rsidR="003B1DE5" w:rsidRPr="00036EE3" w:rsidRDefault="003B1DE5" w:rsidP="003B1DE5">
      <w:pPr>
        <w:spacing w:before="30" w:after="30"/>
        <w:jc w:val="center"/>
        <w:rPr>
          <w:sz w:val="20"/>
          <w:lang w:val="en-US"/>
        </w:rPr>
      </w:pPr>
    </w:p>
    <w:p w:rsidR="003B1DE5" w:rsidRDefault="003B1DE5" w:rsidP="003B1DE5">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3B1DE5" w:rsidTr="000D067A">
        <w:tc>
          <w:tcPr>
            <w:tcW w:w="9360" w:type="dxa"/>
          </w:tcPr>
          <w:p w:rsidR="003B1DE5" w:rsidRPr="002F5199" w:rsidRDefault="003B1DE5" w:rsidP="000D067A">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3B1DE5" w:rsidRDefault="003B1DE5" w:rsidP="003B1DE5">
      <w:pPr>
        <w:spacing w:before="0"/>
        <w:jc w:val="center"/>
        <w:rPr>
          <w:sz w:val="22"/>
          <w:lang w:val="en-US"/>
        </w:rPr>
      </w:pPr>
    </w:p>
    <w:p w:rsidR="003B1DE5" w:rsidRDefault="003B1DE5" w:rsidP="003B1DE5">
      <w:pPr>
        <w:spacing w:before="0"/>
        <w:jc w:val="center"/>
        <w:rPr>
          <w:sz w:val="22"/>
          <w:lang w:val="en-US"/>
        </w:rPr>
      </w:pPr>
    </w:p>
    <w:p w:rsidR="003B1DE5" w:rsidRPr="002F5199" w:rsidRDefault="003B1DE5" w:rsidP="003B1DE5">
      <w:pPr>
        <w:spacing w:before="0"/>
        <w:jc w:val="right"/>
        <w:rPr>
          <w:i/>
          <w:iCs/>
          <w:sz w:val="20"/>
          <w:lang w:val="en-US"/>
        </w:rPr>
      </w:pPr>
      <w:r w:rsidRPr="002F5199">
        <w:rPr>
          <w:i/>
          <w:iCs/>
          <w:sz w:val="20"/>
          <w:lang w:val="en-US"/>
        </w:rPr>
        <w:t>Electronic Publication</w:t>
      </w:r>
    </w:p>
    <w:p w:rsidR="003B1DE5" w:rsidRPr="002F5199" w:rsidRDefault="003B1DE5" w:rsidP="00235AE2">
      <w:pPr>
        <w:spacing w:before="0"/>
        <w:jc w:val="right"/>
        <w:rPr>
          <w:sz w:val="20"/>
          <w:lang w:val="en-US"/>
        </w:rPr>
      </w:pPr>
      <w:smartTag w:uri="urn:schemas-microsoft-com:office:smarttags" w:element="place">
        <w:smartTag w:uri="urn:schemas-microsoft-com:office:smarttags" w:element="country-region">
          <w:smartTag w:uri="urn:schemas-microsoft-com:office:smarttags" w:element="City">
            <w:r w:rsidRPr="002F5199">
              <w:rPr>
                <w:sz w:val="20"/>
                <w:lang w:val="en-US"/>
              </w:rPr>
              <w:t>Geneva</w:t>
            </w:r>
          </w:smartTag>
        </w:smartTag>
      </w:smartTag>
      <w:r w:rsidRPr="002F5199">
        <w:rPr>
          <w:sz w:val="20"/>
          <w:lang w:val="en-US"/>
        </w:rPr>
        <w:t>, 20</w:t>
      </w:r>
      <w:r w:rsidR="00235AE2">
        <w:rPr>
          <w:sz w:val="20"/>
          <w:lang w:val="en-US"/>
        </w:rPr>
        <w:t>10</w:t>
      </w:r>
    </w:p>
    <w:p w:rsidR="003B1DE5" w:rsidRDefault="003B1DE5" w:rsidP="003B1DE5">
      <w:pPr>
        <w:jc w:val="center"/>
        <w:rPr>
          <w:sz w:val="22"/>
          <w:lang w:val="en-US"/>
        </w:rPr>
      </w:pPr>
    </w:p>
    <w:p w:rsidR="003B1DE5" w:rsidRPr="00470E28" w:rsidRDefault="003B1DE5" w:rsidP="00235AE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35AE2">
        <w:rPr>
          <w:sz w:val="20"/>
          <w:lang w:val="en-US"/>
        </w:rPr>
        <w:t>10</w:t>
      </w:r>
    </w:p>
    <w:p w:rsidR="003B1DE5" w:rsidRPr="00470E28" w:rsidRDefault="003B1DE5" w:rsidP="003B1DE5">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3B1DE5" w:rsidRDefault="003B1DE5" w:rsidP="003B1DE5">
      <w:pPr>
        <w:spacing w:before="160"/>
        <w:rPr>
          <w:i/>
          <w:sz w:val="20"/>
          <w:lang w:val="en-US"/>
        </w:rPr>
        <w:sectPr w:rsidR="003B1DE5" w:rsidSect="000D067A">
          <w:headerReference w:type="even" r:id="rId10"/>
          <w:headerReference w:type="default" r:id="rId11"/>
          <w:pgSz w:w="11907" w:h="16834" w:code="9"/>
          <w:pgMar w:top="1418" w:right="1134" w:bottom="1134" w:left="1134" w:header="720" w:footer="482" w:gutter="0"/>
          <w:pgNumType w:fmt="lowerRoman" w:start="2"/>
          <w:cols w:space="720"/>
        </w:sectPr>
      </w:pPr>
    </w:p>
    <w:p w:rsidR="00B825DF" w:rsidRPr="00B825DF" w:rsidRDefault="00B825DF" w:rsidP="00235AE2">
      <w:pPr>
        <w:pStyle w:val="RecNo"/>
        <w:spacing w:before="0"/>
        <w:rPr>
          <w:lang w:val="en-US"/>
        </w:rPr>
      </w:pPr>
      <w:r w:rsidRPr="00235AE2">
        <w:lastRenderedPageBreak/>
        <w:t>RECOMMENDATION</w:t>
      </w:r>
      <w:r w:rsidRPr="00B825DF">
        <w:rPr>
          <w:lang w:val="en-US"/>
        </w:rPr>
        <w:t xml:space="preserve"> </w:t>
      </w:r>
      <w:r w:rsidRPr="003B1DE5">
        <w:rPr>
          <w:rStyle w:val="href"/>
        </w:rPr>
        <w:t>ITU-R BT.1728</w:t>
      </w:r>
      <w:r w:rsidR="003B1DE5" w:rsidRPr="003B1DE5">
        <w:rPr>
          <w:rStyle w:val="href"/>
        </w:rPr>
        <w:t>-1</w:t>
      </w:r>
    </w:p>
    <w:p w:rsidR="00B825DF" w:rsidRPr="00B825DF" w:rsidRDefault="00B825DF" w:rsidP="00B825DF">
      <w:pPr>
        <w:pStyle w:val="Rectitle"/>
        <w:rPr>
          <w:lang w:val="en-US"/>
        </w:rPr>
      </w:pPr>
      <w:r w:rsidRPr="00B825DF">
        <w:rPr>
          <w:lang w:val="en-US"/>
        </w:rPr>
        <w:t>Guidance on the use of flat panel displays in television</w:t>
      </w:r>
      <w:r w:rsidRPr="00B825DF">
        <w:rPr>
          <w:lang w:val="en-US"/>
        </w:rPr>
        <w:br/>
        <w:t>production and postproduction</w:t>
      </w:r>
    </w:p>
    <w:p w:rsidR="00B825DF" w:rsidRPr="00B825DF" w:rsidRDefault="00B825DF" w:rsidP="00B825DF">
      <w:pPr>
        <w:pStyle w:val="Recref"/>
        <w:rPr>
          <w:sz w:val="22"/>
          <w:szCs w:val="22"/>
          <w:lang w:val="en-US"/>
        </w:rPr>
      </w:pPr>
      <w:r w:rsidRPr="00B825DF">
        <w:rPr>
          <w:sz w:val="22"/>
          <w:szCs w:val="22"/>
          <w:lang w:val="en-US"/>
        </w:rPr>
        <w:t>(Question ITU-R 95/6)</w:t>
      </w:r>
    </w:p>
    <w:p w:rsidR="00B825DF" w:rsidRPr="00B825DF" w:rsidRDefault="00B825DF" w:rsidP="00B825DF">
      <w:pPr>
        <w:pStyle w:val="Recdate"/>
        <w:rPr>
          <w:lang w:val="en-US"/>
        </w:rPr>
      </w:pPr>
      <w:r w:rsidRPr="00B825DF">
        <w:rPr>
          <w:lang w:val="en-US"/>
        </w:rPr>
        <w:t>(2005</w:t>
      </w:r>
      <w:r w:rsidR="003B1DE5">
        <w:rPr>
          <w:lang w:val="en-US"/>
        </w:rPr>
        <w:t>-2010</w:t>
      </w:r>
      <w:r w:rsidRPr="00B825DF">
        <w:rPr>
          <w:lang w:val="en-US"/>
        </w:rPr>
        <w:t>)</w:t>
      </w:r>
    </w:p>
    <w:p w:rsidR="003B1DE5" w:rsidRDefault="003B1DE5" w:rsidP="00B825DF">
      <w:pPr>
        <w:pStyle w:val="HeadingSum"/>
        <w:rPr>
          <w:szCs w:val="22"/>
          <w:lang w:val="en-GB"/>
        </w:rPr>
      </w:pPr>
    </w:p>
    <w:p w:rsidR="00B825DF" w:rsidRPr="00DB1537" w:rsidRDefault="00B825DF" w:rsidP="00B825DF">
      <w:pPr>
        <w:pStyle w:val="HeadingSum"/>
        <w:rPr>
          <w:szCs w:val="22"/>
          <w:lang w:val="en-GB"/>
        </w:rPr>
      </w:pPr>
      <w:r w:rsidRPr="00DB1537">
        <w:rPr>
          <w:szCs w:val="22"/>
          <w:lang w:val="en-GB"/>
        </w:rPr>
        <w:t>Scope</w:t>
      </w:r>
    </w:p>
    <w:p w:rsidR="00B825DF" w:rsidRPr="00DB1537" w:rsidRDefault="00B825DF" w:rsidP="00AB324E">
      <w:pPr>
        <w:pStyle w:val="Summary"/>
        <w:jc w:val="both"/>
        <w:rPr>
          <w:lang w:val="en-GB"/>
        </w:rPr>
      </w:pPr>
      <w:r w:rsidRPr="00DB1537">
        <w:rPr>
          <w:lang w:val="en-GB"/>
        </w:rPr>
        <w:t>This Recommendation provides</w:t>
      </w:r>
      <w:r>
        <w:rPr>
          <w:lang w:val="en-GB"/>
        </w:rPr>
        <w:t xml:space="preserve"> updated</w:t>
      </w:r>
      <w:r w:rsidRPr="00DB1537">
        <w:rPr>
          <w:lang w:val="en-GB"/>
        </w:rPr>
        <w:t xml:space="preserve"> guidelines on the use of flat panel displays in the professional television programme production/postproduction environment.</w:t>
      </w:r>
    </w:p>
    <w:p w:rsidR="00B825DF" w:rsidRPr="00B825DF" w:rsidRDefault="00B825DF" w:rsidP="00B825DF">
      <w:pPr>
        <w:pStyle w:val="Normalaftertitle"/>
        <w:rPr>
          <w:szCs w:val="24"/>
          <w:lang w:val="en-US"/>
        </w:rPr>
      </w:pPr>
      <w:r w:rsidRPr="00B825DF">
        <w:rPr>
          <w:szCs w:val="24"/>
          <w:lang w:val="en-US"/>
        </w:rPr>
        <w:t>The ITU Radiocommunication Assembly,</w:t>
      </w:r>
    </w:p>
    <w:p w:rsidR="00B825DF" w:rsidRPr="00B825DF" w:rsidRDefault="00B825DF" w:rsidP="00B825DF">
      <w:pPr>
        <w:pStyle w:val="Call"/>
        <w:rPr>
          <w:szCs w:val="24"/>
          <w:lang w:val="en-US"/>
        </w:rPr>
      </w:pPr>
      <w:r w:rsidRPr="00B825DF">
        <w:rPr>
          <w:szCs w:val="24"/>
          <w:lang w:val="en-US"/>
        </w:rPr>
        <w:t>considering</w:t>
      </w:r>
    </w:p>
    <w:p w:rsidR="00B825DF" w:rsidRPr="00DB1537" w:rsidRDefault="00B825DF" w:rsidP="00AB324E">
      <w:pPr>
        <w:jc w:val="both"/>
      </w:pPr>
      <w:r w:rsidRPr="00DB1537">
        <w:t>a)</w:t>
      </w:r>
      <w:r w:rsidRPr="00DB1537">
        <w:tab/>
        <w:t>that flat panel displays are now being used for reasons of availability in tel</w:t>
      </w:r>
      <w:r w:rsidR="00651D66">
        <w:t>evision broadcasting,</w:t>
      </w:r>
      <w:r w:rsidR="00AB324E">
        <w:t xml:space="preserve"> </w:t>
      </w:r>
      <w:r w:rsidR="00651D66">
        <w:t>for</w:t>
      </w:r>
      <w:r w:rsidR="00AB324E">
        <w:t xml:space="preserve"> </w:t>
      </w:r>
      <w:r w:rsidR="00651D66">
        <w:t>various</w:t>
      </w:r>
      <w:r w:rsidR="00AB324E">
        <w:t xml:space="preserve"> </w:t>
      </w:r>
      <w:r w:rsidRPr="00DB1537">
        <w:t>applications,</w:t>
      </w:r>
      <w:r w:rsidR="00AB324E">
        <w:t xml:space="preserve"> </w:t>
      </w:r>
      <w:r w:rsidRPr="00DB1537">
        <w:t>including</w:t>
      </w:r>
      <w:r w:rsidR="00AB324E">
        <w:t xml:space="preserve"> </w:t>
      </w:r>
      <w:r w:rsidRPr="00DB1537">
        <w:t>professional</w:t>
      </w:r>
      <w:r w:rsidR="00AB324E">
        <w:t xml:space="preserve"> </w:t>
      </w:r>
      <w:r w:rsidRPr="00DB1537">
        <w:t xml:space="preserve">programme </w:t>
      </w:r>
      <w:r w:rsidR="00AB324E">
        <w:t>p</w:t>
      </w:r>
      <w:r w:rsidRPr="00DB1537">
        <w:t>roduction/postproduction ones;</w:t>
      </w:r>
    </w:p>
    <w:p w:rsidR="00B825DF" w:rsidRPr="00DB1537" w:rsidRDefault="00B825DF" w:rsidP="003B1DE5">
      <w:pPr>
        <w:jc w:val="both"/>
      </w:pPr>
      <w:r w:rsidRPr="00DB1537">
        <w:t>b)</w:t>
      </w:r>
      <w:r w:rsidRPr="00DB1537">
        <w:tab/>
        <w:t>that flat panel displays may be used with advantage in television programme production/postproduction operation, e.g. in outside broadcast vans and in studios, where they can display large images within a package of reduced bulk and weight;</w:t>
      </w:r>
    </w:p>
    <w:p w:rsidR="00B825DF" w:rsidRPr="00DB1537" w:rsidRDefault="00B825DF" w:rsidP="003B1DE5">
      <w:pPr>
        <w:jc w:val="both"/>
      </w:pPr>
      <w:r w:rsidRPr="00DB1537">
        <w:t>c)</w:t>
      </w:r>
      <w:r w:rsidRPr="00DB1537">
        <w:tab/>
        <w:t>that at the present stage of technology development, flat panel displays present images whose rendition depends on the type of technology used in the flat panel, and often also depends on the display brand and model, even for displays that use the same flat panel technology;</w:t>
      </w:r>
    </w:p>
    <w:p w:rsidR="00B825DF" w:rsidRPr="00DB1537" w:rsidRDefault="00B825DF" w:rsidP="003B1DE5">
      <w:pPr>
        <w:jc w:val="both"/>
      </w:pPr>
      <w:r w:rsidRPr="00DB1537">
        <w:t>d)</w:t>
      </w:r>
      <w:r w:rsidRPr="00DB1537">
        <w:tab/>
        <w:t>that flat panel displays are often adjusted to present images at a higher colour temperature than the standardized one, so that images typically appear “colder”;</w:t>
      </w:r>
    </w:p>
    <w:p w:rsidR="00B825DF" w:rsidRPr="00DB1537" w:rsidRDefault="00B825DF" w:rsidP="003B1DE5">
      <w:pPr>
        <w:jc w:val="both"/>
      </w:pPr>
      <w:r w:rsidRPr="00DB1537">
        <w:t>e)</w:t>
      </w:r>
      <w:r w:rsidRPr="00DB1537">
        <w:tab/>
        <w:t>that flat panel displays typically use some pre-processing that can lead to images being displayed with spatial or temporal artifacts;</w:t>
      </w:r>
      <w:r w:rsidRPr="00DB1537" w:rsidDel="00337510">
        <w:t xml:space="preserve"> </w:t>
      </w:r>
    </w:p>
    <w:p w:rsidR="00B825DF" w:rsidRPr="00DB1537" w:rsidRDefault="00B825DF" w:rsidP="003B1DE5">
      <w:pPr>
        <w:jc w:val="both"/>
      </w:pPr>
      <w:r w:rsidRPr="003B1DE5">
        <w:t>f)</w:t>
      </w:r>
      <w:r w:rsidRPr="00DB1537">
        <w:tab/>
        <w:t>that the image rendition of some flat panel displays depends on the angle under which the display is viewed;</w:t>
      </w:r>
    </w:p>
    <w:p w:rsidR="00B825DF" w:rsidRPr="00DB1537" w:rsidRDefault="00B825DF" w:rsidP="003B1DE5">
      <w:pPr>
        <w:jc w:val="both"/>
      </w:pPr>
      <w:r w:rsidRPr="00DB1537">
        <w:t>g)</w:t>
      </w:r>
      <w:r w:rsidRPr="00DB1537">
        <w:tab/>
        <w:t>that the technology of flat panel displays is developing at a fast pace, and one may expect some performance improvements in future flat panel displays,</w:t>
      </w:r>
    </w:p>
    <w:p w:rsidR="00B825DF" w:rsidRPr="00B825DF" w:rsidRDefault="00B825DF" w:rsidP="003B1DE5">
      <w:pPr>
        <w:pStyle w:val="Call"/>
        <w:rPr>
          <w:szCs w:val="24"/>
          <w:lang w:val="en-US"/>
        </w:rPr>
      </w:pPr>
      <w:r w:rsidRPr="00B825DF">
        <w:rPr>
          <w:szCs w:val="24"/>
          <w:lang w:val="en-US"/>
        </w:rPr>
        <w:t>recommends</w:t>
      </w:r>
    </w:p>
    <w:p w:rsidR="00B825DF" w:rsidRPr="00DB1537" w:rsidRDefault="00B825DF" w:rsidP="003B1DE5">
      <w:pPr>
        <w:jc w:val="both"/>
        <w:rPr>
          <w:szCs w:val="24"/>
        </w:rPr>
      </w:pPr>
      <w:r w:rsidRPr="00DB1537">
        <w:rPr>
          <w:b/>
          <w:bCs/>
          <w:szCs w:val="24"/>
        </w:rPr>
        <w:t>1</w:t>
      </w:r>
      <w:r w:rsidRPr="00DB1537">
        <w:rPr>
          <w:szCs w:val="24"/>
        </w:rPr>
        <w:tab/>
        <w:t>that the arbitrary use of any make or model of flat panel display should be avoided in television programme production/postproduction applications, notably in those applications in which a reliably correct and uniform image rendition is required, such as in control rooms and viewing rooms, where television images are balanced and matched and where programme quality is checked and certified;</w:t>
      </w:r>
    </w:p>
    <w:p w:rsidR="00235AE2" w:rsidRDefault="00B825DF" w:rsidP="00AB324E">
      <w:pPr>
        <w:jc w:val="both"/>
        <w:rPr>
          <w:snapToGrid w:val="0"/>
          <w:szCs w:val="24"/>
        </w:rPr>
      </w:pPr>
      <w:r w:rsidRPr="00DB1537">
        <w:rPr>
          <w:b/>
          <w:bCs/>
          <w:szCs w:val="24"/>
        </w:rPr>
        <w:t>2</w:t>
      </w:r>
      <w:r w:rsidRPr="00DB1537">
        <w:rPr>
          <w:szCs w:val="24"/>
        </w:rPr>
        <w:tab/>
      </w:r>
      <w:r w:rsidRPr="00DB1537">
        <w:rPr>
          <w:snapToGrid w:val="0"/>
          <w:szCs w:val="24"/>
        </w:rPr>
        <w:t xml:space="preserve">that in television production rooms and control rooms, image quality should be monitored on a professional </w:t>
      </w:r>
      <w:r w:rsidR="00AB324E" w:rsidRPr="00DB1537">
        <w:rPr>
          <w:snapToGrid w:val="0"/>
          <w:szCs w:val="24"/>
        </w:rPr>
        <w:t xml:space="preserve">cathode-ray-tube </w:t>
      </w:r>
      <w:r w:rsidRPr="00DB1537">
        <w:rPr>
          <w:snapToGrid w:val="0"/>
          <w:szCs w:val="24"/>
        </w:rPr>
        <w:t>(</w:t>
      </w:r>
      <w:r w:rsidR="00AB324E" w:rsidRPr="00DB1537">
        <w:rPr>
          <w:snapToGrid w:val="0"/>
          <w:szCs w:val="24"/>
        </w:rPr>
        <w:t>CRT</w:t>
      </w:r>
      <w:r w:rsidRPr="00DB1537">
        <w:rPr>
          <w:snapToGrid w:val="0"/>
          <w:szCs w:val="24"/>
        </w:rPr>
        <w:t xml:space="preserve">) studio monitor, if available, or on a professional flat panel display of a brand and model which has been checked in advance to reasonably match the performance of a CRT studio monitor; </w:t>
      </w:r>
    </w:p>
    <w:p w:rsidR="00B825DF" w:rsidRPr="00DB1537" w:rsidRDefault="00B825DF" w:rsidP="003B1DE5">
      <w:pPr>
        <w:jc w:val="both"/>
        <w:rPr>
          <w:szCs w:val="24"/>
        </w:rPr>
      </w:pPr>
      <w:r w:rsidRPr="00DB1537">
        <w:rPr>
          <w:b/>
          <w:bCs/>
          <w:szCs w:val="24"/>
        </w:rPr>
        <w:lastRenderedPageBreak/>
        <w:t>3</w:t>
      </w:r>
      <w:r w:rsidRPr="00DB1537">
        <w:rPr>
          <w:szCs w:val="24"/>
        </w:rPr>
        <w:tab/>
        <w:t>that, whenever flat panel displays are considered for possible use in other television programme production/postproduction applications, their performance should first be tested to be adequate for the envisaged application.</w:t>
      </w:r>
    </w:p>
    <w:p w:rsidR="00B825DF" w:rsidRPr="00DB1537" w:rsidRDefault="00B825DF" w:rsidP="003B1DE5">
      <w:pPr>
        <w:jc w:val="both"/>
        <w:rPr>
          <w:szCs w:val="24"/>
        </w:rPr>
      </w:pPr>
    </w:p>
    <w:p w:rsidR="00B825DF" w:rsidRPr="00DB1537" w:rsidRDefault="00B825DF" w:rsidP="00B825DF">
      <w:pPr>
        <w:rPr>
          <w:szCs w:val="24"/>
        </w:rPr>
      </w:pPr>
    </w:p>
    <w:p w:rsidR="00A6617B" w:rsidRPr="00B825DF" w:rsidRDefault="00A6617B" w:rsidP="003B1DE5">
      <w:pPr>
        <w:pStyle w:val="Line"/>
      </w:pPr>
    </w:p>
    <w:sectPr w:rsidR="00A6617B" w:rsidRPr="00B825DF" w:rsidSect="000D067A">
      <w:headerReference w:type="even" r:id="rId12"/>
      <w:headerReference w:type="default" r:id="rId1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25DF" w:rsidRDefault="00B825DF">
      <w:r>
        <w:separator/>
      </w:r>
    </w:p>
  </w:endnote>
  <w:endnote w:type="continuationSeparator" w:id="0">
    <w:p w:rsidR="00B825DF" w:rsidRDefault="00B825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25DF" w:rsidRDefault="00B825DF">
      <w:r>
        <w:separator/>
      </w:r>
    </w:p>
  </w:footnote>
  <w:footnote w:type="continuationSeparator" w:id="0">
    <w:p w:rsidR="00B825DF" w:rsidRDefault="00B825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DE5" w:rsidRDefault="003B1DE5">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DE5" w:rsidRDefault="0006659D" w:rsidP="000D067A">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DE5" w:rsidRPr="000F6905" w:rsidRDefault="008816A5">
    <w:pPr>
      <w:pStyle w:val="Header"/>
      <w:jc w:val="left"/>
    </w:pPr>
    <w:r>
      <w:rPr>
        <w:rStyle w:val="PageNumber"/>
        <w:b/>
        <w:bCs/>
      </w:rPr>
      <w:fldChar w:fldCharType="begin"/>
    </w:r>
    <w:r w:rsidR="003B1DE5" w:rsidRPr="000F6905">
      <w:rPr>
        <w:rStyle w:val="PageNumber"/>
        <w:b/>
        <w:bCs/>
      </w:rPr>
      <w:instrText xml:space="preserve"> PAGE </w:instrText>
    </w:r>
    <w:r>
      <w:rPr>
        <w:rStyle w:val="PageNumber"/>
        <w:b/>
        <w:bCs/>
      </w:rPr>
      <w:fldChar w:fldCharType="separate"/>
    </w:r>
    <w:r w:rsidR="00CC0387">
      <w:rPr>
        <w:rStyle w:val="PageNumber"/>
        <w:b/>
        <w:bCs/>
        <w:noProof/>
      </w:rPr>
      <w:t>ii</w:t>
    </w:r>
    <w:r>
      <w:rPr>
        <w:rStyle w:val="PageNumber"/>
        <w:b/>
        <w:bCs/>
      </w:rPr>
      <w:fldChar w:fldCharType="end"/>
    </w:r>
    <w:r w:rsidR="003B1DE5" w:rsidRPr="000F6905">
      <w:tab/>
    </w:r>
    <w:fldSimple w:instr=" DOCPROPERTY &quot;Header&quot; \* MERGEFORMAT ">
      <w:r w:rsidR="000D067A">
        <w:rPr>
          <w:b/>
          <w:bCs/>
        </w:rPr>
        <w:t xml:space="preserve">Rec. </w:t>
      </w:r>
    </w:fldSimple>
    <w:r w:rsidR="003B1DE5">
      <w:rPr>
        <w:b/>
        <w:bCs/>
      </w:rPr>
      <w:t xml:space="preserve"> </w:t>
    </w:r>
    <w:r>
      <w:rPr>
        <w:b/>
        <w:bCs/>
      </w:rPr>
      <w:fldChar w:fldCharType="begin"/>
    </w:r>
    <w:r w:rsidR="003B1DE5" w:rsidRPr="000F6905">
      <w:rPr>
        <w:b/>
        <w:bCs/>
      </w:rPr>
      <w:instrText>styleref href</w:instrText>
    </w:r>
    <w:r>
      <w:rPr>
        <w:b/>
        <w:bCs/>
      </w:rPr>
      <w:fldChar w:fldCharType="separate"/>
    </w:r>
    <w:r w:rsidR="00CC0387">
      <w:rPr>
        <w:b/>
        <w:bCs/>
        <w:noProof/>
      </w:rPr>
      <w:t>ITU-R BT.1728-1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DE5" w:rsidRDefault="003B1DE5">
    <w:pPr>
      <w:pStyle w:val="Header"/>
    </w:pPr>
    <w:r>
      <w:tab/>
    </w:r>
    <w:fldSimple w:instr=" DOCPROPERTY &quot;Header&quot; \* MERGEFORMAT ">
      <w:r w:rsidR="000D067A">
        <w:rPr>
          <w:b/>
          <w:bCs/>
        </w:rPr>
        <w:t xml:space="preserve">Rec. </w:t>
      </w:r>
    </w:fldSimple>
    <w:r>
      <w:rPr>
        <w:b/>
        <w:bCs/>
      </w:rPr>
      <w:t xml:space="preserve"> </w:t>
    </w:r>
    <w:r w:rsidR="008816A5">
      <w:rPr>
        <w:b/>
        <w:bCs/>
      </w:rPr>
      <w:fldChar w:fldCharType="begin"/>
    </w:r>
    <w:r>
      <w:rPr>
        <w:b/>
        <w:bCs/>
      </w:rPr>
      <w:instrText>styleref href</w:instrText>
    </w:r>
    <w:r w:rsidR="008816A5">
      <w:rPr>
        <w:b/>
        <w:bCs/>
      </w:rPr>
      <w:fldChar w:fldCharType="separate"/>
    </w:r>
    <w:r w:rsidR="000D067A">
      <w:rPr>
        <w:b/>
        <w:bCs/>
        <w:noProof/>
      </w:rPr>
      <w:t>ITU-R BT.1728-1</w:t>
    </w:r>
    <w:r w:rsidR="008816A5">
      <w:rPr>
        <w:b/>
        <w:bCs/>
      </w:rPr>
      <w:fldChar w:fldCharType="end"/>
    </w:r>
    <w:r>
      <w:tab/>
    </w:r>
    <w:r w:rsidR="008816A5">
      <w:rPr>
        <w:rStyle w:val="PageNumber"/>
        <w:b/>
        <w:bCs/>
      </w:rPr>
      <w:fldChar w:fldCharType="begin"/>
    </w:r>
    <w:r>
      <w:rPr>
        <w:rStyle w:val="PageNumber"/>
        <w:b/>
        <w:bCs/>
      </w:rPr>
      <w:instrText xml:space="preserve"> PAGE </w:instrText>
    </w:r>
    <w:r w:rsidR="008816A5">
      <w:rPr>
        <w:rStyle w:val="PageNumber"/>
        <w:b/>
        <w:bCs/>
      </w:rPr>
      <w:fldChar w:fldCharType="separate"/>
    </w:r>
    <w:r>
      <w:rPr>
        <w:rStyle w:val="PageNumber"/>
        <w:b/>
        <w:bCs/>
        <w:noProof/>
      </w:rPr>
      <w:t>1</w:t>
    </w:r>
    <w:r w:rsidR="008816A5">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5DF" w:rsidRDefault="008816A5">
    <w:pPr>
      <w:pStyle w:val="Header"/>
      <w:jc w:val="left"/>
      <w:rPr>
        <w:lang w:val="en-US"/>
      </w:rPr>
    </w:pPr>
    <w:r>
      <w:rPr>
        <w:rStyle w:val="PageNumber"/>
        <w:b/>
        <w:bCs/>
      </w:rPr>
      <w:fldChar w:fldCharType="begin"/>
    </w:r>
    <w:r w:rsidR="00B825DF">
      <w:rPr>
        <w:rStyle w:val="PageNumber"/>
        <w:b/>
        <w:bCs/>
        <w:lang w:val="en-US"/>
      </w:rPr>
      <w:instrText xml:space="preserve"> PAGE </w:instrText>
    </w:r>
    <w:r>
      <w:rPr>
        <w:rStyle w:val="PageNumber"/>
        <w:b/>
        <w:bCs/>
      </w:rPr>
      <w:fldChar w:fldCharType="separate"/>
    </w:r>
    <w:r w:rsidR="00CC0387">
      <w:rPr>
        <w:rStyle w:val="PageNumber"/>
        <w:b/>
        <w:bCs/>
        <w:noProof/>
        <w:lang w:val="en-US"/>
      </w:rPr>
      <w:t>2</w:t>
    </w:r>
    <w:r>
      <w:rPr>
        <w:rStyle w:val="PageNumber"/>
        <w:b/>
        <w:bCs/>
      </w:rPr>
      <w:fldChar w:fldCharType="end"/>
    </w:r>
    <w:r w:rsidR="00B825DF">
      <w:rPr>
        <w:lang w:val="en-US"/>
      </w:rPr>
      <w:tab/>
    </w:r>
    <w:fldSimple w:instr=" DOCPROPERTY &quot;Header&quot; \* MERGEFORMAT ">
      <w:r w:rsidR="000D067A">
        <w:rPr>
          <w:b/>
          <w:bCs/>
          <w:lang w:val="en-US"/>
        </w:rPr>
        <w:t xml:space="preserve">Rec. </w:t>
      </w:r>
    </w:fldSimple>
    <w:r w:rsidR="00B825DF">
      <w:rPr>
        <w:b/>
        <w:bCs/>
      </w:rPr>
      <w:t xml:space="preserve"> </w:t>
    </w:r>
    <w:r>
      <w:rPr>
        <w:b/>
        <w:bCs/>
      </w:rPr>
      <w:fldChar w:fldCharType="begin"/>
    </w:r>
    <w:r w:rsidR="00B825DF">
      <w:rPr>
        <w:b/>
        <w:bCs/>
        <w:lang w:val="en-US"/>
      </w:rPr>
      <w:instrText>styleref href</w:instrText>
    </w:r>
    <w:r>
      <w:rPr>
        <w:b/>
        <w:bCs/>
      </w:rPr>
      <w:fldChar w:fldCharType="separate"/>
    </w:r>
    <w:r w:rsidR="00CC0387">
      <w:rPr>
        <w:b/>
        <w:bCs/>
        <w:noProof/>
      </w:rPr>
      <w:t>ITU-R BT.1728-1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25DF" w:rsidRDefault="00B825DF">
    <w:pPr>
      <w:pStyle w:val="Header"/>
    </w:pPr>
    <w:r>
      <w:tab/>
    </w:r>
    <w:fldSimple w:instr=" DOCPROPERTY &quot;Header&quot; \* MERGEFORMAT ">
      <w:r w:rsidR="000D067A">
        <w:rPr>
          <w:b/>
          <w:bCs/>
        </w:rPr>
        <w:t xml:space="preserve">Rec. </w:t>
      </w:r>
    </w:fldSimple>
    <w:r>
      <w:rPr>
        <w:b/>
        <w:bCs/>
      </w:rPr>
      <w:t xml:space="preserve"> </w:t>
    </w:r>
    <w:r w:rsidR="008816A5">
      <w:rPr>
        <w:b/>
        <w:bCs/>
      </w:rPr>
      <w:fldChar w:fldCharType="begin"/>
    </w:r>
    <w:r>
      <w:rPr>
        <w:b/>
        <w:bCs/>
      </w:rPr>
      <w:instrText>styleref href</w:instrText>
    </w:r>
    <w:r w:rsidR="008816A5">
      <w:rPr>
        <w:b/>
        <w:bCs/>
      </w:rPr>
      <w:fldChar w:fldCharType="separate"/>
    </w:r>
    <w:r w:rsidR="00CC0387">
      <w:rPr>
        <w:b/>
        <w:bCs/>
        <w:noProof/>
      </w:rPr>
      <w:t>ITU-R BT.1728-1</w:t>
    </w:r>
    <w:r w:rsidR="008816A5">
      <w:rPr>
        <w:b/>
        <w:bCs/>
      </w:rPr>
      <w:fldChar w:fldCharType="end"/>
    </w:r>
    <w:r>
      <w:tab/>
    </w:r>
    <w:r w:rsidR="008816A5">
      <w:rPr>
        <w:rStyle w:val="PageNumber"/>
        <w:b/>
        <w:bCs/>
      </w:rPr>
      <w:fldChar w:fldCharType="begin"/>
    </w:r>
    <w:r>
      <w:rPr>
        <w:rStyle w:val="PageNumber"/>
        <w:b/>
        <w:bCs/>
      </w:rPr>
      <w:instrText xml:space="preserve"> PAGE </w:instrText>
    </w:r>
    <w:r w:rsidR="008816A5">
      <w:rPr>
        <w:rStyle w:val="PageNumber"/>
        <w:b/>
        <w:bCs/>
      </w:rPr>
      <w:fldChar w:fldCharType="separate"/>
    </w:r>
    <w:r w:rsidR="00CC0387">
      <w:rPr>
        <w:rStyle w:val="PageNumber"/>
        <w:b/>
        <w:bCs/>
        <w:noProof/>
      </w:rPr>
      <w:t>1</w:t>
    </w:r>
    <w:r w:rsidR="008816A5">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defaultTabStop w:val="720"/>
  <w:evenAndOddHeaders/>
  <w:noPunctuationKerning/>
  <w:characterSpacingControl w:val="doNotCompress"/>
  <w:hdrShapeDefaults>
    <o:shapedefaults v:ext="edit" spidmax="9217"/>
  </w:hdrShapeDefaults>
  <w:footnotePr>
    <w:footnote w:id="-1"/>
    <w:footnote w:id="0"/>
  </w:footnotePr>
  <w:endnotePr>
    <w:endnote w:id="-1"/>
    <w:endnote w:id="0"/>
  </w:endnotePr>
  <w:compat/>
  <w:rsids>
    <w:rsidRoot w:val="003C52A0"/>
    <w:rsid w:val="0006659D"/>
    <w:rsid w:val="000D067A"/>
    <w:rsid w:val="00235AE2"/>
    <w:rsid w:val="002D76C4"/>
    <w:rsid w:val="003B1DE5"/>
    <w:rsid w:val="003C52A0"/>
    <w:rsid w:val="00520FCE"/>
    <w:rsid w:val="005A3D51"/>
    <w:rsid w:val="00607D68"/>
    <w:rsid w:val="00651D66"/>
    <w:rsid w:val="007468DA"/>
    <w:rsid w:val="008816A5"/>
    <w:rsid w:val="00A6617B"/>
    <w:rsid w:val="00AB0DC8"/>
    <w:rsid w:val="00AB324E"/>
    <w:rsid w:val="00B44E24"/>
    <w:rsid w:val="00B825DF"/>
    <w:rsid w:val="00CC0387"/>
    <w:rsid w:val="00DF4176"/>
    <w:rsid w:val="00E1454A"/>
    <w:rsid w:val="00ED1EB6"/>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25DF"/>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qFormat/>
    <w:rsid w:val="00ED1EB6"/>
    <w:pPr>
      <w:keepNext/>
      <w:keepLines/>
      <w:spacing w:before="480"/>
      <w:ind w:left="794" w:hanging="794"/>
      <w:outlineLvl w:val="0"/>
    </w:pPr>
    <w:rPr>
      <w:b/>
    </w:rPr>
  </w:style>
  <w:style w:type="paragraph" w:styleId="Heading2">
    <w:name w:val="heading 2"/>
    <w:basedOn w:val="Heading1"/>
    <w:next w:val="Normal"/>
    <w:qFormat/>
    <w:rsid w:val="00ED1EB6"/>
    <w:pPr>
      <w:spacing w:before="320"/>
      <w:outlineLvl w:val="1"/>
    </w:pPr>
  </w:style>
  <w:style w:type="paragraph" w:styleId="Heading3">
    <w:name w:val="heading 3"/>
    <w:basedOn w:val="Heading1"/>
    <w:next w:val="Normal"/>
    <w:qFormat/>
    <w:rsid w:val="00ED1EB6"/>
    <w:pPr>
      <w:spacing w:before="200"/>
      <w:outlineLvl w:val="2"/>
    </w:pPr>
  </w:style>
  <w:style w:type="paragraph" w:styleId="Heading4">
    <w:name w:val="heading 4"/>
    <w:basedOn w:val="Heading3"/>
    <w:next w:val="Normal"/>
    <w:qFormat/>
    <w:rsid w:val="00ED1EB6"/>
    <w:pPr>
      <w:tabs>
        <w:tab w:val="clear" w:pos="794"/>
        <w:tab w:val="left" w:pos="992"/>
      </w:tabs>
      <w:ind w:left="992" w:hanging="992"/>
      <w:outlineLvl w:val="3"/>
    </w:pPr>
  </w:style>
  <w:style w:type="paragraph" w:styleId="Heading5">
    <w:name w:val="heading 5"/>
    <w:basedOn w:val="Heading4"/>
    <w:next w:val="Normal"/>
    <w:qFormat/>
    <w:rsid w:val="00ED1EB6"/>
    <w:pPr>
      <w:outlineLvl w:val="4"/>
    </w:pPr>
  </w:style>
  <w:style w:type="paragraph" w:styleId="Heading6">
    <w:name w:val="heading 6"/>
    <w:basedOn w:val="Heading4"/>
    <w:next w:val="Normal"/>
    <w:qFormat/>
    <w:rsid w:val="00ED1EB6"/>
    <w:pPr>
      <w:tabs>
        <w:tab w:val="clear" w:pos="992"/>
        <w:tab w:val="clear" w:pos="1191"/>
      </w:tabs>
      <w:ind w:left="1588" w:hanging="1588"/>
      <w:outlineLvl w:val="5"/>
    </w:pPr>
  </w:style>
  <w:style w:type="paragraph" w:styleId="Heading7">
    <w:name w:val="heading 7"/>
    <w:basedOn w:val="Heading6"/>
    <w:next w:val="Normal"/>
    <w:qFormat/>
    <w:rsid w:val="00ED1EB6"/>
    <w:pPr>
      <w:outlineLvl w:val="6"/>
    </w:pPr>
  </w:style>
  <w:style w:type="paragraph" w:styleId="Heading8">
    <w:name w:val="heading 8"/>
    <w:basedOn w:val="Heading6"/>
    <w:next w:val="Normal"/>
    <w:qFormat/>
    <w:rsid w:val="00ED1EB6"/>
    <w:pPr>
      <w:outlineLvl w:val="7"/>
    </w:pPr>
  </w:style>
  <w:style w:type="paragraph" w:styleId="Heading9">
    <w:name w:val="heading 9"/>
    <w:basedOn w:val="Heading6"/>
    <w:next w:val="Normal"/>
    <w:qFormat/>
    <w:rsid w:val="00ED1EB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D1EB6"/>
    <w:pPr>
      <w:tabs>
        <w:tab w:val="clear" w:pos="794"/>
        <w:tab w:val="clear" w:pos="1191"/>
        <w:tab w:val="clear" w:pos="1588"/>
        <w:tab w:val="clear" w:pos="1985"/>
        <w:tab w:val="center" w:pos="4848"/>
        <w:tab w:val="right" w:pos="9696"/>
      </w:tabs>
      <w:spacing w:before="0"/>
      <w:jc w:val="center"/>
    </w:pPr>
    <w:rPr>
      <w:lang w:val="fr-FR"/>
    </w:rPr>
  </w:style>
  <w:style w:type="paragraph" w:styleId="Footer">
    <w:name w:val="footer"/>
    <w:basedOn w:val="Normal"/>
    <w:rsid w:val="00ED1EB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D1EB6"/>
  </w:style>
  <w:style w:type="paragraph" w:customStyle="1" w:styleId="Headingb">
    <w:name w:val="Heading_b"/>
    <w:basedOn w:val="Heading3"/>
    <w:next w:val="Normal"/>
    <w:rsid w:val="00ED1EB6"/>
    <w:pPr>
      <w:spacing w:before="160"/>
      <w:ind w:left="0" w:firstLine="0"/>
      <w:outlineLvl w:val="9"/>
    </w:pPr>
  </w:style>
  <w:style w:type="paragraph" w:customStyle="1" w:styleId="Headingi">
    <w:name w:val="Heading_i"/>
    <w:basedOn w:val="Heading3"/>
    <w:next w:val="Normal"/>
    <w:rsid w:val="00ED1EB6"/>
    <w:pPr>
      <w:spacing w:before="160"/>
      <w:ind w:left="0" w:firstLine="0"/>
    </w:pPr>
    <w:rPr>
      <w:b w:val="0"/>
      <w:i/>
    </w:rPr>
  </w:style>
  <w:style w:type="character" w:customStyle="1" w:styleId="href">
    <w:name w:val="href"/>
    <w:basedOn w:val="DefaultParagraphFont"/>
    <w:rsid w:val="00ED1EB6"/>
  </w:style>
  <w:style w:type="paragraph" w:customStyle="1" w:styleId="enumlev1">
    <w:name w:val="enumlev1"/>
    <w:basedOn w:val="Normal"/>
    <w:rsid w:val="00ED1EB6"/>
    <w:pPr>
      <w:spacing w:before="80"/>
      <w:ind w:left="794" w:hanging="794"/>
      <w:jc w:val="both"/>
    </w:pPr>
    <w:rPr>
      <w:lang w:val="fr-FR"/>
    </w:rPr>
  </w:style>
  <w:style w:type="paragraph" w:customStyle="1" w:styleId="enumlev2">
    <w:name w:val="enumlev2"/>
    <w:basedOn w:val="enumlev1"/>
    <w:rsid w:val="00ED1EB6"/>
    <w:pPr>
      <w:ind w:left="1191" w:hanging="397"/>
    </w:pPr>
  </w:style>
  <w:style w:type="paragraph" w:customStyle="1" w:styleId="enumlev3">
    <w:name w:val="enumlev3"/>
    <w:basedOn w:val="enumlev2"/>
    <w:rsid w:val="00ED1EB6"/>
    <w:pPr>
      <w:ind w:left="1588"/>
    </w:pPr>
  </w:style>
  <w:style w:type="paragraph" w:customStyle="1" w:styleId="Normalaftertitle">
    <w:name w:val="Normal_after_title"/>
    <w:basedOn w:val="Normal"/>
    <w:next w:val="Normal"/>
    <w:rsid w:val="00ED1EB6"/>
    <w:pPr>
      <w:spacing w:before="320"/>
    </w:pPr>
  </w:style>
  <w:style w:type="paragraph" w:customStyle="1" w:styleId="Note">
    <w:name w:val="Note"/>
    <w:basedOn w:val="Normal"/>
    <w:rsid w:val="00ED1EB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D1EB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ED1EB6"/>
    <w:pPr>
      <w:spacing w:before="240"/>
    </w:pPr>
    <w:rPr>
      <w:sz w:val="22"/>
      <w:lang w:val="es-ES_tradnl"/>
    </w:rPr>
  </w:style>
  <w:style w:type="paragraph" w:customStyle="1" w:styleId="Recref">
    <w:name w:val="Rec_ref"/>
    <w:basedOn w:val="Normal"/>
    <w:next w:val="Recdate"/>
    <w:rsid w:val="00ED1EB6"/>
    <w:pPr>
      <w:jc w:val="center"/>
    </w:pPr>
  </w:style>
  <w:style w:type="paragraph" w:customStyle="1" w:styleId="Recdate">
    <w:name w:val="Rec_date"/>
    <w:basedOn w:val="Recref"/>
    <w:next w:val="Normalaftertitle"/>
    <w:rsid w:val="00ED1EB6"/>
    <w:pPr>
      <w:jc w:val="right"/>
    </w:pPr>
  </w:style>
  <w:style w:type="paragraph" w:customStyle="1" w:styleId="AnnexNoTitle">
    <w:name w:val="Annex_NoTitle"/>
    <w:basedOn w:val="Normal"/>
    <w:next w:val="Normalaftertitle"/>
    <w:rsid w:val="00ED1EB6"/>
    <w:pPr>
      <w:keepNext/>
      <w:keepLines/>
      <w:spacing w:before="480" w:after="80"/>
      <w:jc w:val="center"/>
    </w:pPr>
    <w:rPr>
      <w:b/>
      <w:sz w:val="28"/>
    </w:rPr>
  </w:style>
  <w:style w:type="paragraph" w:customStyle="1" w:styleId="AppendixNoTitle">
    <w:name w:val="Appendix_NoTitle"/>
    <w:basedOn w:val="AnnexNoTitle"/>
    <w:next w:val="Normal"/>
    <w:rsid w:val="00ED1EB6"/>
  </w:style>
  <w:style w:type="paragraph" w:customStyle="1" w:styleId="Tablefin">
    <w:name w:val="Table_fin"/>
    <w:basedOn w:val="Normal"/>
    <w:next w:val="Normal"/>
    <w:rsid w:val="00ED1EB6"/>
    <w:pPr>
      <w:spacing w:before="0"/>
    </w:pPr>
    <w:rPr>
      <w:sz w:val="20"/>
    </w:rPr>
  </w:style>
  <w:style w:type="paragraph" w:customStyle="1" w:styleId="Tablehead">
    <w:name w:val="Table_head"/>
    <w:basedOn w:val="Normal"/>
    <w:next w:val="Normal"/>
    <w:rsid w:val="00ED1EB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D1E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D1EB6"/>
    <w:pPr>
      <w:keepNext/>
      <w:spacing w:before="360" w:after="120"/>
      <w:jc w:val="center"/>
    </w:pPr>
  </w:style>
  <w:style w:type="paragraph" w:customStyle="1" w:styleId="Tabletext">
    <w:name w:val="Table_text"/>
    <w:basedOn w:val="Normal"/>
    <w:rsid w:val="00ED1EB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D1EB6"/>
    <w:pPr>
      <w:tabs>
        <w:tab w:val="clear" w:pos="1191"/>
        <w:tab w:val="clear" w:pos="1588"/>
        <w:tab w:val="clear" w:pos="1985"/>
        <w:tab w:val="center" w:pos="4820"/>
        <w:tab w:val="right" w:pos="9639"/>
      </w:tabs>
    </w:pPr>
  </w:style>
  <w:style w:type="paragraph" w:customStyle="1" w:styleId="Equationlegend">
    <w:name w:val="Equation_legend"/>
    <w:basedOn w:val="NormalIndent"/>
    <w:rsid w:val="00ED1EB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D1EB6"/>
    <w:pPr>
      <w:ind w:left="794"/>
    </w:pPr>
  </w:style>
  <w:style w:type="paragraph" w:customStyle="1" w:styleId="Figurelegend">
    <w:name w:val="Figure_legend"/>
    <w:basedOn w:val="Normal"/>
    <w:rsid w:val="00ED1EB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ED1EB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D1EB6"/>
    <w:pPr>
      <w:keepNext/>
      <w:keepLines/>
      <w:spacing w:before="480"/>
      <w:jc w:val="center"/>
    </w:pPr>
    <w:rPr>
      <w:sz w:val="28"/>
    </w:rPr>
  </w:style>
  <w:style w:type="paragraph" w:customStyle="1" w:styleId="Arttitle">
    <w:name w:val="Art_title"/>
    <w:basedOn w:val="Normal"/>
    <w:next w:val="Normalaftertitle"/>
    <w:rsid w:val="00ED1EB6"/>
    <w:pPr>
      <w:keepNext/>
      <w:keepLines/>
      <w:spacing w:before="240"/>
      <w:jc w:val="center"/>
    </w:pPr>
    <w:rPr>
      <w:b/>
      <w:sz w:val="28"/>
    </w:rPr>
  </w:style>
  <w:style w:type="paragraph" w:customStyle="1" w:styleId="Blanc">
    <w:name w:val="Blanc"/>
    <w:basedOn w:val="Normal"/>
    <w:next w:val="Tabletext"/>
    <w:rsid w:val="00ED1EB6"/>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ED1EB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D1EB6"/>
    <w:pPr>
      <w:keepNext/>
      <w:keepLines/>
      <w:spacing w:before="160"/>
      <w:ind w:left="794"/>
    </w:pPr>
    <w:rPr>
      <w:i/>
    </w:rPr>
  </w:style>
  <w:style w:type="paragraph" w:customStyle="1" w:styleId="ChapNo">
    <w:name w:val="Chap_No"/>
    <w:basedOn w:val="ArtNo"/>
    <w:next w:val="Chaptitle"/>
    <w:rsid w:val="00ED1EB6"/>
    <w:rPr>
      <w:b/>
    </w:rPr>
  </w:style>
  <w:style w:type="paragraph" w:customStyle="1" w:styleId="Chaptitle">
    <w:name w:val="Chap_title"/>
    <w:basedOn w:val="Arttitle"/>
    <w:next w:val="Normalaftertitle"/>
    <w:rsid w:val="00ED1EB6"/>
  </w:style>
  <w:style w:type="character" w:styleId="FootnoteReference">
    <w:name w:val="footnote reference"/>
    <w:basedOn w:val="DefaultParagraphFont"/>
    <w:semiHidden/>
    <w:rsid w:val="00ED1EB6"/>
    <w:rPr>
      <w:position w:val="6"/>
      <w:sz w:val="18"/>
    </w:rPr>
  </w:style>
  <w:style w:type="paragraph" w:styleId="FootnoteText">
    <w:name w:val="footnote text"/>
    <w:basedOn w:val="Normal"/>
    <w:semiHidden/>
    <w:rsid w:val="00ED1EB6"/>
    <w:pPr>
      <w:keepLines/>
      <w:tabs>
        <w:tab w:val="left" w:pos="255"/>
      </w:tabs>
      <w:ind w:left="255" w:hanging="255"/>
    </w:pPr>
    <w:rPr>
      <w:sz w:val="22"/>
    </w:rPr>
  </w:style>
  <w:style w:type="paragraph" w:styleId="Index1">
    <w:name w:val="index 1"/>
    <w:basedOn w:val="Normal"/>
    <w:next w:val="Normal"/>
    <w:semiHidden/>
    <w:rsid w:val="00ED1EB6"/>
  </w:style>
  <w:style w:type="paragraph" w:styleId="Index2">
    <w:name w:val="index 2"/>
    <w:basedOn w:val="Normal"/>
    <w:next w:val="Normal"/>
    <w:semiHidden/>
    <w:rsid w:val="00ED1EB6"/>
    <w:pPr>
      <w:ind w:left="283"/>
    </w:pPr>
  </w:style>
  <w:style w:type="paragraph" w:styleId="Index3">
    <w:name w:val="index 3"/>
    <w:basedOn w:val="Normal"/>
    <w:next w:val="Normal"/>
    <w:semiHidden/>
    <w:rsid w:val="00ED1EB6"/>
    <w:pPr>
      <w:ind w:left="566"/>
    </w:pPr>
  </w:style>
  <w:style w:type="paragraph" w:styleId="IndexHeading">
    <w:name w:val="index heading"/>
    <w:basedOn w:val="Normal"/>
    <w:next w:val="Index1"/>
    <w:semiHidden/>
    <w:rsid w:val="00ED1EB6"/>
  </w:style>
  <w:style w:type="paragraph" w:customStyle="1" w:styleId="Line">
    <w:name w:val="Line"/>
    <w:basedOn w:val="Normal"/>
    <w:next w:val="Normal"/>
    <w:rsid w:val="00ED1EB6"/>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ED1EB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D1EB6"/>
  </w:style>
  <w:style w:type="paragraph" w:customStyle="1" w:styleId="Partref">
    <w:name w:val="Part_ref"/>
    <w:basedOn w:val="Normal"/>
    <w:next w:val="Normal"/>
    <w:rsid w:val="00ED1EB6"/>
    <w:pPr>
      <w:keepNext/>
      <w:keepLines/>
      <w:spacing w:after="280"/>
      <w:jc w:val="center"/>
    </w:pPr>
  </w:style>
  <w:style w:type="paragraph" w:customStyle="1" w:styleId="Parttitle">
    <w:name w:val="Part_title"/>
    <w:basedOn w:val="Normal"/>
    <w:next w:val="Normalaftertitle"/>
    <w:rsid w:val="00ED1EB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D1EB6"/>
  </w:style>
  <w:style w:type="paragraph" w:customStyle="1" w:styleId="QuestionNo">
    <w:name w:val="Question_No"/>
    <w:basedOn w:val="RecNo"/>
    <w:next w:val="Normal"/>
    <w:rsid w:val="00ED1EB6"/>
  </w:style>
  <w:style w:type="paragraph" w:customStyle="1" w:styleId="Questionref">
    <w:name w:val="Question_ref"/>
    <w:basedOn w:val="Recref"/>
    <w:next w:val="Questiondate"/>
    <w:rsid w:val="00ED1EB6"/>
  </w:style>
  <w:style w:type="paragraph" w:customStyle="1" w:styleId="Questiontitle">
    <w:name w:val="Question_title"/>
    <w:basedOn w:val="Normal"/>
    <w:next w:val="Questionref"/>
    <w:rsid w:val="00ED1EB6"/>
  </w:style>
  <w:style w:type="paragraph" w:customStyle="1" w:styleId="Reftext">
    <w:name w:val="Ref_text"/>
    <w:basedOn w:val="Normal"/>
    <w:rsid w:val="00ED1EB6"/>
    <w:pPr>
      <w:ind w:left="794" w:hanging="794"/>
    </w:pPr>
    <w:rPr>
      <w:sz w:val="22"/>
    </w:rPr>
  </w:style>
  <w:style w:type="paragraph" w:customStyle="1" w:styleId="Reftitle">
    <w:name w:val="Ref_title"/>
    <w:basedOn w:val="Normal"/>
    <w:next w:val="Reftext"/>
    <w:rsid w:val="00ED1EB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D1EB6"/>
  </w:style>
  <w:style w:type="paragraph" w:customStyle="1" w:styleId="RepNo">
    <w:name w:val="Rep_No"/>
    <w:basedOn w:val="RecNo"/>
    <w:next w:val="Reptitle"/>
    <w:rsid w:val="00ED1EB6"/>
  </w:style>
  <w:style w:type="paragraph" w:customStyle="1" w:styleId="Repref">
    <w:name w:val="Rep_ref"/>
    <w:basedOn w:val="Recref"/>
    <w:next w:val="Repdate"/>
    <w:rsid w:val="00ED1EB6"/>
  </w:style>
  <w:style w:type="paragraph" w:customStyle="1" w:styleId="Reptitle">
    <w:name w:val="Rep_title"/>
    <w:basedOn w:val="Rectitle"/>
    <w:next w:val="Repref"/>
    <w:rsid w:val="00ED1EB6"/>
  </w:style>
  <w:style w:type="paragraph" w:customStyle="1" w:styleId="Resdate">
    <w:name w:val="Res_date"/>
    <w:basedOn w:val="Recdate"/>
    <w:next w:val="Normalaftertitle"/>
    <w:rsid w:val="00ED1EB6"/>
  </w:style>
  <w:style w:type="paragraph" w:customStyle="1" w:styleId="ResNo">
    <w:name w:val="Res_No"/>
    <w:basedOn w:val="RecNo"/>
    <w:next w:val="Restitle"/>
    <w:rsid w:val="00ED1EB6"/>
  </w:style>
  <w:style w:type="paragraph" w:customStyle="1" w:styleId="Resref">
    <w:name w:val="Res_ref"/>
    <w:basedOn w:val="Recref"/>
    <w:next w:val="Resdate"/>
    <w:rsid w:val="00ED1EB6"/>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ED1EB6"/>
  </w:style>
  <w:style w:type="paragraph" w:customStyle="1" w:styleId="Sectiontitle">
    <w:name w:val="Section_title"/>
    <w:basedOn w:val="Normal"/>
    <w:next w:val="Normalaftertitle"/>
    <w:rsid w:val="00ED1EB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D1EB6"/>
    <w:pPr>
      <w:tabs>
        <w:tab w:val="clear" w:pos="794"/>
        <w:tab w:val="clear" w:pos="1191"/>
        <w:tab w:val="clear" w:pos="1588"/>
        <w:tab w:val="clear" w:pos="1985"/>
        <w:tab w:val="right" w:pos="9611"/>
      </w:tabs>
    </w:pPr>
    <w:rPr>
      <w:i/>
    </w:rPr>
  </w:style>
  <w:style w:type="paragraph" w:styleId="TOC1">
    <w:name w:val="toc 1"/>
    <w:basedOn w:val="Normal"/>
    <w:semiHidden/>
    <w:rsid w:val="00ED1EB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D1EB6"/>
    <w:pPr>
      <w:tabs>
        <w:tab w:val="clear" w:pos="567"/>
        <w:tab w:val="left" w:pos="1276"/>
      </w:tabs>
      <w:spacing w:before="160"/>
      <w:ind w:left="1276" w:hanging="709"/>
    </w:pPr>
  </w:style>
  <w:style w:type="paragraph" w:styleId="TOC3">
    <w:name w:val="toc 3"/>
    <w:basedOn w:val="TOC2"/>
    <w:semiHidden/>
    <w:rsid w:val="00ED1EB6"/>
    <w:pPr>
      <w:tabs>
        <w:tab w:val="clear" w:pos="1276"/>
        <w:tab w:val="left" w:pos="2155"/>
      </w:tabs>
      <w:ind w:left="2155" w:hanging="879"/>
    </w:pPr>
  </w:style>
  <w:style w:type="paragraph" w:styleId="TOC4">
    <w:name w:val="toc 4"/>
    <w:basedOn w:val="TOC3"/>
    <w:semiHidden/>
    <w:rsid w:val="00ED1EB6"/>
    <w:pPr>
      <w:tabs>
        <w:tab w:val="left" w:pos="3261"/>
      </w:tabs>
      <w:spacing w:before="80"/>
      <w:ind w:left="3261" w:hanging="993"/>
    </w:pPr>
  </w:style>
  <w:style w:type="paragraph" w:styleId="TOC5">
    <w:name w:val="toc 5"/>
    <w:basedOn w:val="TOC4"/>
    <w:semiHidden/>
    <w:rsid w:val="00ED1EB6"/>
  </w:style>
  <w:style w:type="paragraph" w:styleId="TOC6">
    <w:name w:val="toc 6"/>
    <w:basedOn w:val="TOC4"/>
    <w:semiHidden/>
    <w:rsid w:val="00ED1EB6"/>
  </w:style>
  <w:style w:type="paragraph" w:styleId="TOC7">
    <w:name w:val="toc 7"/>
    <w:basedOn w:val="TOC4"/>
    <w:semiHidden/>
    <w:rsid w:val="00ED1EB6"/>
  </w:style>
  <w:style w:type="paragraph" w:styleId="TOC8">
    <w:name w:val="toc 8"/>
    <w:basedOn w:val="TOC4"/>
    <w:semiHidden/>
    <w:rsid w:val="00ED1EB6"/>
  </w:style>
  <w:style w:type="paragraph" w:customStyle="1" w:styleId="Rectitle">
    <w:name w:val="Rec_title"/>
    <w:basedOn w:val="Normal"/>
    <w:next w:val="Recref"/>
    <w:rsid w:val="00ED1EB6"/>
    <w:pPr>
      <w:keepNext/>
      <w:keepLines/>
      <w:spacing w:before="240"/>
      <w:jc w:val="center"/>
    </w:pPr>
    <w:rPr>
      <w:b/>
      <w:sz w:val="28"/>
    </w:rPr>
  </w:style>
  <w:style w:type="paragraph" w:customStyle="1" w:styleId="Annexref">
    <w:name w:val="Annex_ref"/>
    <w:basedOn w:val="Normal"/>
    <w:next w:val="Normalaftertitle"/>
    <w:rsid w:val="00ED1EB6"/>
    <w:pPr>
      <w:keepNext/>
      <w:keepLines/>
      <w:spacing w:after="280"/>
      <w:jc w:val="center"/>
    </w:pPr>
  </w:style>
  <w:style w:type="paragraph" w:customStyle="1" w:styleId="Appendixref">
    <w:name w:val="Appendix_ref"/>
    <w:basedOn w:val="Annexref"/>
    <w:next w:val="Normalaftertitle"/>
    <w:rsid w:val="00ED1EB6"/>
  </w:style>
  <w:style w:type="paragraph" w:customStyle="1" w:styleId="Figuretitle">
    <w:name w:val="Figure_title"/>
    <w:basedOn w:val="Normal"/>
    <w:next w:val="Figure"/>
    <w:rsid w:val="00ED1EB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D1EB6"/>
    <w:pPr>
      <w:keepNext/>
      <w:spacing w:before="0" w:after="120"/>
      <w:jc w:val="center"/>
    </w:pPr>
    <w:rPr>
      <w:b/>
    </w:rPr>
  </w:style>
  <w:style w:type="paragraph" w:customStyle="1" w:styleId="Summary">
    <w:name w:val="Summary"/>
    <w:basedOn w:val="Normal"/>
    <w:next w:val="Normalaftertitle"/>
    <w:rsid w:val="00ED1EB6"/>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CallChar">
    <w:name w:val="Call Char"/>
    <w:basedOn w:val="DefaultParagraphFont"/>
    <w:link w:val="Call"/>
    <w:locked/>
    <w:rsid w:val="00B825DF"/>
    <w:rPr>
      <w:i/>
      <w:sz w:val="24"/>
      <w:lang w:val="fr-FR" w:eastAsia="en-US" w:bidi="ar-SA"/>
    </w:rPr>
  </w:style>
  <w:style w:type="character" w:styleId="Hyperlink">
    <w:name w:val="Hyperlink"/>
    <w:basedOn w:val="DefaultParagraphFont"/>
    <w:rsid w:val="003B1DE5"/>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6</TotalTime>
  <Pages>4</Pages>
  <Words>682</Words>
  <Characters>4097</Characters>
  <Application>Microsoft Office Word</Application>
  <DocSecurity>0</DocSecurity>
  <Lines>136</Lines>
  <Paragraphs>71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4713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BT.1728-1 - Guidance on the use of flat panel displays in television production and postproduction</dc:title>
  <dc:subject>BT Series = Broadcasting service (television)</dc:subject>
  <dc:creator>ITU Radiocommunication Bureau (BR)</dc:creator>
  <cp:keywords>BT,1728-1</cp:keywords>
  <dc:description>Santosbo, 12/04/2010, MSB106309</dc:description>
  <cp:lastModifiedBy>santosbo</cp:lastModifiedBy>
  <cp:revision>6</cp:revision>
  <cp:lastPrinted>2005-02-10T15:54:00Z</cp:lastPrinted>
  <dcterms:created xsi:type="dcterms:W3CDTF">2010-03-05T09:10:00Z</dcterms:created>
  <dcterms:modified xsi:type="dcterms:W3CDTF">2010-04-12T07:39:00Z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12 April 2010</vt:lpwstr>
  </property>
</Properties>
</file>