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C2C" w:rsidRPr="00C67702" w:rsidRDefault="00E64C2C" w:rsidP="00E64C2C">
      <w:pPr>
        <w:rPr>
          <w:lang w:val="es-ES_tradnl"/>
        </w:rPr>
      </w:pPr>
      <w:bookmarkStart w:id="0" w:name="dbreak"/>
      <w:bookmarkEnd w:id="0"/>
    </w:p>
    <w:p w:rsidR="00E64C2C" w:rsidRPr="00C67702" w:rsidRDefault="00E64C2C" w:rsidP="00E64C2C">
      <w:pPr>
        <w:rPr>
          <w:lang w:val="es-ES_tradnl"/>
        </w:rPr>
      </w:pPr>
    </w:p>
    <w:p w:rsidR="00E64C2C" w:rsidRPr="00C67702" w:rsidRDefault="00E64C2C" w:rsidP="00E64C2C">
      <w:pPr>
        <w:rPr>
          <w:lang w:val="es-ES_tradnl"/>
        </w:rPr>
      </w:pPr>
    </w:p>
    <w:p w:rsidR="00E64C2C" w:rsidRPr="00C67702" w:rsidRDefault="00E64C2C" w:rsidP="00E64C2C">
      <w:pPr>
        <w:rPr>
          <w:lang w:val="es-ES_tradnl"/>
        </w:rPr>
      </w:pPr>
    </w:p>
    <w:p w:rsidR="00E64C2C" w:rsidRPr="00C67702" w:rsidRDefault="00E64C2C" w:rsidP="00E64C2C">
      <w:pPr>
        <w:rPr>
          <w:lang w:val="es-ES_tradnl"/>
        </w:rPr>
      </w:pPr>
    </w:p>
    <w:p w:rsidR="00E64C2C" w:rsidRPr="00C67702" w:rsidRDefault="00E64C2C" w:rsidP="00E64C2C">
      <w:pPr>
        <w:rPr>
          <w:lang w:val="es-ES_tradnl"/>
        </w:rPr>
      </w:pPr>
    </w:p>
    <w:p w:rsidR="00E64C2C" w:rsidRPr="00C67702" w:rsidRDefault="00E64C2C" w:rsidP="00E64C2C">
      <w:pPr>
        <w:rPr>
          <w:lang w:val="es-ES_tradnl"/>
        </w:rPr>
      </w:pPr>
    </w:p>
    <w:p w:rsidR="00E64C2C" w:rsidRPr="00C67702" w:rsidRDefault="00E64C2C" w:rsidP="00E64C2C">
      <w:pPr>
        <w:rPr>
          <w:lang w:val="es-ES_tradnl"/>
        </w:rPr>
      </w:pPr>
    </w:p>
    <w:p w:rsidR="00E64C2C" w:rsidRPr="00C67702" w:rsidRDefault="00E64C2C" w:rsidP="00E64C2C">
      <w:pPr>
        <w:rPr>
          <w:lang w:val="es-ES_tradnl"/>
        </w:rPr>
      </w:pPr>
    </w:p>
    <w:p w:rsidR="00E64C2C" w:rsidRPr="00C67702" w:rsidRDefault="00E64C2C" w:rsidP="00E64C2C">
      <w:pPr>
        <w:rPr>
          <w:lang w:val="es-ES_tradnl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64C2C" w:rsidRPr="00C67702" w:rsidTr="00DE356F">
        <w:tc>
          <w:tcPr>
            <w:tcW w:w="10089" w:type="dxa"/>
          </w:tcPr>
          <w:p w:rsidR="00E64C2C" w:rsidRPr="00C67702" w:rsidRDefault="00E64C2C" w:rsidP="00DE356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E64C2C" w:rsidRPr="00C67702" w:rsidRDefault="00E64C2C" w:rsidP="00E64C2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C6770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BT.1680-1</w:t>
            </w:r>
          </w:p>
          <w:p w:rsidR="00E64C2C" w:rsidRPr="00C67702" w:rsidRDefault="00E64C2C" w:rsidP="00E64C2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C6770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Pr="00C6770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06</w:t>
            </w:r>
            <w:r w:rsidRPr="00C6770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Pr="00C6770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2014</w:t>
            </w:r>
            <w:r w:rsidRPr="00C6770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E64C2C" w:rsidRPr="00C67702" w:rsidTr="00DE356F">
        <w:tc>
          <w:tcPr>
            <w:tcW w:w="10089" w:type="dxa"/>
          </w:tcPr>
          <w:p w:rsidR="00E64C2C" w:rsidRPr="00C67702" w:rsidRDefault="00E64C2C" w:rsidP="00DE356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E64C2C" w:rsidRPr="00C67702" w:rsidRDefault="00E64C2C" w:rsidP="009D2B1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C6770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Formato de imágenes de base para distribución de aplicaciones de</w:t>
            </w:r>
            <w:r w:rsidRPr="00C6770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C6770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imágenes digitales en pantalla</w:t>
            </w:r>
            <w:r w:rsidRPr="00C6770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C6770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grande destinadas a la</w:t>
            </w:r>
            <w:r w:rsidR="009D2B1B" w:rsidRPr="00C6770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C6770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exhibición</w:t>
            </w:r>
            <w:r w:rsidR="009D2B1B" w:rsidRPr="00C6770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C6770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en grandes salas</w:t>
            </w:r>
          </w:p>
          <w:p w:rsidR="00E64C2C" w:rsidRPr="00C67702" w:rsidRDefault="00E64C2C" w:rsidP="00DE356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E64C2C" w:rsidRPr="00C67702" w:rsidTr="00DE356F">
        <w:tc>
          <w:tcPr>
            <w:tcW w:w="10089" w:type="dxa"/>
          </w:tcPr>
          <w:p w:rsidR="00E64C2C" w:rsidRPr="00C67702" w:rsidRDefault="00E64C2C" w:rsidP="00DE356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E64C2C" w:rsidRPr="00C67702" w:rsidRDefault="00E64C2C" w:rsidP="00DE356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E64C2C" w:rsidRPr="00C67702" w:rsidRDefault="00E64C2C" w:rsidP="00DE356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E64C2C" w:rsidRPr="00C67702" w:rsidRDefault="00E64C2C" w:rsidP="00DE356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C6770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BT</w:t>
            </w:r>
          </w:p>
          <w:p w:rsidR="00E64C2C" w:rsidRPr="00C67702" w:rsidRDefault="00E64C2C" w:rsidP="00DE356F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C6770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de radiodifusión</w:t>
            </w:r>
            <w:r w:rsidRPr="00C6770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(televisión</w:t>
            </w:r>
            <w:r w:rsidRPr="00C67702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)</w:t>
            </w:r>
          </w:p>
        </w:tc>
      </w:tr>
    </w:tbl>
    <w:p w:rsidR="00E64C2C" w:rsidRPr="00C67702" w:rsidRDefault="00E64C2C" w:rsidP="00E64C2C">
      <w:pPr>
        <w:spacing w:before="80"/>
        <w:rPr>
          <w:i/>
          <w:sz w:val="22"/>
          <w:lang w:val="es-ES_tradnl"/>
        </w:rPr>
      </w:pPr>
    </w:p>
    <w:p w:rsidR="00E64C2C" w:rsidRPr="00C67702" w:rsidRDefault="00E64C2C" w:rsidP="00E64C2C">
      <w:pPr>
        <w:spacing w:before="80"/>
        <w:rPr>
          <w:i/>
          <w:sz w:val="22"/>
          <w:lang w:val="es-ES_tradnl"/>
        </w:rPr>
      </w:pPr>
    </w:p>
    <w:p w:rsidR="00E64C2C" w:rsidRPr="00C67702" w:rsidRDefault="00E64C2C" w:rsidP="00E64C2C">
      <w:pPr>
        <w:spacing w:before="80"/>
        <w:rPr>
          <w:i/>
          <w:sz w:val="22"/>
          <w:lang w:val="es-ES_tradnl"/>
        </w:rPr>
      </w:pPr>
    </w:p>
    <w:p w:rsidR="00E64C2C" w:rsidRPr="00C67702" w:rsidRDefault="00E64C2C" w:rsidP="00E64C2C">
      <w:pPr>
        <w:spacing w:before="80"/>
        <w:rPr>
          <w:i/>
          <w:sz w:val="22"/>
          <w:lang w:val="es-ES_tradnl"/>
        </w:rPr>
      </w:pPr>
    </w:p>
    <w:p w:rsidR="00E64C2C" w:rsidRPr="00C67702" w:rsidRDefault="00E64C2C" w:rsidP="00E64C2C">
      <w:pPr>
        <w:spacing w:before="80"/>
        <w:rPr>
          <w:i/>
          <w:sz w:val="22"/>
          <w:lang w:val="es-ES_tradnl"/>
        </w:rPr>
      </w:pPr>
    </w:p>
    <w:p w:rsidR="00E64C2C" w:rsidRPr="00C67702" w:rsidRDefault="00E64C2C" w:rsidP="00E64C2C">
      <w:pPr>
        <w:spacing w:before="80"/>
        <w:rPr>
          <w:i/>
          <w:sz w:val="22"/>
          <w:lang w:val="es-ES_tradnl"/>
        </w:rPr>
      </w:pPr>
    </w:p>
    <w:p w:rsidR="00E64C2C" w:rsidRPr="00C67702" w:rsidRDefault="00E64C2C" w:rsidP="00E64C2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E64C2C" w:rsidRPr="00C67702" w:rsidSect="009E1F8B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E64C2C" w:rsidRPr="00C67702" w:rsidRDefault="00E64C2C" w:rsidP="00E64C2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C67702">
        <w:rPr>
          <w:bCs/>
          <w:sz w:val="24"/>
          <w:szCs w:val="24"/>
          <w:lang w:val="es-ES_tradnl"/>
        </w:rPr>
        <w:lastRenderedPageBreak/>
        <w:t>Prólogo</w:t>
      </w:r>
    </w:p>
    <w:p w:rsidR="00E64C2C" w:rsidRPr="00C67702" w:rsidRDefault="00E64C2C" w:rsidP="00E64C2C">
      <w:pPr>
        <w:spacing w:before="180"/>
        <w:rPr>
          <w:sz w:val="20"/>
          <w:lang w:val="es-ES_tradnl"/>
        </w:rPr>
      </w:pPr>
      <w:r w:rsidRPr="00C67702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E64C2C" w:rsidRPr="00C67702" w:rsidRDefault="00E64C2C" w:rsidP="00E64C2C">
      <w:pPr>
        <w:rPr>
          <w:sz w:val="20"/>
          <w:lang w:val="es-ES_tradnl"/>
        </w:rPr>
      </w:pPr>
      <w:r w:rsidRPr="00C67702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:rsidR="00E64C2C" w:rsidRPr="00C67702" w:rsidRDefault="00E64C2C" w:rsidP="00E64C2C">
      <w:pPr>
        <w:pStyle w:val="Heading1"/>
        <w:spacing w:before="340"/>
        <w:jc w:val="center"/>
        <w:rPr>
          <w:szCs w:val="24"/>
          <w:lang w:val="es-ES_tradnl"/>
        </w:rPr>
      </w:pPr>
      <w:r w:rsidRPr="00C67702">
        <w:rPr>
          <w:lang w:val="es-ES_tradnl"/>
        </w:rPr>
        <w:t>Política sobre Derechos de Propiedad Intelectual</w:t>
      </w:r>
      <w:r w:rsidRPr="00C67702">
        <w:rPr>
          <w:szCs w:val="24"/>
          <w:lang w:val="es-ES_tradnl"/>
        </w:rPr>
        <w:t xml:space="preserve"> (IPR)</w:t>
      </w:r>
    </w:p>
    <w:p w:rsidR="00E64C2C" w:rsidRPr="00C67702" w:rsidRDefault="00E64C2C" w:rsidP="00E64C2C">
      <w:pPr>
        <w:spacing w:before="180"/>
        <w:rPr>
          <w:sz w:val="20"/>
          <w:lang w:val="es-ES_tradnl"/>
        </w:rPr>
      </w:pPr>
      <w:r w:rsidRPr="00C67702">
        <w:rPr>
          <w:sz w:val="20"/>
          <w:lang w:val="es-ES_tradnl"/>
        </w:rPr>
        <w:t>La política del UIT</w:t>
      </w:r>
      <w:r w:rsidRPr="00C67702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C67702">
        <w:rPr>
          <w:sz w:val="20"/>
          <w:lang w:val="es-ES_tradnl"/>
        </w:rPr>
        <w:noBreakHyphen/>
        <w:t>T/UIT</w:t>
      </w:r>
      <w:r w:rsidRPr="00C67702">
        <w:rPr>
          <w:sz w:val="20"/>
          <w:lang w:val="es-ES_tradnl"/>
        </w:rPr>
        <w:noBreakHyphen/>
        <w:t>R/ISO/CEI a la que se hace referencia en el Anexo 1 a la Resolución UIT</w:t>
      </w:r>
      <w:r w:rsidRPr="00C67702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C67702">
          <w:rPr>
            <w:rStyle w:val="Hyperlink"/>
            <w:sz w:val="20"/>
            <w:lang w:val="es-ES_tradnl"/>
          </w:rPr>
          <w:t>http://www.itu.int/ITU-R/go/patents/es</w:t>
        </w:r>
      </w:hyperlink>
      <w:r w:rsidRPr="00C67702">
        <w:rPr>
          <w:sz w:val="20"/>
          <w:lang w:val="es-ES_tradnl"/>
        </w:rPr>
        <w:t>, donde también aparecen las Directrices para la implementación de la Política Común de Patentes UIT</w:t>
      </w:r>
      <w:r w:rsidRPr="00C67702">
        <w:rPr>
          <w:sz w:val="20"/>
          <w:lang w:val="es-ES_tradnl"/>
        </w:rPr>
        <w:noBreakHyphen/>
        <w:t>T/UIT</w:t>
      </w:r>
      <w:r w:rsidRPr="00C67702">
        <w:rPr>
          <w:sz w:val="20"/>
          <w:lang w:val="es-ES_tradnl"/>
        </w:rPr>
        <w:noBreakHyphen/>
        <w:t>R/ISO/CEI y la base de datos sobre información de patentes del UIT</w:t>
      </w:r>
      <w:r w:rsidRPr="00C67702">
        <w:rPr>
          <w:sz w:val="20"/>
          <w:lang w:val="es-ES_tradnl"/>
        </w:rPr>
        <w:noBreakHyphen/>
        <w:t>R sobre este asunto.</w:t>
      </w:r>
    </w:p>
    <w:p w:rsidR="00E64C2C" w:rsidRPr="00C67702" w:rsidRDefault="00E64C2C" w:rsidP="00E64C2C">
      <w:pPr>
        <w:spacing w:before="0"/>
        <w:jc w:val="center"/>
        <w:rPr>
          <w:sz w:val="22"/>
          <w:lang w:val="es-ES_tradnl"/>
        </w:rPr>
      </w:pPr>
    </w:p>
    <w:p w:rsidR="00E64C2C" w:rsidRPr="00C67702" w:rsidRDefault="00E64C2C" w:rsidP="00E64C2C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E64C2C" w:rsidRPr="00C67702" w:rsidTr="00DE356F">
        <w:tc>
          <w:tcPr>
            <w:tcW w:w="9360" w:type="dxa"/>
            <w:gridSpan w:val="2"/>
          </w:tcPr>
          <w:p w:rsidR="00E64C2C" w:rsidRPr="00C67702" w:rsidRDefault="00E64C2C" w:rsidP="00DE356F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C67702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E64C2C" w:rsidRPr="00C67702" w:rsidRDefault="00E64C2C" w:rsidP="00DE356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C67702">
              <w:rPr>
                <w:b w:val="0"/>
                <w:sz w:val="18"/>
                <w:szCs w:val="18"/>
                <w:lang w:val="es-ES_tradnl"/>
              </w:rPr>
              <w:t xml:space="preserve">(También disponible en línea en  </w:t>
            </w:r>
            <w:hyperlink r:id="rId10" w:history="1">
              <w:hyperlink r:id="rId11" w:history="1">
                <w:r w:rsidRPr="00C67702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C67702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E64C2C" w:rsidRPr="00C67702" w:rsidTr="00DE356F">
        <w:tc>
          <w:tcPr>
            <w:tcW w:w="1140" w:type="dxa"/>
          </w:tcPr>
          <w:p w:rsidR="00E64C2C" w:rsidRPr="00C67702" w:rsidRDefault="00E64C2C" w:rsidP="00DE356F">
            <w:pPr>
              <w:spacing w:before="180" w:after="100"/>
              <w:ind w:left="57"/>
              <w:rPr>
                <w:b/>
                <w:bCs/>
                <w:sz w:val="20"/>
                <w:lang w:val="es-ES_tradnl"/>
              </w:rPr>
            </w:pPr>
            <w:r w:rsidRPr="00C67702">
              <w:rPr>
                <w:b/>
                <w:bCs/>
                <w:sz w:val="20"/>
                <w:lang w:val="es-ES_tradnl"/>
              </w:rPr>
              <w:t>Series</w:t>
            </w:r>
          </w:p>
        </w:tc>
        <w:tc>
          <w:tcPr>
            <w:tcW w:w="8220" w:type="dxa"/>
          </w:tcPr>
          <w:p w:rsidR="00E64C2C" w:rsidRPr="00C67702" w:rsidRDefault="00E64C2C" w:rsidP="00DE356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_tradnl"/>
              </w:rPr>
            </w:pPr>
            <w:r w:rsidRPr="00C67702">
              <w:rPr>
                <w:bCs/>
                <w:sz w:val="20"/>
                <w:lang w:val="es-ES_tradnl"/>
              </w:rPr>
              <w:t>Título</w:t>
            </w:r>
          </w:p>
        </w:tc>
      </w:tr>
      <w:tr w:rsidR="00E64C2C" w:rsidRPr="00C67702" w:rsidTr="00DE356F">
        <w:tc>
          <w:tcPr>
            <w:tcW w:w="1140" w:type="dxa"/>
            <w:tcBorders>
              <w:bottom w:val="nil"/>
            </w:tcBorders>
          </w:tcPr>
          <w:p w:rsidR="00E64C2C" w:rsidRPr="00C67702" w:rsidRDefault="00E64C2C" w:rsidP="00DE356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7702">
              <w:rPr>
                <w:b/>
                <w:bCs/>
                <w:sz w:val="20"/>
                <w:lang w:val="es-ES_tradnl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E64C2C" w:rsidRPr="00C67702" w:rsidRDefault="00E64C2C" w:rsidP="00DE356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C67702">
              <w:rPr>
                <w:b w:val="0"/>
                <w:bCs/>
                <w:sz w:val="20"/>
                <w:lang w:val="es-ES_tradnl"/>
              </w:rPr>
              <w:t>Distribución por satélite</w:t>
            </w:r>
          </w:p>
        </w:tc>
      </w:tr>
      <w:tr w:rsidR="00E64C2C" w:rsidRPr="00C67702" w:rsidTr="00DE356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64C2C" w:rsidRPr="00C67702" w:rsidRDefault="00E64C2C" w:rsidP="00DE356F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_tradnl"/>
              </w:rPr>
            </w:pPr>
            <w:r w:rsidRPr="00C67702">
              <w:rPr>
                <w:rFonts w:hAnsi="Times New Roman Bold"/>
                <w:b/>
                <w:bCs/>
                <w:sz w:val="20"/>
                <w:lang w:val="es-ES_tradnl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64C2C" w:rsidRPr="00C67702" w:rsidRDefault="00E64C2C" w:rsidP="00DE356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C67702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E64C2C" w:rsidRPr="00C67702" w:rsidTr="00DE356F">
        <w:tc>
          <w:tcPr>
            <w:tcW w:w="1140" w:type="dxa"/>
            <w:tcBorders>
              <w:top w:val="nil"/>
              <w:bottom w:val="nil"/>
            </w:tcBorders>
          </w:tcPr>
          <w:p w:rsidR="00E64C2C" w:rsidRPr="00C67702" w:rsidRDefault="00E64C2C" w:rsidP="00DE356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7702">
              <w:rPr>
                <w:b/>
                <w:bCs/>
                <w:sz w:val="20"/>
                <w:lang w:val="es-ES_tradnl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E64C2C" w:rsidRPr="00C67702" w:rsidRDefault="00E64C2C" w:rsidP="00DE356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C67702">
              <w:rPr>
                <w:b w:val="0"/>
                <w:bCs/>
                <w:sz w:val="20"/>
                <w:lang w:val="es-ES_tradnl"/>
              </w:rPr>
              <w:t>Servicio de radiodifusión (sonora)</w:t>
            </w:r>
          </w:p>
        </w:tc>
      </w:tr>
      <w:tr w:rsidR="00E64C2C" w:rsidRPr="00C67702" w:rsidTr="00DE356F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E64C2C" w:rsidRPr="00C67702" w:rsidRDefault="00E64C2C" w:rsidP="00DE356F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s-ES_tradnl"/>
              </w:rPr>
            </w:pPr>
            <w:r w:rsidRPr="00C67702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s-ES_tradnl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E64C2C" w:rsidRPr="00C67702" w:rsidRDefault="00E64C2C" w:rsidP="00DE356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s-ES_tradnl"/>
              </w:rPr>
            </w:pPr>
            <w:r w:rsidRPr="00C67702">
              <w:rPr>
                <w:rFonts w:ascii="Times New Roman Bold" w:hAnsi="Times New Roman Bold" w:cs="Times New Roman Bold"/>
                <w:bCs/>
                <w:color w:val="000080"/>
                <w:sz w:val="20"/>
                <w:lang w:val="es-ES_tradnl"/>
              </w:rPr>
              <w:t>Servicio de radiodifusión (televisión)</w:t>
            </w:r>
          </w:p>
        </w:tc>
      </w:tr>
      <w:tr w:rsidR="00E64C2C" w:rsidRPr="00C67702" w:rsidTr="00DE356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64C2C" w:rsidRPr="00C67702" w:rsidRDefault="00E64C2C" w:rsidP="00DE356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7702">
              <w:rPr>
                <w:b/>
                <w:bCs/>
                <w:sz w:val="20"/>
                <w:lang w:val="es-ES_tradnl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64C2C" w:rsidRPr="00C67702" w:rsidRDefault="00E64C2C" w:rsidP="00DE356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C67702">
              <w:rPr>
                <w:bCs/>
                <w:sz w:val="20"/>
                <w:lang w:val="es-ES_tradnl"/>
              </w:rPr>
              <w:t>Servicio fijo</w:t>
            </w:r>
          </w:p>
        </w:tc>
      </w:tr>
      <w:tr w:rsidR="00E64C2C" w:rsidRPr="00C67702" w:rsidTr="00DE356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64C2C" w:rsidRPr="00C67702" w:rsidRDefault="00E64C2C" w:rsidP="00DE356F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_tradnl"/>
              </w:rPr>
            </w:pPr>
            <w:r w:rsidRPr="00C67702">
              <w:rPr>
                <w:rFonts w:hAnsi="Times New Roman Bold"/>
                <w:b/>
                <w:bCs/>
                <w:sz w:val="20"/>
                <w:lang w:val="es-ES_tradnl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64C2C" w:rsidRPr="00C67702" w:rsidRDefault="00E64C2C" w:rsidP="00DE356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C67702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C67702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C67702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C67702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C67702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C67702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C67702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E64C2C" w:rsidRPr="00C67702" w:rsidTr="00DE356F">
        <w:tc>
          <w:tcPr>
            <w:tcW w:w="1140" w:type="dxa"/>
            <w:tcBorders>
              <w:top w:val="nil"/>
            </w:tcBorders>
          </w:tcPr>
          <w:p w:rsidR="00E64C2C" w:rsidRPr="00C67702" w:rsidRDefault="00E64C2C" w:rsidP="00DE356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7702">
              <w:rPr>
                <w:b/>
                <w:bCs/>
                <w:sz w:val="20"/>
                <w:lang w:val="es-ES_tradnl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E64C2C" w:rsidRPr="00C67702" w:rsidRDefault="00E64C2C" w:rsidP="00DE356F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C67702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E64C2C" w:rsidRPr="00C67702" w:rsidTr="00DE356F">
        <w:tc>
          <w:tcPr>
            <w:tcW w:w="1140" w:type="dxa"/>
          </w:tcPr>
          <w:p w:rsidR="00E64C2C" w:rsidRPr="00C67702" w:rsidRDefault="00E64C2C" w:rsidP="00DE356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7702">
              <w:rPr>
                <w:b/>
                <w:bCs/>
                <w:sz w:val="20"/>
                <w:lang w:val="es-ES_tradnl"/>
              </w:rPr>
              <w:t>RA</w:t>
            </w:r>
          </w:p>
        </w:tc>
        <w:tc>
          <w:tcPr>
            <w:tcW w:w="8220" w:type="dxa"/>
          </w:tcPr>
          <w:p w:rsidR="00E64C2C" w:rsidRPr="00C67702" w:rsidRDefault="00E64C2C" w:rsidP="00DE356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C67702">
              <w:rPr>
                <w:bCs/>
                <w:sz w:val="20"/>
                <w:lang w:val="es-ES_tradnl"/>
              </w:rPr>
              <w:t>Radioastronomía</w:t>
            </w:r>
          </w:p>
        </w:tc>
      </w:tr>
      <w:tr w:rsidR="00E64C2C" w:rsidRPr="00C67702" w:rsidTr="00DE356F">
        <w:tc>
          <w:tcPr>
            <w:tcW w:w="1140" w:type="dxa"/>
          </w:tcPr>
          <w:p w:rsidR="00E64C2C" w:rsidRPr="00C67702" w:rsidRDefault="00E64C2C" w:rsidP="00DE356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7702">
              <w:rPr>
                <w:b/>
                <w:bCs/>
                <w:sz w:val="20"/>
                <w:lang w:val="es-ES_tradnl"/>
              </w:rPr>
              <w:t>RS</w:t>
            </w:r>
          </w:p>
        </w:tc>
        <w:tc>
          <w:tcPr>
            <w:tcW w:w="8220" w:type="dxa"/>
          </w:tcPr>
          <w:p w:rsidR="00E64C2C" w:rsidRPr="00C67702" w:rsidRDefault="00E64C2C" w:rsidP="00DE356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C67702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E64C2C" w:rsidRPr="00C67702" w:rsidTr="00DE356F">
        <w:tc>
          <w:tcPr>
            <w:tcW w:w="1140" w:type="dxa"/>
          </w:tcPr>
          <w:p w:rsidR="00E64C2C" w:rsidRPr="00C67702" w:rsidRDefault="00E64C2C" w:rsidP="00DE356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7702">
              <w:rPr>
                <w:b/>
                <w:bCs/>
                <w:sz w:val="20"/>
                <w:lang w:val="es-ES_tradnl"/>
              </w:rPr>
              <w:t>S</w:t>
            </w:r>
          </w:p>
        </w:tc>
        <w:tc>
          <w:tcPr>
            <w:tcW w:w="8220" w:type="dxa"/>
          </w:tcPr>
          <w:p w:rsidR="00E64C2C" w:rsidRPr="00C67702" w:rsidRDefault="00E64C2C" w:rsidP="00DE356F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C67702">
              <w:rPr>
                <w:bCs/>
                <w:sz w:val="20"/>
                <w:lang w:val="es-ES_tradnl"/>
              </w:rPr>
              <w:t>Servicio fijo por satélite</w:t>
            </w:r>
          </w:p>
        </w:tc>
      </w:tr>
      <w:tr w:rsidR="00E64C2C" w:rsidRPr="00C67702" w:rsidTr="00DE356F">
        <w:tc>
          <w:tcPr>
            <w:tcW w:w="1140" w:type="dxa"/>
          </w:tcPr>
          <w:p w:rsidR="00E64C2C" w:rsidRPr="00C67702" w:rsidRDefault="00E64C2C" w:rsidP="00DE356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7702">
              <w:rPr>
                <w:b/>
                <w:bCs/>
                <w:sz w:val="20"/>
                <w:lang w:val="es-ES_tradnl"/>
              </w:rPr>
              <w:t>SA</w:t>
            </w:r>
          </w:p>
        </w:tc>
        <w:tc>
          <w:tcPr>
            <w:tcW w:w="8220" w:type="dxa"/>
          </w:tcPr>
          <w:p w:rsidR="00E64C2C" w:rsidRPr="00C67702" w:rsidRDefault="00E64C2C" w:rsidP="00DE356F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C67702">
              <w:rPr>
                <w:bCs/>
                <w:sz w:val="20"/>
                <w:lang w:val="es-ES_tradnl"/>
              </w:rPr>
              <w:t>Aplicaciones espaciales y meteorología</w:t>
            </w:r>
          </w:p>
        </w:tc>
      </w:tr>
      <w:tr w:rsidR="00E64C2C" w:rsidRPr="00C67702" w:rsidTr="00DE356F">
        <w:tc>
          <w:tcPr>
            <w:tcW w:w="1140" w:type="dxa"/>
          </w:tcPr>
          <w:p w:rsidR="00E64C2C" w:rsidRPr="00C67702" w:rsidRDefault="00E64C2C" w:rsidP="00DE356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7702">
              <w:rPr>
                <w:b/>
                <w:bCs/>
                <w:sz w:val="20"/>
                <w:lang w:val="es-ES_tradnl"/>
              </w:rPr>
              <w:t>SF</w:t>
            </w:r>
          </w:p>
        </w:tc>
        <w:tc>
          <w:tcPr>
            <w:tcW w:w="8220" w:type="dxa"/>
          </w:tcPr>
          <w:p w:rsidR="00E64C2C" w:rsidRPr="00C67702" w:rsidRDefault="00E64C2C" w:rsidP="00DE356F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C67702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E64C2C" w:rsidRPr="00C67702" w:rsidTr="00DE356F">
        <w:tc>
          <w:tcPr>
            <w:tcW w:w="1140" w:type="dxa"/>
            <w:shd w:val="clear" w:color="auto" w:fill="auto"/>
          </w:tcPr>
          <w:p w:rsidR="00E64C2C" w:rsidRPr="00C67702" w:rsidRDefault="00E64C2C" w:rsidP="00DE356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7702">
              <w:rPr>
                <w:b/>
                <w:bCs/>
                <w:sz w:val="20"/>
                <w:lang w:val="es-ES_tradnl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E64C2C" w:rsidRPr="00C67702" w:rsidRDefault="00E64C2C" w:rsidP="00DE356F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C67702">
              <w:rPr>
                <w:sz w:val="20"/>
                <w:lang w:val="es-ES_tradnl"/>
              </w:rPr>
              <w:t>Gestión del espectro</w:t>
            </w:r>
          </w:p>
        </w:tc>
      </w:tr>
      <w:tr w:rsidR="00E64C2C" w:rsidRPr="00C67702" w:rsidTr="00DE356F">
        <w:tc>
          <w:tcPr>
            <w:tcW w:w="1140" w:type="dxa"/>
          </w:tcPr>
          <w:p w:rsidR="00E64C2C" w:rsidRPr="00C67702" w:rsidRDefault="00E64C2C" w:rsidP="00DE356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7702">
              <w:rPr>
                <w:b/>
                <w:bCs/>
                <w:sz w:val="20"/>
                <w:lang w:val="es-ES_tradnl"/>
              </w:rPr>
              <w:t>SNG</w:t>
            </w:r>
          </w:p>
        </w:tc>
        <w:tc>
          <w:tcPr>
            <w:tcW w:w="8220" w:type="dxa"/>
          </w:tcPr>
          <w:p w:rsidR="00E64C2C" w:rsidRPr="00C67702" w:rsidRDefault="00E64C2C" w:rsidP="00DE356F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C67702">
              <w:rPr>
                <w:bCs/>
                <w:sz w:val="20"/>
                <w:lang w:val="es-ES_tradnl"/>
              </w:rPr>
              <w:t>Periodismo electrónico por satélite</w:t>
            </w:r>
          </w:p>
        </w:tc>
      </w:tr>
      <w:tr w:rsidR="00E64C2C" w:rsidRPr="00C67702" w:rsidTr="00DE356F">
        <w:tc>
          <w:tcPr>
            <w:tcW w:w="1140" w:type="dxa"/>
          </w:tcPr>
          <w:p w:rsidR="00E64C2C" w:rsidRPr="00C67702" w:rsidRDefault="00E64C2C" w:rsidP="00DE356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7702">
              <w:rPr>
                <w:b/>
                <w:bCs/>
                <w:sz w:val="20"/>
                <w:lang w:val="es-ES_tradnl"/>
              </w:rPr>
              <w:t>TF</w:t>
            </w:r>
          </w:p>
        </w:tc>
        <w:tc>
          <w:tcPr>
            <w:tcW w:w="8220" w:type="dxa"/>
          </w:tcPr>
          <w:p w:rsidR="00E64C2C" w:rsidRPr="00C67702" w:rsidRDefault="00E64C2C" w:rsidP="00DE356F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C67702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E64C2C" w:rsidRPr="00C67702" w:rsidTr="00DE356F">
        <w:tc>
          <w:tcPr>
            <w:tcW w:w="1140" w:type="dxa"/>
          </w:tcPr>
          <w:p w:rsidR="00E64C2C" w:rsidRPr="00C67702" w:rsidRDefault="00E64C2C" w:rsidP="00DE356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7702">
              <w:rPr>
                <w:b/>
                <w:bCs/>
                <w:sz w:val="20"/>
                <w:lang w:val="es-ES_tradnl"/>
              </w:rPr>
              <w:t>V</w:t>
            </w:r>
          </w:p>
        </w:tc>
        <w:tc>
          <w:tcPr>
            <w:tcW w:w="8220" w:type="dxa"/>
          </w:tcPr>
          <w:p w:rsidR="00E64C2C" w:rsidRPr="00C67702" w:rsidRDefault="00E64C2C" w:rsidP="00DE356F">
            <w:pPr>
              <w:spacing w:before="30" w:after="140"/>
              <w:jc w:val="left"/>
              <w:rPr>
                <w:bCs/>
                <w:sz w:val="20"/>
                <w:lang w:val="es-ES_tradnl"/>
              </w:rPr>
            </w:pPr>
            <w:r w:rsidRPr="00C67702">
              <w:rPr>
                <w:bCs/>
                <w:sz w:val="20"/>
                <w:lang w:val="es-ES_tradnl"/>
              </w:rPr>
              <w:t>Vocabulario y cuestiones afines</w:t>
            </w:r>
          </w:p>
        </w:tc>
      </w:tr>
    </w:tbl>
    <w:p w:rsidR="00E64C2C" w:rsidRPr="00C67702" w:rsidRDefault="00E64C2C" w:rsidP="00E64C2C">
      <w:pPr>
        <w:spacing w:before="0" w:after="140"/>
        <w:jc w:val="center"/>
        <w:rPr>
          <w:sz w:val="20"/>
          <w:lang w:val="es-ES_tradnl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E64C2C" w:rsidRPr="00C67702" w:rsidTr="00DE356F">
        <w:tc>
          <w:tcPr>
            <w:tcW w:w="720" w:type="dxa"/>
          </w:tcPr>
          <w:p w:rsidR="00E64C2C" w:rsidRPr="00C67702" w:rsidRDefault="00E64C2C" w:rsidP="00DE356F">
            <w:pPr>
              <w:spacing w:before="0"/>
              <w:jc w:val="center"/>
              <w:rPr>
                <w:sz w:val="22"/>
                <w:lang w:val="es-ES_tradnl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E64C2C" w:rsidRPr="00C67702" w:rsidTr="00DE356F">
        <w:tc>
          <w:tcPr>
            <w:tcW w:w="9360" w:type="dxa"/>
          </w:tcPr>
          <w:p w:rsidR="00E64C2C" w:rsidRPr="00C67702" w:rsidRDefault="00E64C2C" w:rsidP="00DE356F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C67702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C67702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C67702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E64C2C" w:rsidRPr="00C67702" w:rsidRDefault="00E64C2C" w:rsidP="00E64C2C">
      <w:pPr>
        <w:spacing w:before="0"/>
        <w:jc w:val="center"/>
        <w:rPr>
          <w:sz w:val="22"/>
          <w:lang w:val="es-ES_tradnl"/>
        </w:rPr>
      </w:pPr>
    </w:p>
    <w:p w:rsidR="00E64C2C" w:rsidRPr="00C67702" w:rsidRDefault="00E64C2C" w:rsidP="00E64C2C">
      <w:pPr>
        <w:spacing w:before="60"/>
        <w:jc w:val="right"/>
        <w:rPr>
          <w:i/>
          <w:iCs/>
          <w:sz w:val="20"/>
          <w:lang w:val="es-ES_tradnl"/>
        </w:rPr>
      </w:pPr>
      <w:r w:rsidRPr="00C67702">
        <w:rPr>
          <w:i/>
          <w:iCs/>
          <w:sz w:val="20"/>
          <w:lang w:val="es-ES_tradnl"/>
        </w:rPr>
        <w:t>Publicación electrónica</w:t>
      </w:r>
    </w:p>
    <w:p w:rsidR="00E64C2C" w:rsidRPr="00C67702" w:rsidRDefault="00E64C2C" w:rsidP="00E64C2C">
      <w:pPr>
        <w:spacing w:before="0" w:after="40"/>
        <w:jc w:val="right"/>
        <w:rPr>
          <w:sz w:val="20"/>
          <w:lang w:val="es-ES_tradnl"/>
        </w:rPr>
      </w:pPr>
      <w:r w:rsidRPr="00C67702">
        <w:rPr>
          <w:sz w:val="20"/>
          <w:lang w:val="es-ES_tradnl"/>
        </w:rPr>
        <w:t>Ginebra, 2015</w:t>
      </w:r>
    </w:p>
    <w:p w:rsidR="00E64C2C" w:rsidRPr="00C67702" w:rsidRDefault="00E64C2C" w:rsidP="00E64C2C">
      <w:pPr>
        <w:spacing w:before="0"/>
        <w:jc w:val="center"/>
        <w:rPr>
          <w:sz w:val="22"/>
          <w:lang w:val="es-ES_tradnl"/>
        </w:rPr>
      </w:pPr>
    </w:p>
    <w:p w:rsidR="00E64C2C" w:rsidRPr="00C67702" w:rsidRDefault="00E64C2C" w:rsidP="00E64C2C">
      <w:pPr>
        <w:spacing w:before="0"/>
        <w:jc w:val="center"/>
        <w:rPr>
          <w:sz w:val="20"/>
          <w:lang w:val="es-ES_tradnl"/>
        </w:rPr>
      </w:pPr>
      <w:r w:rsidRPr="00C67702">
        <w:rPr>
          <w:sz w:val="20"/>
          <w:lang w:val="es-ES_tradnl"/>
        </w:rPr>
        <w:sym w:font="Symbol" w:char="F0E3"/>
      </w:r>
      <w:r w:rsidRPr="00C67702">
        <w:rPr>
          <w:sz w:val="20"/>
          <w:lang w:val="es-ES_tradnl"/>
        </w:rPr>
        <w:t xml:space="preserve"> UIT </w:t>
      </w:r>
      <w:bookmarkStart w:id="2" w:name="iiannee"/>
      <w:bookmarkEnd w:id="2"/>
      <w:r w:rsidRPr="00C67702">
        <w:rPr>
          <w:sz w:val="20"/>
          <w:lang w:val="es-ES_tradnl"/>
        </w:rPr>
        <w:t>2015</w:t>
      </w:r>
    </w:p>
    <w:p w:rsidR="00E64C2C" w:rsidRPr="00C67702" w:rsidRDefault="00E64C2C" w:rsidP="00E64C2C">
      <w:pPr>
        <w:spacing w:before="80"/>
        <w:rPr>
          <w:sz w:val="18"/>
          <w:szCs w:val="18"/>
          <w:lang w:val="es-ES_tradnl"/>
        </w:rPr>
      </w:pPr>
      <w:r w:rsidRPr="00C67702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:rsidR="00E64C2C" w:rsidRPr="00C67702" w:rsidRDefault="00E64C2C" w:rsidP="00E64C2C">
      <w:pPr>
        <w:spacing w:before="160"/>
        <w:rPr>
          <w:i/>
          <w:sz w:val="20"/>
          <w:highlight w:val="yellow"/>
          <w:lang w:val="es-ES_tradnl"/>
        </w:rPr>
        <w:sectPr w:rsidR="00E64C2C" w:rsidRPr="00C67702" w:rsidSect="009E1F8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E64C2C" w:rsidRPr="00C67702" w:rsidRDefault="00E64C2C" w:rsidP="00E64C2C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C67702">
        <w:rPr>
          <w:lang w:val="es-ES_tradnl"/>
        </w:rPr>
        <w:t xml:space="preserve">RECOMENDACIÓN  </w:t>
      </w:r>
      <w:r w:rsidRPr="00C67702">
        <w:rPr>
          <w:rStyle w:val="href"/>
          <w:lang w:val="es-ES_tradnl"/>
        </w:rPr>
        <w:t>UIT-R  BT.1680-1</w:t>
      </w:r>
    </w:p>
    <w:p w:rsidR="00E64C2C" w:rsidRPr="00C67702" w:rsidRDefault="00E64C2C" w:rsidP="00E64C2C">
      <w:pPr>
        <w:pStyle w:val="Rectitle"/>
        <w:rPr>
          <w:lang w:val="es-ES_tradnl" w:eastAsia="ko-KR"/>
        </w:rPr>
      </w:pPr>
      <w:r w:rsidRPr="00C67702">
        <w:rPr>
          <w:lang w:val="es-ES_tradnl" w:eastAsia="ko-KR"/>
        </w:rPr>
        <w:t>Formato de imágenes de base para distribución de aplicaciones</w:t>
      </w:r>
      <w:r w:rsidRPr="00C67702">
        <w:rPr>
          <w:lang w:val="es-ES_tradnl" w:eastAsia="ko-KR"/>
        </w:rPr>
        <w:br/>
      </w:r>
      <w:r w:rsidRPr="00C67702">
        <w:rPr>
          <w:lang w:val="es-ES_tradnl" w:eastAsia="ko-KR"/>
        </w:rPr>
        <w:t>de imágenes digitales en pantalla grande destinadas</w:t>
      </w:r>
      <w:r w:rsidRPr="00C67702">
        <w:rPr>
          <w:lang w:val="es-ES_tradnl" w:eastAsia="ko-KR"/>
        </w:rPr>
        <w:br/>
      </w:r>
      <w:r w:rsidRPr="00C67702">
        <w:rPr>
          <w:lang w:val="es-ES_tradnl" w:eastAsia="ko-KR"/>
        </w:rPr>
        <w:t>a la exhibición en grandes salas</w:t>
      </w:r>
    </w:p>
    <w:p w:rsidR="00E64C2C" w:rsidRPr="00C67702" w:rsidRDefault="00E64C2C" w:rsidP="00E64C2C">
      <w:pPr>
        <w:pStyle w:val="Recref"/>
        <w:rPr>
          <w:lang w:val="es-ES_tradnl"/>
        </w:rPr>
      </w:pPr>
      <w:r w:rsidRPr="00C67702">
        <w:rPr>
          <w:lang w:val="es-ES_tradnl"/>
        </w:rPr>
        <w:t>(Cuestión UIT-R 15/6)</w:t>
      </w:r>
    </w:p>
    <w:p w:rsidR="003D404F" w:rsidRPr="00C67702" w:rsidRDefault="003D404F" w:rsidP="003D404F">
      <w:pPr>
        <w:pStyle w:val="Blanc"/>
        <w:rPr>
          <w:lang w:val="es-ES_tradnl"/>
        </w:rPr>
      </w:pPr>
    </w:p>
    <w:p w:rsidR="00E64C2C" w:rsidRPr="00C67702" w:rsidRDefault="00E64C2C" w:rsidP="00E64C2C">
      <w:pPr>
        <w:pStyle w:val="Recdate"/>
        <w:rPr>
          <w:lang w:val="es-ES_tradnl"/>
        </w:rPr>
      </w:pPr>
      <w:r w:rsidRPr="00C67702">
        <w:rPr>
          <w:lang w:val="es-ES_tradnl"/>
        </w:rPr>
        <w:t>(2004-2014)</w:t>
      </w:r>
    </w:p>
    <w:p w:rsidR="003D404F" w:rsidRPr="00C67702" w:rsidRDefault="003D404F" w:rsidP="003D404F">
      <w:pPr>
        <w:pStyle w:val="Blanc"/>
        <w:rPr>
          <w:lang w:val="es-ES_tradnl"/>
        </w:rPr>
      </w:pPr>
    </w:p>
    <w:p w:rsidR="00E64C2C" w:rsidRPr="00C67702" w:rsidRDefault="00E64C2C" w:rsidP="00E64C2C">
      <w:pPr>
        <w:pStyle w:val="HeadingSum"/>
      </w:pPr>
      <w:r w:rsidRPr="00C67702">
        <w:t>Cometido</w:t>
      </w:r>
    </w:p>
    <w:p w:rsidR="00E64C2C" w:rsidRPr="00C67702" w:rsidRDefault="00E64C2C" w:rsidP="00E64C2C">
      <w:pPr>
        <w:pStyle w:val="Summary"/>
        <w:spacing w:after="0"/>
      </w:pPr>
      <w:r w:rsidRPr="00C67702">
        <w:t>En esta Recomendación se especifican formatos de imágenes en banda base para distribución de aplicaciones de imágenes digitales en pantalla grande (LSDI</w:t>
      </w:r>
      <w:r w:rsidRPr="00C67702">
        <w:rPr>
          <w:rStyle w:val="FootnoteReference"/>
        </w:rPr>
        <w:footnoteReference w:id="1"/>
      </w:r>
      <w:r w:rsidRPr="00C67702">
        <w:t>) destinadas a la exhibición en grandes salas.</w:t>
      </w:r>
    </w:p>
    <w:p w:rsidR="00E64C2C" w:rsidRPr="00C67702" w:rsidRDefault="00E64C2C" w:rsidP="00E64C2C">
      <w:pPr>
        <w:pStyle w:val="Headingb"/>
        <w:rPr>
          <w:lang w:val="es-ES_tradnl"/>
        </w:rPr>
      </w:pPr>
      <w:r w:rsidRPr="00C67702">
        <w:rPr>
          <w:lang w:val="es-ES_tradnl"/>
        </w:rPr>
        <w:t>Palabras clave</w:t>
      </w:r>
    </w:p>
    <w:p w:rsidR="00E64C2C" w:rsidRPr="00C67702" w:rsidRDefault="00E64C2C" w:rsidP="002276CD">
      <w:pPr>
        <w:spacing w:after="480"/>
        <w:rPr>
          <w:lang w:val="es-ES_tradnl"/>
        </w:rPr>
      </w:pPr>
      <w:r w:rsidRPr="00C67702">
        <w:rPr>
          <w:lang w:val="es-ES_tradnl"/>
        </w:rPr>
        <w:t>LSDI, imágenes digitales en pantalla grande, TVUAD, TVAD, entorno de grandes salas.</w:t>
      </w:r>
    </w:p>
    <w:p w:rsidR="002276CD" w:rsidRPr="00C67702" w:rsidRDefault="002276CD" w:rsidP="002276CD">
      <w:pPr>
        <w:pStyle w:val="Blanc"/>
        <w:rPr>
          <w:lang w:val="es-ES_tradnl"/>
        </w:rPr>
      </w:pPr>
    </w:p>
    <w:p w:rsidR="00E64C2C" w:rsidRPr="00C67702" w:rsidRDefault="00E64C2C" w:rsidP="00E64C2C">
      <w:pPr>
        <w:spacing w:before="360"/>
        <w:rPr>
          <w:lang w:val="es-ES_tradnl"/>
        </w:rPr>
      </w:pPr>
      <w:r w:rsidRPr="00C67702">
        <w:rPr>
          <w:lang w:val="es-ES_tradnl"/>
        </w:rPr>
        <w:t>La Asamblea de Radiocomunicaciones de la UIT,</w:t>
      </w:r>
    </w:p>
    <w:p w:rsidR="00E64C2C" w:rsidRPr="00C67702" w:rsidRDefault="00E64C2C" w:rsidP="00E64C2C">
      <w:pPr>
        <w:pStyle w:val="Call"/>
        <w:rPr>
          <w:lang w:val="es-ES_tradnl"/>
        </w:rPr>
      </w:pPr>
      <w:r w:rsidRPr="00C67702">
        <w:rPr>
          <w:lang w:val="es-ES_tradnl"/>
        </w:rPr>
        <w:t>considerando</w:t>
      </w:r>
    </w:p>
    <w:p w:rsidR="00E64C2C" w:rsidRPr="00C67702" w:rsidRDefault="00E64C2C" w:rsidP="00E64C2C">
      <w:pPr>
        <w:rPr>
          <w:lang w:val="es-ES_tradnl"/>
        </w:rPr>
      </w:pPr>
      <w:r w:rsidRPr="00C67702">
        <w:rPr>
          <w:i/>
          <w:iCs/>
          <w:lang w:val="es-ES_tradnl"/>
        </w:rPr>
        <w:t>a)</w:t>
      </w:r>
      <w:r w:rsidRPr="00C67702">
        <w:rPr>
          <w:lang w:val="es-ES_tradnl"/>
        </w:rPr>
        <w:tab/>
        <w:t>que la Cuestión UIT-R 15/6 pone de relieve las ventajas del desarrollo de enfoques técnicos para la distribución de programas de imágenes digitales en pantalla grande (LSDI) que se correspondan a los establecidos para la distribución de programas de otras aplicaciones;</w:t>
      </w:r>
    </w:p>
    <w:p w:rsidR="00E64C2C" w:rsidRPr="00C67702" w:rsidRDefault="00E64C2C" w:rsidP="00E64C2C">
      <w:pPr>
        <w:rPr>
          <w:lang w:val="es-ES_tradnl"/>
        </w:rPr>
      </w:pPr>
      <w:r w:rsidRPr="00C67702">
        <w:rPr>
          <w:i/>
          <w:iCs/>
          <w:lang w:val="es-ES_tradnl"/>
        </w:rPr>
        <w:t>b)</w:t>
      </w:r>
      <w:r w:rsidRPr="00C67702">
        <w:rPr>
          <w:lang w:val="es-ES_tradnl"/>
        </w:rPr>
        <w:tab/>
        <w:t>que dichos beneficios pueden ser máximos si se utilizan formatos de imagen digital de base uniformes para la distribución LSDI y para otras aplicaciones;</w:t>
      </w:r>
    </w:p>
    <w:p w:rsidR="00E64C2C" w:rsidRPr="00C67702" w:rsidRDefault="00E64C2C" w:rsidP="00823B17">
      <w:pPr>
        <w:spacing w:line="280" w:lineRule="exact"/>
        <w:rPr>
          <w:lang w:val="es-ES_tradnl"/>
        </w:rPr>
      </w:pPr>
      <w:r w:rsidRPr="00C67702">
        <w:rPr>
          <w:i/>
          <w:iCs/>
          <w:lang w:val="es-ES_tradnl"/>
        </w:rPr>
        <w:t>c)</w:t>
      </w:r>
      <w:r w:rsidRPr="00C67702">
        <w:rPr>
          <w:lang w:val="es-ES_tradnl"/>
        </w:rPr>
        <w:tab/>
        <w:t xml:space="preserve">que la resolución de los mapas digitales de </w:t>
      </w:r>
      <w:r w:rsidRPr="00823B17">
        <w:rPr>
          <w:lang w:val="es-ES_tradnl"/>
        </w:rPr>
        <w:t>1</w:t>
      </w:r>
      <w:r w:rsidR="00823B17">
        <w:t> </w:t>
      </w:r>
      <w:r w:rsidRPr="00823B17">
        <w:rPr>
          <w:lang w:val="es-ES_tradnl"/>
        </w:rPr>
        <w:t>920</w:t>
      </w:r>
      <w:r w:rsidRPr="00C67702">
        <w:rPr>
          <w:lang w:val="es-ES_tradnl"/>
        </w:rPr>
        <w:t> </w:t>
      </w:r>
      <w:r w:rsidRPr="00C67702">
        <w:rPr>
          <w:rFonts w:ascii="Symbol" w:hAnsi="Symbol"/>
          <w:lang w:val="es-ES_tradnl"/>
        </w:rPr>
        <w:t></w:t>
      </w:r>
      <w:r w:rsidRPr="00C67702">
        <w:rPr>
          <w:lang w:val="es-ES_tradnl"/>
        </w:rPr>
        <w:t> 1</w:t>
      </w:r>
      <w:r w:rsidR="00823B17">
        <w:t> </w:t>
      </w:r>
      <w:r w:rsidRPr="00C67702">
        <w:rPr>
          <w:lang w:val="es-ES_tradnl"/>
        </w:rPr>
        <w:t>080 y 1</w:t>
      </w:r>
      <w:r w:rsidR="00823B17">
        <w:t> </w:t>
      </w:r>
      <w:r w:rsidRPr="00C67702">
        <w:rPr>
          <w:lang w:val="es-ES_tradnl"/>
        </w:rPr>
        <w:t>280 </w:t>
      </w:r>
      <w:r w:rsidRPr="00C67702">
        <w:rPr>
          <w:rFonts w:ascii="Symbol" w:hAnsi="Symbol"/>
          <w:lang w:val="es-ES_tradnl"/>
        </w:rPr>
        <w:t></w:t>
      </w:r>
      <w:r w:rsidRPr="00C67702">
        <w:rPr>
          <w:lang w:val="es-ES_tradnl"/>
        </w:rPr>
        <w:t> 720 píxeles cumple los requisitos de las aplicaciones LSDI destinadas a la exhibición en grandes salas;</w:t>
      </w:r>
    </w:p>
    <w:p w:rsidR="00E64C2C" w:rsidRPr="00C67702" w:rsidRDefault="00E64C2C" w:rsidP="00E64C2C">
      <w:pPr>
        <w:rPr>
          <w:lang w:val="es-ES_tradnl"/>
        </w:rPr>
      </w:pPr>
      <w:r w:rsidRPr="00C67702">
        <w:rPr>
          <w:i/>
          <w:iCs/>
          <w:lang w:val="es-ES_tradnl"/>
        </w:rPr>
        <w:t>d)</w:t>
      </w:r>
      <w:r w:rsidRPr="00C67702">
        <w:rPr>
          <w:lang w:val="es-ES_tradnl"/>
        </w:rPr>
        <w:tab/>
        <w:t>que conviene mantener un formato congruente a lo largo de la cadena de producción, distribución y exhibición con una conversión mínima del formato para asegurar la calidad óptima de las imágenes;</w:t>
      </w:r>
    </w:p>
    <w:p w:rsidR="00E64C2C" w:rsidRPr="00C67702" w:rsidRDefault="00E64C2C" w:rsidP="00E64C2C">
      <w:pPr>
        <w:rPr>
          <w:lang w:val="es-ES_tradnl"/>
        </w:rPr>
      </w:pPr>
      <w:r w:rsidRPr="00C67702">
        <w:rPr>
          <w:i/>
          <w:iCs/>
          <w:lang w:val="es-ES_tradnl"/>
        </w:rPr>
        <w:t>e)</w:t>
      </w:r>
      <w:r w:rsidRPr="00C67702">
        <w:rPr>
          <w:lang w:val="es-ES_tradnl"/>
        </w:rPr>
        <w:tab/>
        <w:t>que la necesidad de una acción rápida del UIT</w:t>
      </w:r>
      <w:r w:rsidRPr="00C67702">
        <w:rPr>
          <w:lang w:val="es-ES_tradnl"/>
        </w:rPr>
        <w:noBreakHyphen/>
        <w:t>R en materia de LSDI, que reconoce la urgencia de la Cuestión UIT-R 15/6 puede cumplirse mediante la aprobación de nuevas recomen</w:t>
      </w:r>
      <w:r w:rsidRPr="00C67702">
        <w:rPr>
          <w:lang w:val="es-ES_tradnl"/>
        </w:rPr>
        <w:softHyphen/>
        <w:t>daciones para la solución técnica de esas aplicaciones LSDI y que dichas recomendaciones deben ampliarse para reflejar nuevas soluciones que puedan requerirse cuando se desarrolle la tecnología necesaria, se implemente y se le dé validez en el futuro,</w:t>
      </w:r>
    </w:p>
    <w:p w:rsidR="00E64C2C" w:rsidRPr="00C67702" w:rsidRDefault="00E64C2C" w:rsidP="00E64C2C">
      <w:pPr>
        <w:pStyle w:val="Call"/>
        <w:rPr>
          <w:lang w:val="es-ES_tradnl"/>
        </w:rPr>
      </w:pPr>
      <w:r w:rsidRPr="00C67702">
        <w:rPr>
          <w:lang w:val="es-ES_tradnl"/>
        </w:rPr>
        <w:t>recomienda</w:t>
      </w:r>
    </w:p>
    <w:p w:rsidR="00E64C2C" w:rsidRPr="00C67702" w:rsidRDefault="00E64C2C" w:rsidP="00E64C2C">
      <w:pPr>
        <w:keepNext/>
        <w:keepLines/>
        <w:rPr>
          <w:lang w:val="es-ES_tradnl"/>
        </w:rPr>
      </w:pPr>
      <w:r w:rsidRPr="00C67702">
        <w:rPr>
          <w:lang w:val="es-ES_tradnl"/>
        </w:rPr>
        <w:t>que se utilicen los miembros de la jerarquía de formatos de LSDI, los especificados más adelante como formatos de base para la distribución de programas de aplicaciones LSDI destinadas a la exhibición en grandes salas:</w:t>
      </w:r>
    </w:p>
    <w:p w:rsidR="00E64C2C" w:rsidRPr="00C67702" w:rsidRDefault="00E64C2C" w:rsidP="00E64C2C">
      <w:pPr>
        <w:pStyle w:val="enumlev1"/>
        <w:keepNext/>
        <w:keepLines/>
        <w:rPr>
          <w:lang w:val="es-ES_tradnl"/>
        </w:rPr>
      </w:pPr>
      <w:r w:rsidRPr="00C67702">
        <w:rPr>
          <w:lang w:val="es-ES_tradnl"/>
        </w:rPr>
        <w:t>–</w:t>
      </w:r>
      <w:r w:rsidRPr="00C67702">
        <w:rPr>
          <w:lang w:val="es-ES_tradnl"/>
        </w:rPr>
        <w:tab/>
        <w:t>Recomendación UIT-R BT.709 – Valores de los parámetros de la norma de TVAD para la producción y el intercambio internacional de programas;</w:t>
      </w:r>
    </w:p>
    <w:p w:rsidR="00E64C2C" w:rsidRPr="00C67702" w:rsidRDefault="00E64C2C" w:rsidP="002276CD">
      <w:pPr>
        <w:pStyle w:val="enumlev1"/>
        <w:rPr>
          <w:lang w:val="es-ES_tradnl"/>
        </w:rPr>
      </w:pPr>
      <w:r w:rsidRPr="00C67702">
        <w:rPr>
          <w:lang w:val="es-ES_tradnl"/>
        </w:rPr>
        <w:t>–</w:t>
      </w:r>
      <w:r w:rsidRPr="00C67702">
        <w:rPr>
          <w:lang w:val="es-ES_tradnl"/>
        </w:rPr>
        <w:tab/>
        <w:t>Recomendación UIT-R BT.1543</w:t>
      </w:r>
      <w:r w:rsidR="002276CD" w:rsidRPr="00C67702">
        <w:rPr>
          <w:lang w:val="es-ES_tradnl"/>
        </w:rPr>
        <w:t xml:space="preserve"> </w:t>
      </w:r>
      <w:r w:rsidRPr="00C67702">
        <w:rPr>
          <w:lang w:val="es-ES_tradnl"/>
        </w:rPr>
        <w:t>– Formato de imagen 1</w:t>
      </w:r>
      <w:r w:rsidR="003D404F" w:rsidRPr="00C67702">
        <w:rPr>
          <w:lang w:val="es-ES_tradnl"/>
        </w:rPr>
        <w:t> </w:t>
      </w:r>
      <w:r w:rsidRPr="00C67702">
        <w:rPr>
          <w:lang w:val="es-ES_tradnl"/>
        </w:rPr>
        <w:t>280 </w:t>
      </w:r>
      <w:r w:rsidR="003D404F" w:rsidRPr="00C67702">
        <w:rPr>
          <w:lang w:val="es-ES_tradnl"/>
        </w:rPr>
        <w:t>×</w:t>
      </w:r>
      <w:r w:rsidRPr="00C67702">
        <w:rPr>
          <w:lang w:val="es-ES_tradnl"/>
        </w:rPr>
        <w:t> 720, 16 </w:t>
      </w:r>
      <w:r w:rsidR="003D404F" w:rsidRPr="00C67702">
        <w:rPr>
          <w:lang w:val="es-ES_tradnl"/>
        </w:rPr>
        <w:t>×</w:t>
      </w:r>
      <w:r w:rsidRPr="00C67702">
        <w:rPr>
          <w:lang w:val="es-ES_tradnl"/>
        </w:rPr>
        <w:t> 9 de captura progresiva para la producción e intercambio internacional de programas en el entorno de</w:t>
      </w:r>
      <w:r w:rsidR="002276CD" w:rsidRPr="00C67702">
        <w:rPr>
          <w:lang w:val="es-ES_tradnl"/>
        </w:rPr>
        <w:t xml:space="preserve"> </w:t>
      </w:r>
      <w:r w:rsidRPr="00C67702">
        <w:rPr>
          <w:lang w:val="es-ES_tradnl"/>
        </w:rPr>
        <w:t>60 Hz;</w:t>
      </w:r>
    </w:p>
    <w:p w:rsidR="00E64C2C" w:rsidRPr="00C67702" w:rsidRDefault="00E64C2C" w:rsidP="00E64C2C">
      <w:pPr>
        <w:pStyle w:val="enumlev1"/>
        <w:rPr>
          <w:lang w:val="es-ES_tradnl"/>
        </w:rPr>
      </w:pPr>
      <w:r w:rsidRPr="00C67702">
        <w:rPr>
          <w:lang w:val="es-ES_tradnl"/>
        </w:rPr>
        <w:t>–</w:t>
      </w:r>
      <w:r w:rsidRPr="00C67702">
        <w:rPr>
          <w:lang w:val="es-ES_tradnl"/>
        </w:rPr>
        <w:tab/>
        <w:t>Recomendación UIT-R BT.2020 – Valores de los parámetros de los sistemas de TVUAD para la producción y el intercambio internacional de programas.</w:t>
      </w:r>
    </w:p>
    <w:p w:rsidR="00E64C2C" w:rsidRPr="00C67702" w:rsidRDefault="00E64C2C" w:rsidP="00E64C2C">
      <w:pPr>
        <w:rPr>
          <w:lang w:val="es-ES_tradnl"/>
        </w:rPr>
      </w:pPr>
      <w:r w:rsidRPr="00C67702">
        <w:rPr>
          <w:lang w:val="es-ES_tradnl"/>
        </w:rPr>
        <w:t>NOTA 1 </w:t>
      </w:r>
      <w:r w:rsidRPr="00C67702">
        <w:rPr>
          <w:lang w:val="es-ES_tradnl"/>
        </w:rPr>
        <w:sym w:font="Symbol" w:char="F02D"/>
      </w:r>
      <w:r w:rsidRPr="00C67702">
        <w:rPr>
          <w:lang w:val="es-ES_tradnl"/>
        </w:rPr>
        <w:t> En un proyecto que no utilice el formato de imagen de entrada como su formato de visualización, debe actuarse con cautela durante el procesamiento para minimizar los efectos parásitos.</w:t>
      </w:r>
    </w:p>
    <w:p w:rsidR="00E64C2C" w:rsidRPr="00C67702" w:rsidRDefault="00E64C2C" w:rsidP="003D404F">
      <w:pPr>
        <w:rPr>
          <w:szCs w:val="24"/>
          <w:lang w:val="es-ES_tradnl"/>
        </w:rPr>
      </w:pPr>
      <w:r w:rsidRPr="00C67702">
        <w:rPr>
          <w:szCs w:val="24"/>
          <w:lang w:val="es-ES_tradnl"/>
        </w:rPr>
        <w:t>NOTA 2 </w:t>
      </w:r>
      <w:r w:rsidRPr="00C67702">
        <w:rPr>
          <w:szCs w:val="24"/>
          <w:lang w:val="es-ES_tradnl"/>
        </w:rPr>
        <w:sym w:font="Symbol" w:char="F02D"/>
      </w:r>
      <w:r w:rsidRPr="00C67702">
        <w:rPr>
          <w:szCs w:val="24"/>
          <w:lang w:val="es-ES_tradnl"/>
        </w:rPr>
        <w:t> La Recomendación UIT</w:t>
      </w:r>
      <w:r w:rsidRPr="00C67702">
        <w:rPr>
          <w:szCs w:val="24"/>
          <w:lang w:val="es-ES_tradnl"/>
        </w:rPr>
        <w:noBreakHyphen/>
        <w:t>R BT.709 especifica sistemas con resolución de 2 megapíxeles (1</w:t>
      </w:r>
      <w:r w:rsidRPr="00C67702">
        <w:rPr>
          <w:rFonts w:ascii="Tms Rmn" w:hAnsi="Tms Rmn"/>
          <w:szCs w:val="24"/>
          <w:lang w:val="es-ES_tradnl"/>
        </w:rPr>
        <w:t> </w:t>
      </w:r>
      <w:r w:rsidRPr="00C67702">
        <w:rPr>
          <w:szCs w:val="24"/>
          <w:lang w:val="es-ES_tradnl"/>
        </w:rPr>
        <w:t>920 </w:t>
      </w:r>
      <w:r w:rsidR="003D404F" w:rsidRPr="00C67702">
        <w:rPr>
          <w:lang w:val="es-ES_tradnl"/>
        </w:rPr>
        <w:t>×</w:t>
      </w:r>
      <w:r w:rsidRPr="00C67702">
        <w:rPr>
          <w:szCs w:val="24"/>
          <w:lang w:val="es-ES_tradnl"/>
        </w:rPr>
        <w:t> 1</w:t>
      </w:r>
      <w:r w:rsidRPr="00C67702">
        <w:rPr>
          <w:rFonts w:ascii="Tms Rmn" w:hAnsi="Tms Rmn"/>
          <w:szCs w:val="24"/>
          <w:lang w:val="es-ES_tradnl"/>
        </w:rPr>
        <w:t> </w:t>
      </w:r>
      <w:r w:rsidRPr="00C67702">
        <w:rPr>
          <w:szCs w:val="24"/>
          <w:lang w:val="es-ES_tradnl"/>
        </w:rPr>
        <w:t>080) con las velocidades de trama siguientes: 60 Hz, 59,94 Hz, 50 Hz, 30 Hz, 29,97 Hz, 25 Hz, 24 Hz y 23,98 Hz.</w:t>
      </w:r>
    </w:p>
    <w:p w:rsidR="00E64C2C" w:rsidRPr="00C67702" w:rsidRDefault="00E64C2C" w:rsidP="000E1617">
      <w:pPr>
        <w:rPr>
          <w:szCs w:val="24"/>
          <w:lang w:val="es-ES_tradnl"/>
        </w:rPr>
      </w:pPr>
      <w:r w:rsidRPr="00C67702">
        <w:rPr>
          <w:szCs w:val="24"/>
          <w:lang w:val="es-ES_tradnl"/>
        </w:rPr>
        <w:t>NOTA 3 </w:t>
      </w:r>
      <w:r w:rsidRPr="00C67702">
        <w:rPr>
          <w:szCs w:val="24"/>
          <w:lang w:val="es-ES_tradnl"/>
        </w:rPr>
        <w:sym w:font="Symbol" w:char="F02D"/>
      </w:r>
      <w:r w:rsidRPr="00C67702">
        <w:rPr>
          <w:szCs w:val="24"/>
          <w:lang w:val="es-ES_tradnl"/>
        </w:rPr>
        <w:t> La Recomendación UIT</w:t>
      </w:r>
      <w:r w:rsidRPr="00C67702">
        <w:rPr>
          <w:szCs w:val="24"/>
          <w:lang w:val="es-ES_tradnl"/>
        </w:rPr>
        <w:noBreakHyphen/>
        <w:t>R BT.1543 especifica los sistemas de 1</w:t>
      </w:r>
      <w:r w:rsidR="000E1617" w:rsidRPr="00C67702">
        <w:rPr>
          <w:szCs w:val="24"/>
          <w:lang w:val="es-ES_tradnl"/>
        </w:rPr>
        <w:t> </w:t>
      </w:r>
      <w:r w:rsidRPr="00C67702">
        <w:rPr>
          <w:szCs w:val="24"/>
          <w:lang w:val="es-ES_tradnl"/>
        </w:rPr>
        <w:t>megapíxel de</w:t>
      </w:r>
      <w:r w:rsidR="000E1617" w:rsidRPr="00C67702">
        <w:rPr>
          <w:szCs w:val="24"/>
          <w:lang w:val="es-ES_tradnl"/>
        </w:rPr>
        <w:t xml:space="preserve"> </w:t>
      </w:r>
      <w:r w:rsidRPr="00C67702">
        <w:rPr>
          <w:szCs w:val="24"/>
          <w:lang w:val="es-ES_tradnl"/>
        </w:rPr>
        <w:t>(1 280 </w:t>
      </w:r>
      <w:r w:rsidR="003D404F" w:rsidRPr="00C67702">
        <w:rPr>
          <w:lang w:val="es-ES_tradnl"/>
        </w:rPr>
        <w:t>×</w:t>
      </w:r>
      <w:r w:rsidRPr="00C67702">
        <w:rPr>
          <w:szCs w:val="24"/>
          <w:lang w:val="es-ES_tradnl"/>
        </w:rPr>
        <w:t> 720) con las velocidades de trama siguientes: 60 Hz, 59,94 Hz, 30 Hz y 29,97 Hz.</w:t>
      </w:r>
    </w:p>
    <w:p w:rsidR="00E64C2C" w:rsidRPr="00C67702" w:rsidRDefault="00E64C2C" w:rsidP="0061625E">
      <w:pPr>
        <w:rPr>
          <w:szCs w:val="24"/>
          <w:lang w:val="es-ES_tradnl"/>
        </w:rPr>
      </w:pPr>
      <w:r w:rsidRPr="00C67702">
        <w:rPr>
          <w:szCs w:val="24"/>
          <w:lang w:val="es-ES_tradnl"/>
        </w:rPr>
        <w:t>NOTA 4</w:t>
      </w:r>
      <w:r w:rsidR="0061625E" w:rsidRPr="00C67702">
        <w:rPr>
          <w:szCs w:val="24"/>
          <w:lang w:val="es-ES_tradnl"/>
        </w:rPr>
        <w:t> </w:t>
      </w:r>
      <w:r w:rsidRPr="00C67702">
        <w:rPr>
          <w:szCs w:val="24"/>
          <w:lang w:val="es-ES_tradnl"/>
        </w:rPr>
        <w:sym w:font="Symbol" w:char="F02D"/>
      </w:r>
      <w:r w:rsidRPr="00C67702">
        <w:rPr>
          <w:szCs w:val="24"/>
          <w:lang w:val="es-ES_tradnl"/>
        </w:rPr>
        <w:t> La Recomendación UIT</w:t>
      </w:r>
      <w:r w:rsidRPr="00C67702">
        <w:rPr>
          <w:szCs w:val="24"/>
          <w:lang w:val="es-ES_tradnl"/>
        </w:rPr>
        <w:noBreakHyphen/>
        <w:t>R BT.2020 especifica la resolución de 8</w:t>
      </w:r>
      <w:r w:rsidR="000E1617" w:rsidRPr="00C67702">
        <w:rPr>
          <w:szCs w:val="24"/>
          <w:lang w:val="es-ES_tradnl"/>
        </w:rPr>
        <w:t> </w:t>
      </w:r>
      <w:r w:rsidRPr="00C67702">
        <w:rPr>
          <w:szCs w:val="24"/>
          <w:lang w:val="es-ES_tradnl"/>
        </w:rPr>
        <w:t>megapíxeles (3 840 </w:t>
      </w:r>
      <w:r w:rsidR="000E1617" w:rsidRPr="00C67702">
        <w:rPr>
          <w:lang w:val="es-ES_tradnl"/>
        </w:rPr>
        <w:t>×</w:t>
      </w:r>
      <w:r w:rsidRPr="00C67702">
        <w:rPr>
          <w:szCs w:val="24"/>
          <w:lang w:val="es-ES_tradnl"/>
        </w:rPr>
        <w:t> 2 160) y la resolución de 33 megapíxeles (7 680 </w:t>
      </w:r>
      <w:r w:rsidR="000E1617" w:rsidRPr="00C67702">
        <w:rPr>
          <w:lang w:val="es-ES_tradnl"/>
        </w:rPr>
        <w:t>×</w:t>
      </w:r>
      <w:r w:rsidRPr="00C67702">
        <w:rPr>
          <w:szCs w:val="24"/>
          <w:lang w:val="es-ES_tradnl"/>
        </w:rPr>
        <w:t> 4 320)</w:t>
      </w:r>
    </w:p>
    <w:p w:rsidR="00A6617B" w:rsidRPr="00C67702" w:rsidRDefault="00A6617B" w:rsidP="00E64C2C">
      <w:pPr>
        <w:rPr>
          <w:lang w:val="es-ES_tradnl"/>
        </w:rPr>
      </w:pPr>
    </w:p>
    <w:p w:rsidR="00E64C2C" w:rsidRPr="00C67702" w:rsidRDefault="00E64C2C" w:rsidP="00E64C2C">
      <w:pPr>
        <w:rPr>
          <w:lang w:val="es-ES_tradnl"/>
        </w:rPr>
      </w:pPr>
    </w:p>
    <w:p w:rsidR="00E64C2C" w:rsidRPr="00C67702" w:rsidRDefault="00E64C2C">
      <w:pPr>
        <w:jc w:val="center"/>
        <w:rPr>
          <w:lang w:val="es-ES_tradnl"/>
        </w:rPr>
      </w:pPr>
      <w:r w:rsidRPr="00C67702">
        <w:rPr>
          <w:lang w:val="es-ES_tradnl"/>
        </w:rPr>
        <w:t>______________</w:t>
      </w:r>
    </w:p>
    <w:p w:rsidR="00E64C2C" w:rsidRPr="00C67702" w:rsidRDefault="00E64C2C" w:rsidP="00E64C2C">
      <w:pPr>
        <w:rPr>
          <w:lang w:val="es-ES_tradnl"/>
        </w:rPr>
      </w:pPr>
      <w:bookmarkStart w:id="4" w:name="_GoBack"/>
      <w:bookmarkEnd w:id="4"/>
    </w:p>
    <w:sectPr w:rsidR="00E64C2C" w:rsidRPr="00C67702" w:rsidSect="00E64C2C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C2C" w:rsidRDefault="00E64C2C">
      <w:r>
        <w:separator/>
      </w:r>
    </w:p>
  </w:endnote>
  <w:endnote w:type="continuationSeparator" w:id="0">
    <w:p w:rsidR="00E64C2C" w:rsidRDefault="00E64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C2C" w:rsidRDefault="00E64C2C">
      <w:r>
        <w:separator/>
      </w:r>
    </w:p>
  </w:footnote>
  <w:footnote w:type="continuationSeparator" w:id="0">
    <w:p w:rsidR="00E64C2C" w:rsidRDefault="00E64C2C">
      <w:r>
        <w:continuationSeparator/>
      </w:r>
    </w:p>
  </w:footnote>
  <w:footnote w:id="1">
    <w:p w:rsidR="00E64C2C" w:rsidRPr="00E64C2C" w:rsidRDefault="00E64C2C" w:rsidP="00E64C2C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E64C2C">
        <w:rPr>
          <w:lang w:val="es-ES_tradnl"/>
        </w:rPr>
        <w:tab/>
      </w:r>
      <w:r>
        <w:rPr>
          <w:lang w:val="es-ES_tradnl"/>
        </w:rPr>
        <w:t>La LSDI (imágenes digitales en pantalla grande) es una familia de sistemas de imágenes digitales aplicables a programas tales como obras de teatro, representaciones, acontecimientos deportivos y culturales, conciertos, etc., que se graban para su exhibición en pantalla grande con calidad de alta resolución en teatros, grandes salas y otros locales equipados adecuadamente.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C2C" w:rsidRDefault="00E64C2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C2C" w:rsidRDefault="00E64C2C" w:rsidP="009E1F8B">
    <w:pPr>
      <w:pStyle w:val="Header"/>
      <w:ind w:right="360" w:firstLine="360"/>
    </w:pPr>
    <w:r>
      <w:rPr>
        <w:noProof/>
        <w:lang w:val="es-ES_tradnl" w:eastAsia="zh-CN"/>
      </w:rPr>
      <w:drawing>
        <wp:anchor distT="0" distB="0" distL="114300" distR="114300" simplePos="0" relativeHeight="251660288" behindDoc="0" locked="0" layoutInCell="1" allowOverlap="1" wp14:anchorId="31474130" wp14:editId="159C904D">
          <wp:simplePos x="0" y="0"/>
          <wp:positionH relativeFrom="margin">
            <wp:posOffset>-28575</wp:posOffset>
          </wp:positionH>
          <wp:positionV relativeFrom="margin">
            <wp:posOffset>8545830</wp:posOffset>
          </wp:positionV>
          <wp:extent cx="1247775" cy="935831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_tradnl" w:eastAsia="zh-CN"/>
      </w:rPr>
      <w:drawing>
        <wp:anchor distT="0" distB="0" distL="114300" distR="114300" simplePos="0" relativeHeight="251656192" behindDoc="1" locked="0" layoutInCell="1" allowOverlap="1" wp14:anchorId="3258A6DA" wp14:editId="0E05BA9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2" name="Picture 2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C2C" w:rsidRDefault="00E64C2C" w:rsidP="00091138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1403D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41403D" w:rsidRPr="0041403D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1403D">
      <w:rPr>
        <w:b/>
        <w:bCs/>
        <w:noProof/>
      </w:rPr>
      <w:t>UIT-R  BT.1680-1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C2C" w:rsidRDefault="00E64C2C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41403D" w:rsidRPr="0041403D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1403D">
      <w:rPr>
        <w:b/>
        <w:bCs/>
        <w:noProof/>
      </w:rPr>
      <w:t>UIT-R  BT.1680-1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1403D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41403D" w:rsidRPr="0041403D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41403D">
      <w:rPr>
        <w:b/>
        <w:bCs/>
        <w:noProof/>
      </w:rPr>
      <w:t>UIT-R  BT.1680-1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r w:rsidR="0041403D">
      <w:fldChar w:fldCharType="begin"/>
    </w:r>
    <w:r w:rsidR="0041403D">
      <w:instrText xml:space="preserve"> DOCPROPERTY "Header" \* MERGEFORMAT </w:instrText>
    </w:r>
    <w:r w:rsidR="0041403D">
      <w:fldChar w:fldCharType="separate"/>
    </w:r>
    <w:r w:rsidR="0041403D" w:rsidRPr="0041403D">
      <w:rPr>
        <w:b/>
        <w:bCs/>
      </w:rPr>
      <w:t xml:space="preserve">Rec. </w:t>
    </w:r>
    <w:r w:rsidR="0041403D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1403D">
      <w:rPr>
        <w:b/>
        <w:bCs/>
        <w:noProof/>
      </w:rPr>
      <w:t>UIT-R  BT.1680-1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1403D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C2C"/>
    <w:rsid w:val="000E1617"/>
    <w:rsid w:val="00173537"/>
    <w:rsid w:val="00217EBF"/>
    <w:rsid w:val="00225A05"/>
    <w:rsid w:val="002276CD"/>
    <w:rsid w:val="00242AEE"/>
    <w:rsid w:val="002D76C4"/>
    <w:rsid w:val="003D404F"/>
    <w:rsid w:val="0041403D"/>
    <w:rsid w:val="0052529D"/>
    <w:rsid w:val="00552AC6"/>
    <w:rsid w:val="00607D68"/>
    <w:rsid w:val="0061625E"/>
    <w:rsid w:val="007468DA"/>
    <w:rsid w:val="007C5171"/>
    <w:rsid w:val="00823B17"/>
    <w:rsid w:val="009D2B1B"/>
    <w:rsid w:val="009E00A8"/>
    <w:rsid w:val="00A6617B"/>
    <w:rsid w:val="00AB0DC8"/>
    <w:rsid w:val="00B44E24"/>
    <w:rsid w:val="00BC0E9D"/>
    <w:rsid w:val="00C67702"/>
    <w:rsid w:val="00DF4176"/>
    <w:rsid w:val="00E64C2C"/>
    <w:rsid w:val="00F6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D1F88FC5-2C00-4AD8-9B9B-E15EFE918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4C2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E64C2C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rsid w:val="00E64C2C"/>
    <w:rPr>
      <w:sz w:val="22"/>
      <w:lang w:val="fr-FR" w:eastAsia="en-US"/>
    </w:rPr>
  </w:style>
  <w:style w:type="character" w:customStyle="1" w:styleId="CallChar">
    <w:name w:val="Call Char"/>
    <w:link w:val="Call"/>
    <w:rsid w:val="00E64C2C"/>
    <w:rPr>
      <w:i/>
      <w:sz w:val="24"/>
      <w:lang w:val="fr-FR" w:eastAsia="en-US"/>
    </w:rPr>
  </w:style>
  <w:style w:type="paragraph" w:customStyle="1" w:styleId="Normalaftertitle0">
    <w:name w:val="Normal after title"/>
    <w:basedOn w:val="Normal"/>
    <w:next w:val="Normal"/>
    <w:rsid w:val="00E64C2C"/>
    <w:pPr>
      <w:spacing w:before="480"/>
    </w:pPr>
    <w:rPr>
      <w:sz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tu.int/publ/R-REC/e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yperlink" Target="http://www.itu.int/publ/R-REC/es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r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A3FEF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641F1-B682-4609-A078-27D4EBB7A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94</TotalTime>
  <Pages>4</Pages>
  <Words>793</Words>
  <Characters>5353</Characters>
  <Application>Microsoft Office Word</Application>
  <DocSecurity>0</DocSecurity>
  <Lines>535</Lines>
  <Paragraphs>219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Template BR_Rec_2005.dot</vt:lpstr>
      <vt:lpstr>Política sobre Derechos de Propiedad Intelectual (IPR)</vt:lpstr>
    </vt:vector>
  </TitlesOfParts>
  <Manager/>
  <Company>ITU</Company>
  <LinksUpToDate>false</LinksUpToDate>
  <CharactersWithSpaces>5927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Martinez Romera, Angel</dc:creator>
  <cp:keywords/>
  <dc:description/>
  <cp:lastModifiedBy>Martinez Romera, Angel</cp:lastModifiedBy>
  <cp:revision>13</cp:revision>
  <cp:lastPrinted>2015-08-05T14:34:00Z</cp:lastPrinted>
  <dcterms:created xsi:type="dcterms:W3CDTF">2015-08-05T12:59:00Z</dcterms:created>
  <dcterms:modified xsi:type="dcterms:W3CDTF">2015-08-05T14:37:00Z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