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269" w:rsidRDefault="00411269" w:rsidP="00411269">
      <w:bookmarkStart w:id="0" w:name="Doc_title"/>
      <w:bookmarkStart w:id="1" w:name="_GoBack"/>
      <w:bookmarkEnd w:id="1"/>
    </w:p>
    <w:p w:rsidR="00411269" w:rsidRDefault="00411269" w:rsidP="00411269"/>
    <w:p w:rsidR="00411269" w:rsidRDefault="00411269" w:rsidP="00411269"/>
    <w:p w:rsidR="00411269" w:rsidRDefault="00411269" w:rsidP="00411269"/>
    <w:p w:rsidR="00411269" w:rsidRDefault="00411269" w:rsidP="00411269"/>
    <w:p w:rsidR="00411269" w:rsidRDefault="00411269" w:rsidP="00411269"/>
    <w:p w:rsidR="00411269" w:rsidRDefault="00411269" w:rsidP="00411269"/>
    <w:p w:rsidR="00411269" w:rsidRDefault="00411269" w:rsidP="00411269"/>
    <w:p w:rsidR="00411269" w:rsidRDefault="00411269" w:rsidP="00411269"/>
    <w:p w:rsidR="00411269" w:rsidRDefault="00411269" w:rsidP="00411269"/>
    <w:p w:rsidR="00411269" w:rsidRDefault="00411269" w:rsidP="00411269"/>
    <w:p w:rsidR="00411269" w:rsidRDefault="00411269" w:rsidP="00411269"/>
    <w:tbl>
      <w:tblPr>
        <w:tblW w:w="10089" w:type="dxa"/>
        <w:tblLook w:val="01E0" w:firstRow="1" w:lastRow="1" w:firstColumn="1" w:lastColumn="1" w:noHBand="0" w:noVBand="0"/>
      </w:tblPr>
      <w:tblGrid>
        <w:gridCol w:w="10089"/>
      </w:tblGrid>
      <w:tr w:rsidR="00411269" w:rsidRPr="00A443C2" w:rsidTr="00D30937">
        <w:tc>
          <w:tcPr>
            <w:tcW w:w="10089" w:type="dxa"/>
          </w:tcPr>
          <w:p w:rsidR="00411269" w:rsidRPr="00B033C8" w:rsidRDefault="00411269" w:rsidP="00D30937">
            <w:pPr>
              <w:spacing w:before="380" w:line="280" w:lineRule="exact"/>
              <w:jc w:val="right"/>
              <w:rPr>
                <w:rFonts w:ascii="Tahoma" w:hAnsi="Tahoma" w:cs="Tahoma"/>
                <w:b/>
                <w:bCs/>
                <w:iCs/>
                <w:color w:val="243285"/>
                <w:sz w:val="32"/>
                <w:szCs w:val="32"/>
                <w:lang w:val="en-US"/>
              </w:rPr>
            </w:pPr>
          </w:p>
          <w:p w:rsidR="00411269" w:rsidRDefault="00411269" w:rsidP="00620FE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1</w:t>
            </w:r>
            <w:r w:rsidR="00620FEB">
              <w:rPr>
                <w:rFonts w:ascii="Tahoma" w:hAnsi="Tahoma" w:cs="Tahoma"/>
                <w:b/>
                <w:bCs/>
                <w:iCs/>
                <w:color w:val="243285"/>
                <w:sz w:val="36"/>
                <w:szCs w:val="36"/>
              </w:rPr>
              <w:t>674</w:t>
            </w:r>
            <w:r>
              <w:rPr>
                <w:rFonts w:ascii="Tahoma" w:hAnsi="Tahoma" w:cs="Tahoma"/>
                <w:b/>
                <w:bCs/>
                <w:iCs/>
                <w:color w:val="243285"/>
                <w:sz w:val="36"/>
                <w:szCs w:val="36"/>
              </w:rPr>
              <w:t>-</w:t>
            </w:r>
            <w:r w:rsidR="00620FEB">
              <w:rPr>
                <w:rFonts w:ascii="Tahoma" w:hAnsi="Tahoma" w:cs="Tahoma"/>
                <w:b/>
                <w:bCs/>
                <w:iCs/>
                <w:color w:val="243285"/>
                <w:sz w:val="36"/>
                <w:szCs w:val="36"/>
              </w:rPr>
              <w:t>1</w:t>
            </w:r>
          </w:p>
          <w:p w:rsidR="00411269" w:rsidRPr="00A443C2" w:rsidRDefault="00411269" w:rsidP="00620FEB">
            <w:pPr>
              <w:spacing w:before="80" w:line="280" w:lineRule="exact"/>
              <w:jc w:val="right"/>
              <w:rPr>
                <w:rFonts w:ascii="Tahoma" w:hAnsi="Tahoma" w:cs="Tahoma"/>
                <w:b/>
                <w:bCs/>
                <w:iCs/>
                <w:color w:val="243285"/>
                <w:szCs w:val="24"/>
              </w:rPr>
            </w:pPr>
            <w:r>
              <w:rPr>
                <w:rFonts w:ascii="Tahoma" w:hAnsi="Tahoma" w:cs="Tahoma"/>
                <w:b/>
                <w:bCs/>
                <w:iCs/>
                <w:color w:val="243285"/>
                <w:szCs w:val="24"/>
              </w:rPr>
              <w:t>(06-201</w:t>
            </w:r>
            <w:r w:rsidR="00620FEB">
              <w:rPr>
                <w:rFonts w:ascii="Tahoma" w:hAnsi="Tahoma" w:cs="Tahoma"/>
                <w:b/>
                <w:bCs/>
                <w:iCs/>
                <w:color w:val="243285"/>
                <w:szCs w:val="24"/>
              </w:rPr>
              <w:t>5</w:t>
            </w:r>
            <w:r>
              <w:rPr>
                <w:rFonts w:ascii="Tahoma" w:hAnsi="Tahoma" w:cs="Tahoma"/>
                <w:b/>
                <w:bCs/>
                <w:iCs/>
                <w:color w:val="243285"/>
                <w:szCs w:val="24"/>
              </w:rPr>
              <w:t>)</w:t>
            </w:r>
          </w:p>
        </w:tc>
      </w:tr>
      <w:tr w:rsidR="00411269" w:rsidRPr="00F54FBD" w:rsidTr="00D30937">
        <w:tc>
          <w:tcPr>
            <w:tcW w:w="10089" w:type="dxa"/>
          </w:tcPr>
          <w:p w:rsidR="00411269" w:rsidRPr="0043089F" w:rsidRDefault="00411269" w:rsidP="00D30937">
            <w:pPr>
              <w:spacing w:before="80" w:line="500" w:lineRule="exact"/>
              <w:jc w:val="right"/>
              <w:rPr>
                <w:rFonts w:ascii="Tahoma" w:hAnsi="Tahoma" w:cs="Tahoma"/>
                <w:b/>
                <w:bCs/>
                <w:iCs/>
                <w:color w:val="243285"/>
                <w:sz w:val="44"/>
                <w:szCs w:val="44"/>
              </w:rPr>
            </w:pPr>
          </w:p>
          <w:p w:rsidR="00411269" w:rsidRDefault="00620FEB" w:rsidP="00620FEB">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 xml:space="preserve">Métadonnées pour la production et la postproduction en radiodiffusion: </w:t>
            </w:r>
            <w:r>
              <w:rPr>
                <w:rFonts w:ascii="Tahoma" w:hAnsi="Tahoma" w:cs="Tahoma"/>
                <w:b/>
                <w:bCs/>
                <w:color w:val="243285"/>
                <w:sz w:val="44"/>
                <w:szCs w:val="44"/>
              </w:rPr>
              <w:br/>
              <w:t>conditions à respecter</w:t>
            </w:r>
          </w:p>
          <w:p w:rsidR="00411269" w:rsidRPr="0043089F" w:rsidRDefault="00411269" w:rsidP="00D30937">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411269" w:rsidRPr="00F54FBD" w:rsidTr="00D30937">
        <w:tc>
          <w:tcPr>
            <w:tcW w:w="10089" w:type="dxa"/>
          </w:tcPr>
          <w:p w:rsidR="00411269" w:rsidRPr="00F54FBD" w:rsidRDefault="00411269" w:rsidP="00D30937">
            <w:pPr>
              <w:spacing w:before="80" w:line="280" w:lineRule="exact"/>
              <w:ind w:right="640"/>
              <w:rPr>
                <w:rFonts w:ascii="Tahoma" w:hAnsi="Tahoma" w:cs="Tahoma"/>
                <w:b/>
                <w:bCs/>
                <w:iCs/>
                <w:color w:val="243285"/>
                <w:sz w:val="32"/>
                <w:szCs w:val="32"/>
              </w:rPr>
            </w:pPr>
          </w:p>
          <w:p w:rsidR="00411269" w:rsidRPr="00F54FBD" w:rsidRDefault="00411269" w:rsidP="00D30937">
            <w:pPr>
              <w:spacing w:before="80" w:line="280" w:lineRule="exact"/>
              <w:ind w:right="640"/>
              <w:rPr>
                <w:rFonts w:ascii="Tahoma" w:hAnsi="Tahoma" w:cs="Tahoma"/>
                <w:b/>
                <w:bCs/>
                <w:iCs/>
                <w:color w:val="243285"/>
                <w:sz w:val="32"/>
                <w:szCs w:val="32"/>
              </w:rPr>
            </w:pPr>
          </w:p>
          <w:p w:rsidR="00411269" w:rsidRPr="00F54FBD" w:rsidRDefault="00411269" w:rsidP="00D30937">
            <w:pPr>
              <w:spacing w:before="80" w:after="180" w:line="360" w:lineRule="exact"/>
              <w:ind w:right="720"/>
              <w:rPr>
                <w:rFonts w:ascii="Tahoma" w:hAnsi="Tahoma" w:cs="Tahoma"/>
                <w:b/>
                <w:bCs/>
                <w:iCs/>
                <w:color w:val="243285"/>
                <w:sz w:val="36"/>
                <w:szCs w:val="36"/>
              </w:rPr>
            </w:pPr>
          </w:p>
          <w:p w:rsidR="00411269" w:rsidRPr="00F54FBD" w:rsidRDefault="00411269" w:rsidP="00D30937">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411269" w:rsidRPr="0043089F" w:rsidRDefault="00411269" w:rsidP="00D30937">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411269" w:rsidRPr="00F54FBD" w:rsidRDefault="00411269" w:rsidP="00411269">
      <w:pPr>
        <w:spacing w:before="80"/>
        <w:rPr>
          <w:i/>
          <w:sz w:val="22"/>
        </w:rPr>
      </w:pPr>
    </w:p>
    <w:p w:rsidR="00411269" w:rsidRPr="00F54FBD" w:rsidRDefault="00411269" w:rsidP="00411269">
      <w:pPr>
        <w:spacing w:before="80"/>
        <w:rPr>
          <w:i/>
          <w:sz w:val="22"/>
        </w:rPr>
      </w:pPr>
    </w:p>
    <w:p w:rsidR="00411269" w:rsidRPr="00F54FBD" w:rsidRDefault="00411269" w:rsidP="00411269">
      <w:pPr>
        <w:spacing w:before="80"/>
        <w:rPr>
          <w:i/>
          <w:sz w:val="22"/>
        </w:rPr>
      </w:pPr>
    </w:p>
    <w:p w:rsidR="00411269" w:rsidRPr="00F54FBD" w:rsidRDefault="00411269" w:rsidP="00411269">
      <w:pPr>
        <w:spacing w:before="80"/>
        <w:rPr>
          <w:i/>
          <w:sz w:val="22"/>
        </w:rPr>
      </w:pPr>
    </w:p>
    <w:p w:rsidR="00411269" w:rsidRPr="00F54FBD" w:rsidRDefault="00411269" w:rsidP="00411269">
      <w:pPr>
        <w:spacing w:before="80"/>
        <w:rPr>
          <w:i/>
          <w:sz w:val="22"/>
        </w:rPr>
      </w:pPr>
    </w:p>
    <w:p w:rsidR="00411269" w:rsidRPr="00F54FBD" w:rsidRDefault="00411269" w:rsidP="00411269">
      <w:pPr>
        <w:spacing w:before="80"/>
        <w:rPr>
          <w:i/>
          <w:sz w:val="22"/>
        </w:rPr>
      </w:pPr>
    </w:p>
    <w:p w:rsidR="00411269" w:rsidRPr="00F54FBD" w:rsidRDefault="00411269" w:rsidP="00411269">
      <w:pPr>
        <w:pStyle w:val="Equation"/>
        <w:tabs>
          <w:tab w:val="clear" w:pos="4820"/>
          <w:tab w:val="clear" w:pos="9639"/>
          <w:tab w:val="left" w:pos="1191"/>
          <w:tab w:val="left" w:pos="1588"/>
          <w:tab w:val="left" w:pos="1985"/>
        </w:tabs>
        <w:rPr>
          <w:rFonts w:ascii="Palatino Linotype" w:hAnsi="Palatino Linotype"/>
        </w:rPr>
        <w:sectPr w:rsidR="00411269" w:rsidRPr="00F54FBD" w:rsidSect="0014322C">
          <w:headerReference w:type="even" r:id="rId6"/>
          <w:headerReference w:type="default" r:id="rId7"/>
          <w:pgSz w:w="11907" w:h="16834" w:code="9"/>
          <w:pgMar w:top="1418" w:right="1134" w:bottom="1134" w:left="1134" w:header="720" w:footer="482" w:gutter="0"/>
          <w:paperSrc w:first="15" w:other="15"/>
          <w:cols w:space="720"/>
        </w:sectPr>
      </w:pPr>
    </w:p>
    <w:p w:rsidR="00411269" w:rsidRPr="00F54FBD" w:rsidRDefault="00411269" w:rsidP="004112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411269" w:rsidRPr="00F54FBD" w:rsidRDefault="00411269" w:rsidP="00411269">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11269" w:rsidRPr="00F54FBD" w:rsidRDefault="00411269" w:rsidP="00411269">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11269" w:rsidRPr="00E44CBB" w:rsidRDefault="00411269" w:rsidP="00411269">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11269" w:rsidRPr="00E44CBB" w:rsidRDefault="00411269" w:rsidP="00411269">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11269" w:rsidRPr="00C57597" w:rsidRDefault="00411269" w:rsidP="0041126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11269" w:rsidRPr="009454F8" w:rsidTr="00D30937">
        <w:tc>
          <w:tcPr>
            <w:tcW w:w="9360" w:type="dxa"/>
            <w:gridSpan w:val="2"/>
          </w:tcPr>
          <w:p w:rsidR="00411269" w:rsidRPr="009454F8" w:rsidRDefault="00411269" w:rsidP="00D30937">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11269" w:rsidRPr="009454F8" w:rsidRDefault="00411269" w:rsidP="00D309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411269" w:rsidRPr="00036EE3" w:rsidTr="00D30937">
        <w:tc>
          <w:tcPr>
            <w:tcW w:w="1140" w:type="dxa"/>
          </w:tcPr>
          <w:p w:rsidR="00411269" w:rsidRPr="00614CC6" w:rsidRDefault="00411269" w:rsidP="00D30937">
            <w:pPr>
              <w:spacing w:before="90" w:after="100"/>
              <w:ind w:left="57"/>
              <w:rPr>
                <w:b/>
                <w:bCs/>
                <w:sz w:val="20"/>
                <w:lang w:val="en-US"/>
              </w:rPr>
            </w:pPr>
            <w:r w:rsidRPr="00614CC6">
              <w:rPr>
                <w:b/>
                <w:bCs/>
                <w:sz w:val="20"/>
                <w:lang w:val="en-US"/>
              </w:rPr>
              <w:t>Séries</w:t>
            </w:r>
          </w:p>
        </w:tc>
        <w:tc>
          <w:tcPr>
            <w:tcW w:w="8220" w:type="dxa"/>
          </w:tcPr>
          <w:p w:rsidR="00411269" w:rsidRPr="00614CC6" w:rsidRDefault="00411269" w:rsidP="00D309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11269" w:rsidRPr="00036EE3" w:rsidTr="00D30937">
        <w:tc>
          <w:tcPr>
            <w:tcW w:w="1140" w:type="dxa"/>
            <w:tcBorders>
              <w:bottom w:val="nil"/>
            </w:tcBorders>
          </w:tcPr>
          <w:p w:rsidR="00411269" w:rsidRPr="00614CC6" w:rsidRDefault="00411269" w:rsidP="00D30937">
            <w:pPr>
              <w:spacing w:before="30" w:after="30"/>
              <w:ind w:left="57"/>
              <w:rPr>
                <w:b/>
                <w:bCs/>
                <w:sz w:val="20"/>
                <w:lang w:val="en-US"/>
              </w:rPr>
            </w:pPr>
            <w:r w:rsidRPr="00614CC6">
              <w:rPr>
                <w:b/>
                <w:bCs/>
                <w:sz w:val="20"/>
                <w:lang w:val="en-US"/>
              </w:rPr>
              <w:t>BO</w:t>
            </w:r>
          </w:p>
        </w:tc>
        <w:tc>
          <w:tcPr>
            <w:tcW w:w="8220" w:type="dxa"/>
            <w:tcBorders>
              <w:bottom w:val="nil"/>
            </w:tcBorders>
          </w:tcPr>
          <w:p w:rsidR="00411269" w:rsidRPr="00614CC6" w:rsidRDefault="00411269" w:rsidP="00D309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411269" w:rsidRPr="009454F8" w:rsidTr="00D30937">
        <w:tc>
          <w:tcPr>
            <w:tcW w:w="1140" w:type="dxa"/>
            <w:tcBorders>
              <w:top w:val="nil"/>
              <w:bottom w:val="nil"/>
            </w:tcBorders>
            <w:shd w:val="clear" w:color="auto" w:fill="auto"/>
          </w:tcPr>
          <w:p w:rsidR="00411269" w:rsidRPr="0014322C" w:rsidRDefault="00411269" w:rsidP="00D30937">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411269" w:rsidRPr="0014322C" w:rsidRDefault="00411269" w:rsidP="00D309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411269" w:rsidRPr="00036EE3" w:rsidTr="00D30937">
        <w:tc>
          <w:tcPr>
            <w:tcW w:w="1140" w:type="dxa"/>
            <w:tcBorders>
              <w:top w:val="nil"/>
              <w:bottom w:val="nil"/>
            </w:tcBorders>
          </w:tcPr>
          <w:p w:rsidR="00411269" w:rsidRPr="00614CC6" w:rsidRDefault="00411269" w:rsidP="00D30937">
            <w:pPr>
              <w:spacing w:before="30" w:after="30"/>
              <w:ind w:left="57"/>
              <w:rPr>
                <w:b/>
                <w:bCs/>
                <w:sz w:val="20"/>
                <w:lang w:val="en-US"/>
              </w:rPr>
            </w:pPr>
            <w:r w:rsidRPr="00614CC6">
              <w:rPr>
                <w:b/>
                <w:bCs/>
                <w:sz w:val="20"/>
                <w:lang w:val="en-US"/>
              </w:rPr>
              <w:t>BS</w:t>
            </w:r>
          </w:p>
        </w:tc>
        <w:tc>
          <w:tcPr>
            <w:tcW w:w="8220" w:type="dxa"/>
            <w:tcBorders>
              <w:top w:val="nil"/>
              <w:bottom w:val="nil"/>
            </w:tcBorders>
          </w:tcPr>
          <w:p w:rsidR="00411269" w:rsidRPr="00614CC6" w:rsidRDefault="00411269" w:rsidP="00D309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411269" w:rsidRPr="00ED2695" w:rsidTr="00D30937">
        <w:tc>
          <w:tcPr>
            <w:tcW w:w="1140" w:type="dxa"/>
            <w:tcBorders>
              <w:top w:val="nil"/>
              <w:bottom w:val="nil"/>
            </w:tcBorders>
            <w:shd w:val="clear" w:color="auto" w:fill="F3F3F3"/>
          </w:tcPr>
          <w:p w:rsidR="00411269" w:rsidRPr="0014322C" w:rsidRDefault="00411269" w:rsidP="00D30937">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411269" w:rsidRPr="0014322C" w:rsidRDefault="00411269" w:rsidP="00D309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411269" w:rsidRPr="00036EE3" w:rsidTr="00D30937">
        <w:tc>
          <w:tcPr>
            <w:tcW w:w="1140" w:type="dxa"/>
            <w:tcBorders>
              <w:top w:val="nil"/>
              <w:bottom w:val="nil"/>
            </w:tcBorders>
            <w:shd w:val="clear" w:color="auto" w:fill="auto"/>
          </w:tcPr>
          <w:p w:rsidR="00411269" w:rsidRPr="00614CC6" w:rsidRDefault="00411269" w:rsidP="00D30937">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411269" w:rsidRPr="00614CC6" w:rsidRDefault="00411269" w:rsidP="00D309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411269" w:rsidRPr="00592F9F" w:rsidTr="00D30937">
        <w:tc>
          <w:tcPr>
            <w:tcW w:w="1140" w:type="dxa"/>
            <w:tcBorders>
              <w:top w:val="nil"/>
              <w:bottom w:val="nil"/>
            </w:tcBorders>
            <w:shd w:val="clear" w:color="auto" w:fill="auto"/>
          </w:tcPr>
          <w:p w:rsidR="00411269" w:rsidRPr="00766861" w:rsidRDefault="00411269" w:rsidP="00D30937">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411269" w:rsidRPr="00766861" w:rsidRDefault="00411269" w:rsidP="00D309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411269" w:rsidRPr="00036EE3" w:rsidTr="00D30937">
        <w:tc>
          <w:tcPr>
            <w:tcW w:w="1140" w:type="dxa"/>
            <w:tcBorders>
              <w:top w:val="nil"/>
            </w:tcBorders>
          </w:tcPr>
          <w:p w:rsidR="00411269" w:rsidRPr="00614CC6" w:rsidRDefault="00411269" w:rsidP="00D30937">
            <w:pPr>
              <w:spacing w:before="30" w:after="30"/>
              <w:ind w:left="57"/>
              <w:rPr>
                <w:b/>
                <w:bCs/>
                <w:sz w:val="20"/>
                <w:lang w:val="fr-CH"/>
              </w:rPr>
            </w:pPr>
            <w:r w:rsidRPr="00614CC6">
              <w:rPr>
                <w:b/>
                <w:bCs/>
                <w:sz w:val="20"/>
                <w:lang w:val="fr-CH"/>
              </w:rPr>
              <w:t>P</w:t>
            </w:r>
          </w:p>
        </w:tc>
        <w:tc>
          <w:tcPr>
            <w:tcW w:w="8220" w:type="dxa"/>
            <w:tcBorders>
              <w:top w:val="nil"/>
            </w:tcBorders>
          </w:tcPr>
          <w:p w:rsidR="00411269" w:rsidRPr="00614CC6" w:rsidRDefault="00411269" w:rsidP="00D30937">
            <w:pPr>
              <w:spacing w:before="30" w:after="30"/>
              <w:rPr>
                <w:sz w:val="20"/>
                <w:lang w:val="fr-CH"/>
              </w:rPr>
            </w:pPr>
            <w:r w:rsidRPr="00614CC6">
              <w:rPr>
                <w:sz w:val="20"/>
              </w:rPr>
              <w:t>Propagation des ondes radioélectriques</w:t>
            </w:r>
          </w:p>
        </w:tc>
      </w:tr>
      <w:tr w:rsidR="00411269" w:rsidRPr="00036EE3" w:rsidTr="00D30937">
        <w:tc>
          <w:tcPr>
            <w:tcW w:w="1140" w:type="dxa"/>
          </w:tcPr>
          <w:p w:rsidR="00411269" w:rsidRPr="00614CC6" w:rsidRDefault="00411269" w:rsidP="00D30937">
            <w:pPr>
              <w:spacing w:before="30" w:after="30"/>
              <w:ind w:left="57"/>
              <w:rPr>
                <w:b/>
                <w:bCs/>
                <w:sz w:val="20"/>
                <w:lang w:val="en-US"/>
              </w:rPr>
            </w:pPr>
            <w:r w:rsidRPr="00614CC6">
              <w:rPr>
                <w:b/>
                <w:bCs/>
                <w:sz w:val="20"/>
                <w:lang w:val="en-US"/>
              </w:rPr>
              <w:t>RA</w:t>
            </w:r>
          </w:p>
        </w:tc>
        <w:tc>
          <w:tcPr>
            <w:tcW w:w="8220" w:type="dxa"/>
          </w:tcPr>
          <w:p w:rsidR="00411269" w:rsidRPr="00614CC6" w:rsidRDefault="00411269" w:rsidP="00D309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11269" w:rsidRPr="00036EE3" w:rsidTr="00D30937">
        <w:tc>
          <w:tcPr>
            <w:tcW w:w="1140" w:type="dxa"/>
          </w:tcPr>
          <w:p w:rsidR="00411269" w:rsidRPr="00614CC6" w:rsidRDefault="00411269" w:rsidP="00D30937">
            <w:pPr>
              <w:spacing w:before="30" w:after="30"/>
              <w:ind w:left="57"/>
              <w:rPr>
                <w:b/>
                <w:bCs/>
                <w:sz w:val="20"/>
                <w:lang w:val="en-US"/>
              </w:rPr>
            </w:pPr>
            <w:r w:rsidRPr="00614CC6">
              <w:rPr>
                <w:b/>
                <w:bCs/>
                <w:sz w:val="20"/>
                <w:lang w:val="en-US"/>
              </w:rPr>
              <w:t>RS</w:t>
            </w:r>
          </w:p>
        </w:tc>
        <w:tc>
          <w:tcPr>
            <w:tcW w:w="8220" w:type="dxa"/>
          </w:tcPr>
          <w:p w:rsidR="00411269" w:rsidRPr="00614CC6" w:rsidRDefault="00411269" w:rsidP="00D309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11269" w:rsidRPr="00036EE3" w:rsidTr="00D30937">
        <w:tc>
          <w:tcPr>
            <w:tcW w:w="1140" w:type="dxa"/>
          </w:tcPr>
          <w:p w:rsidR="00411269" w:rsidRPr="00614CC6" w:rsidRDefault="00411269" w:rsidP="00D30937">
            <w:pPr>
              <w:spacing w:before="30" w:after="30"/>
              <w:ind w:left="57"/>
              <w:rPr>
                <w:b/>
                <w:bCs/>
                <w:sz w:val="20"/>
                <w:lang w:val="en-US"/>
              </w:rPr>
            </w:pPr>
            <w:r w:rsidRPr="00614CC6">
              <w:rPr>
                <w:b/>
                <w:bCs/>
                <w:sz w:val="20"/>
                <w:lang w:val="en-US"/>
              </w:rPr>
              <w:t>S</w:t>
            </w:r>
          </w:p>
        </w:tc>
        <w:tc>
          <w:tcPr>
            <w:tcW w:w="8220" w:type="dxa"/>
          </w:tcPr>
          <w:p w:rsidR="00411269" w:rsidRPr="00614CC6" w:rsidRDefault="00411269" w:rsidP="00D30937">
            <w:pPr>
              <w:spacing w:before="30" w:after="30"/>
              <w:rPr>
                <w:sz w:val="20"/>
                <w:lang w:val="en-US"/>
              </w:rPr>
            </w:pPr>
            <w:r w:rsidRPr="00614CC6">
              <w:rPr>
                <w:sz w:val="20"/>
              </w:rPr>
              <w:t>Service fixe par satellite</w:t>
            </w:r>
          </w:p>
        </w:tc>
      </w:tr>
      <w:tr w:rsidR="00411269" w:rsidRPr="00036EE3" w:rsidTr="00D30937">
        <w:tc>
          <w:tcPr>
            <w:tcW w:w="1140" w:type="dxa"/>
          </w:tcPr>
          <w:p w:rsidR="00411269" w:rsidRPr="00614CC6" w:rsidRDefault="00411269" w:rsidP="00D30937">
            <w:pPr>
              <w:spacing w:before="30" w:after="30"/>
              <w:ind w:left="57"/>
              <w:rPr>
                <w:b/>
                <w:bCs/>
                <w:sz w:val="20"/>
                <w:lang w:val="en-US"/>
              </w:rPr>
            </w:pPr>
            <w:r w:rsidRPr="00614CC6">
              <w:rPr>
                <w:b/>
                <w:bCs/>
                <w:sz w:val="20"/>
                <w:lang w:val="en-US"/>
              </w:rPr>
              <w:t>SA</w:t>
            </w:r>
          </w:p>
        </w:tc>
        <w:tc>
          <w:tcPr>
            <w:tcW w:w="8220" w:type="dxa"/>
          </w:tcPr>
          <w:p w:rsidR="00411269" w:rsidRPr="00614CC6" w:rsidRDefault="00411269" w:rsidP="00D30937">
            <w:pPr>
              <w:spacing w:before="30" w:after="30"/>
              <w:rPr>
                <w:sz w:val="20"/>
                <w:lang w:val="en-US"/>
              </w:rPr>
            </w:pPr>
            <w:r w:rsidRPr="00614CC6">
              <w:rPr>
                <w:sz w:val="20"/>
              </w:rPr>
              <w:t>Applications spatiales et météorologie</w:t>
            </w:r>
          </w:p>
        </w:tc>
      </w:tr>
      <w:tr w:rsidR="00411269" w:rsidRPr="00614CC6" w:rsidTr="00D30937">
        <w:tc>
          <w:tcPr>
            <w:tcW w:w="1140" w:type="dxa"/>
          </w:tcPr>
          <w:p w:rsidR="00411269" w:rsidRPr="00614CC6" w:rsidRDefault="00411269" w:rsidP="00D30937">
            <w:pPr>
              <w:spacing w:before="30" w:after="30"/>
              <w:ind w:left="57"/>
              <w:rPr>
                <w:b/>
                <w:bCs/>
                <w:sz w:val="20"/>
                <w:lang w:val="en-US"/>
              </w:rPr>
            </w:pPr>
            <w:r w:rsidRPr="00614CC6">
              <w:rPr>
                <w:b/>
                <w:bCs/>
                <w:sz w:val="20"/>
                <w:lang w:val="en-US"/>
              </w:rPr>
              <w:t>SF</w:t>
            </w:r>
          </w:p>
        </w:tc>
        <w:tc>
          <w:tcPr>
            <w:tcW w:w="8220" w:type="dxa"/>
          </w:tcPr>
          <w:p w:rsidR="00411269" w:rsidRPr="00614CC6" w:rsidRDefault="00411269" w:rsidP="00D30937">
            <w:pPr>
              <w:spacing w:before="30" w:after="30"/>
              <w:rPr>
                <w:sz w:val="20"/>
              </w:rPr>
            </w:pPr>
            <w:r w:rsidRPr="00614CC6">
              <w:rPr>
                <w:sz w:val="20"/>
              </w:rPr>
              <w:t>Partage des fréquences et coordination entre les systèmes du service fixe par satellite et du service fixe</w:t>
            </w:r>
          </w:p>
        </w:tc>
      </w:tr>
      <w:tr w:rsidR="00411269" w:rsidRPr="00036EE3" w:rsidTr="00D30937">
        <w:tc>
          <w:tcPr>
            <w:tcW w:w="1140" w:type="dxa"/>
            <w:shd w:val="clear" w:color="auto" w:fill="auto"/>
          </w:tcPr>
          <w:p w:rsidR="00411269" w:rsidRPr="00592F9F" w:rsidRDefault="00411269" w:rsidP="00D30937">
            <w:pPr>
              <w:spacing w:before="30" w:after="30"/>
              <w:ind w:left="57"/>
              <w:rPr>
                <w:b/>
                <w:bCs/>
                <w:sz w:val="20"/>
                <w:lang w:val="en-US"/>
              </w:rPr>
            </w:pPr>
            <w:r w:rsidRPr="00592F9F">
              <w:rPr>
                <w:b/>
                <w:bCs/>
                <w:sz w:val="20"/>
                <w:lang w:val="en-US"/>
              </w:rPr>
              <w:t>SM</w:t>
            </w:r>
          </w:p>
        </w:tc>
        <w:tc>
          <w:tcPr>
            <w:tcW w:w="8220" w:type="dxa"/>
            <w:shd w:val="clear" w:color="auto" w:fill="auto"/>
          </w:tcPr>
          <w:p w:rsidR="00411269" w:rsidRPr="00592F9F" w:rsidRDefault="00411269" w:rsidP="00D30937">
            <w:pPr>
              <w:spacing w:before="30" w:after="30"/>
              <w:rPr>
                <w:sz w:val="20"/>
                <w:lang w:val="en-US"/>
              </w:rPr>
            </w:pPr>
            <w:r w:rsidRPr="00592F9F">
              <w:rPr>
                <w:sz w:val="20"/>
              </w:rPr>
              <w:t>Gestion du spectre</w:t>
            </w:r>
          </w:p>
        </w:tc>
      </w:tr>
      <w:tr w:rsidR="00411269" w:rsidRPr="00036EE3" w:rsidTr="00D30937">
        <w:tc>
          <w:tcPr>
            <w:tcW w:w="1140" w:type="dxa"/>
          </w:tcPr>
          <w:p w:rsidR="00411269" w:rsidRPr="00614CC6" w:rsidRDefault="00411269" w:rsidP="00D30937">
            <w:pPr>
              <w:spacing w:before="30" w:after="30"/>
              <w:ind w:left="57"/>
              <w:rPr>
                <w:b/>
                <w:bCs/>
                <w:sz w:val="20"/>
                <w:lang w:val="en-US"/>
              </w:rPr>
            </w:pPr>
            <w:r w:rsidRPr="00614CC6">
              <w:rPr>
                <w:b/>
                <w:bCs/>
                <w:sz w:val="20"/>
                <w:lang w:val="en-US"/>
              </w:rPr>
              <w:t>SNG</w:t>
            </w:r>
          </w:p>
        </w:tc>
        <w:tc>
          <w:tcPr>
            <w:tcW w:w="8220" w:type="dxa"/>
          </w:tcPr>
          <w:p w:rsidR="00411269" w:rsidRPr="00614CC6" w:rsidRDefault="00411269" w:rsidP="00D30937">
            <w:pPr>
              <w:spacing w:before="30" w:after="30"/>
              <w:rPr>
                <w:sz w:val="20"/>
                <w:lang w:val="en-US"/>
              </w:rPr>
            </w:pPr>
            <w:r w:rsidRPr="00614CC6">
              <w:rPr>
                <w:sz w:val="20"/>
              </w:rPr>
              <w:t>Reportage d'actualités par satellite</w:t>
            </w:r>
          </w:p>
        </w:tc>
      </w:tr>
      <w:tr w:rsidR="00411269" w:rsidRPr="00614CC6" w:rsidTr="00D30937">
        <w:tc>
          <w:tcPr>
            <w:tcW w:w="1140" w:type="dxa"/>
          </w:tcPr>
          <w:p w:rsidR="00411269" w:rsidRPr="00614CC6" w:rsidRDefault="00411269" w:rsidP="00D30937">
            <w:pPr>
              <w:spacing w:before="30" w:after="30"/>
              <w:ind w:left="57"/>
              <w:rPr>
                <w:b/>
                <w:bCs/>
                <w:sz w:val="20"/>
                <w:lang w:val="en-US"/>
              </w:rPr>
            </w:pPr>
            <w:r w:rsidRPr="00614CC6">
              <w:rPr>
                <w:b/>
                <w:bCs/>
                <w:sz w:val="20"/>
                <w:lang w:val="en-US"/>
              </w:rPr>
              <w:t>TF</w:t>
            </w:r>
          </w:p>
        </w:tc>
        <w:tc>
          <w:tcPr>
            <w:tcW w:w="8220" w:type="dxa"/>
          </w:tcPr>
          <w:p w:rsidR="00411269" w:rsidRPr="00614CC6" w:rsidRDefault="00411269" w:rsidP="00D30937">
            <w:pPr>
              <w:spacing w:before="30" w:after="30"/>
              <w:rPr>
                <w:sz w:val="20"/>
              </w:rPr>
            </w:pPr>
            <w:r w:rsidRPr="00614CC6">
              <w:rPr>
                <w:sz w:val="20"/>
              </w:rPr>
              <w:t>Emissions de fréquences étalon et de signaux horaires</w:t>
            </w:r>
          </w:p>
        </w:tc>
      </w:tr>
      <w:tr w:rsidR="00411269" w:rsidRPr="00036EE3" w:rsidTr="00D30937">
        <w:tc>
          <w:tcPr>
            <w:tcW w:w="1140" w:type="dxa"/>
          </w:tcPr>
          <w:p w:rsidR="00411269" w:rsidRPr="00614CC6" w:rsidRDefault="00411269" w:rsidP="00D30937">
            <w:pPr>
              <w:spacing w:before="30" w:after="30"/>
              <w:ind w:left="57"/>
              <w:rPr>
                <w:b/>
                <w:bCs/>
                <w:sz w:val="20"/>
                <w:lang w:val="en-US"/>
              </w:rPr>
            </w:pPr>
            <w:r w:rsidRPr="00614CC6">
              <w:rPr>
                <w:b/>
                <w:bCs/>
                <w:sz w:val="20"/>
                <w:lang w:val="en-US"/>
              </w:rPr>
              <w:t>V</w:t>
            </w:r>
          </w:p>
        </w:tc>
        <w:tc>
          <w:tcPr>
            <w:tcW w:w="8220" w:type="dxa"/>
          </w:tcPr>
          <w:p w:rsidR="00411269" w:rsidRPr="00614CC6" w:rsidRDefault="00411269" w:rsidP="00D30937">
            <w:pPr>
              <w:spacing w:before="30" w:after="140"/>
              <w:rPr>
                <w:sz w:val="20"/>
                <w:lang w:val="en-US"/>
              </w:rPr>
            </w:pPr>
            <w:r w:rsidRPr="00614CC6">
              <w:rPr>
                <w:sz w:val="20"/>
              </w:rPr>
              <w:t>Vocabulaire et sujets associés</w:t>
            </w:r>
          </w:p>
        </w:tc>
      </w:tr>
    </w:tbl>
    <w:p w:rsidR="00411269" w:rsidRPr="00036EE3" w:rsidRDefault="00411269" w:rsidP="00411269">
      <w:pPr>
        <w:spacing w:before="0"/>
        <w:jc w:val="center"/>
        <w:rPr>
          <w:sz w:val="20"/>
          <w:lang w:val="en-US"/>
        </w:rPr>
      </w:pPr>
    </w:p>
    <w:p w:rsidR="00411269" w:rsidRPr="00036EE3" w:rsidRDefault="00411269" w:rsidP="00411269">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11269" w:rsidRPr="00756B4D" w:rsidTr="00D30937">
        <w:tc>
          <w:tcPr>
            <w:tcW w:w="9360" w:type="dxa"/>
          </w:tcPr>
          <w:p w:rsidR="00411269" w:rsidRPr="00756B4D" w:rsidRDefault="00411269" w:rsidP="00D30937">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411269" w:rsidRPr="00756B4D" w:rsidRDefault="00411269" w:rsidP="00411269">
      <w:pPr>
        <w:spacing w:before="0"/>
        <w:jc w:val="center"/>
        <w:rPr>
          <w:sz w:val="22"/>
        </w:rPr>
      </w:pPr>
    </w:p>
    <w:p w:rsidR="00411269" w:rsidRPr="00614CC6" w:rsidRDefault="00411269" w:rsidP="00411269">
      <w:pPr>
        <w:spacing w:before="100"/>
        <w:jc w:val="right"/>
        <w:rPr>
          <w:i/>
          <w:iCs/>
          <w:sz w:val="20"/>
        </w:rPr>
      </w:pPr>
      <w:r w:rsidRPr="00614CC6">
        <w:rPr>
          <w:i/>
          <w:iCs/>
          <w:sz w:val="20"/>
        </w:rPr>
        <w:t>Publication électronique</w:t>
      </w:r>
    </w:p>
    <w:p w:rsidR="00411269" w:rsidRPr="00614CC6" w:rsidRDefault="00411269" w:rsidP="00411269">
      <w:pPr>
        <w:spacing w:before="0"/>
        <w:jc w:val="right"/>
        <w:rPr>
          <w:sz w:val="20"/>
        </w:rPr>
      </w:pPr>
      <w:r w:rsidRPr="00614CC6">
        <w:rPr>
          <w:sz w:val="20"/>
        </w:rPr>
        <w:t>Genève, 20</w:t>
      </w:r>
      <w:r>
        <w:rPr>
          <w:sz w:val="20"/>
        </w:rPr>
        <w:t>16</w:t>
      </w:r>
    </w:p>
    <w:p w:rsidR="00411269" w:rsidRPr="00614CC6" w:rsidRDefault="00411269" w:rsidP="00411269">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16</w:t>
      </w:r>
    </w:p>
    <w:p w:rsidR="00411269" w:rsidRPr="00614CC6" w:rsidRDefault="00411269" w:rsidP="00411269">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11269" w:rsidRPr="00614CC6" w:rsidRDefault="00411269" w:rsidP="00411269">
      <w:pPr>
        <w:spacing w:before="160"/>
        <w:rPr>
          <w:i/>
          <w:sz w:val="20"/>
          <w:highlight w:val="yellow"/>
        </w:rPr>
        <w:sectPr w:rsidR="00411269" w:rsidRPr="00614CC6" w:rsidSect="0014322C">
          <w:headerReference w:type="even" r:id="rId10"/>
          <w:headerReference w:type="default" r:id="rId11"/>
          <w:pgSz w:w="11907" w:h="16834" w:code="9"/>
          <w:pgMar w:top="1418" w:right="1134" w:bottom="1134" w:left="1134" w:header="720" w:footer="482" w:gutter="0"/>
          <w:pgNumType w:fmt="lowerRoman" w:start="2"/>
          <w:cols w:space="720"/>
        </w:sectPr>
      </w:pPr>
    </w:p>
    <w:p w:rsidR="00411269" w:rsidRDefault="00411269" w:rsidP="00CE3B44">
      <w:pPr>
        <w:pStyle w:val="RecNo"/>
        <w:spacing w:before="0"/>
      </w:pPr>
      <w:bookmarkStart w:id="4" w:name="irecnoe"/>
      <w:bookmarkEnd w:id="4"/>
      <w:r>
        <w:lastRenderedPageBreak/>
        <w:t xml:space="preserve">RECOMMANDATION  </w:t>
      </w:r>
      <w:r>
        <w:rPr>
          <w:rStyle w:val="href"/>
        </w:rPr>
        <w:t>UIT-R  BT</w:t>
      </w:r>
      <w:bookmarkEnd w:id="0"/>
      <w:r>
        <w:rPr>
          <w:rStyle w:val="href"/>
        </w:rPr>
        <w:t>.</w:t>
      </w:r>
      <w:r w:rsidR="00CE3B44">
        <w:rPr>
          <w:rStyle w:val="href"/>
        </w:rPr>
        <w:t>1674-1</w:t>
      </w:r>
    </w:p>
    <w:p w:rsidR="00620FEB" w:rsidRPr="00915A02" w:rsidRDefault="00620FEB" w:rsidP="00620FEB">
      <w:pPr>
        <w:pStyle w:val="Rectitle"/>
      </w:pPr>
      <w:r w:rsidRPr="00915A02">
        <w:t>Métadonnées pour la production et la postproduction</w:t>
      </w:r>
      <w:r w:rsidRPr="00915A02">
        <w:br/>
        <w:t>en radiodiffusion: conditions à respecter</w:t>
      </w:r>
    </w:p>
    <w:p w:rsidR="00620FEB" w:rsidRDefault="00620FEB" w:rsidP="00620FEB">
      <w:pPr>
        <w:pStyle w:val="Recref"/>
      </w:pPr>
      <w:r>
        <w:t>(Question UIT-R 46/6)</w:t>
      </w:r>
    </w:p>
    <w:p w:rsidR="00620FEB" w:rsidRDefault="00620FEB" w:rsidP="00620FEB">
      <w:pPr>
        <w:pStyle w:val="Recdate"/>
      </w:pPr>
      <w:r>
        <w:t>(2004-2015)</w:t>
      </w:r>
    </w:p>
    <w:p w:rsidR="00620FEB" w:rsidRPr="008B1E01" w:rsidRDefault="00620FEB" w:rsidP="00CF0730">
      <w:pPr>
        <w:pStyle w:val="HeadingSum"/>
      </w:pPr>
      <w:r w:rsidRPr="008B1E01">
        <w:t>Domaine d'application</w:t>
      </w:r>
    </w:p>
    <w:p w:rsidR="00620FEB" w:rsidRDefault="00620FEB" w:rsidP="00CF0730">
      <w:pPr>
        <w:pStyle w:val="Summary"/>
      </w:pPr>
      <w:r>
        <w:t>La présente Recommandation fait référence au contenu du dictionnaire des métadonnées de la SMPTE et définit un registre de descriptions d'éléments de métadonnées à associer au contenu essentiel (</w:t>
      </w:r>
      <w:r w:rsidRPr="009C6FDA">
        <w:t>vidéo, audio et données présentés sous diverses formes</w:t>
      </w:r>
      <w:r>
        <w:t xml:space="preserve">) ou à d'autres métadonnées. Une explication complète est donnée dans la Norme SMPTE ST 335-2012. La structure du dictionnaire des métadonnées définie dans la Norme </w:t>
      </w:r>
      <w:r w:rsidRPr="00911433">
        <w:t>SMPTE ST 335-2012</w:t>
      </w:r>
      <w:r>
        <w:t xml:space="preserve"> couvre l'utilisation de métadonnées pour tout type de contenu essentiel. Les entrées du dictionnaire des métadonnées sont listées dans la pratique </w:t>
      </w:r>
      <w:r w:rsidRPr="00911433">
        <w:t>SMPTE RP 210.13 2012</w:t>
      </w:r>
      <w:r>
        <w:t>.</w:t>
      </w:r>
    </w:p>
    <w:p w:rsidR="00620FEB" w:rsidRDefault="00620FEB" w:rsidP="00620FEB">
      <w:pPr>
        <w:pStyle w:val="Headingb"/>
      </w:pPr>
      <w:r>
        <w:t>Mots clés</w:t>
      </w:r>
    </w:p>
    <w:p w:rsidR="00620FEB" w:rsidRPr="008B1E01" w:rsidRDefault="00620FEB" w:rsidP="00620FEB">
      <w:r>
        <w:t>Dictionnaire de métadonnées, conteneur, éléments de données</w:t>
      </w:r>
    </w:p>
    <w:p w:rsidR="00620FEB" w:rsidRDefault="00620FEB" w:rsidP="00620FEB">
      <w:pPr>
        <w:pStyle w:val="Normalaftertitle"/>
        <w:spacing w:before="240"/>
      </w:pPr>
      <w:r>
        <w:t>L'Assemblée des radiocommunications de l'UIT,</w:t>
      </w:r>
    </w:p>
    <w:p w:rsidR="00620FEB" w:rsidRDefault="00620FEB" w:rsidP="00620FEB">
      <w:pPr>
        <w:pStyle w:val="Call"/>
      </w:pPr>
      <w:r>
        <w:t>considérant</w:t>
      </w:r>
    </w:p>
    <w:p w:rsidR="00620FEB" w:rsidRDefault="00620FEB" w:rsidP="00620FEB">
      <w:r w:rsidRPr="00915A02">
        <w:rPr>
          <w:i/>
          <w:iCs/>
        </w:rPr>
        <w:t>a)</w:t>
      </w:r>
      <w:r>
        <w:tab/>
        <w:t>que la radiodiffusion numérique a introduit des changements fondamentaux au niveau de l'infrastructure et des méthodes de production et de postproduction de l'audio, de la vidéo et des autres supports électroniques;</w:t>
      </w:r>
    </w:p>
    <w:p w:rsidR="00620FEB" w:rsidRDefault="00620FEB" w:rsidP="00620FEB">
      <w:r w:rsidRPr="00915A02">
        <w:rPr>
          <w:i/>
          <w:iCs/>
        </w:rPr>
        <w:t>b)</w:t>
      </w:r>
      <w:r>
        <w:tab/>
        <w:t>que la compatibilité des formats de codage des données et de flux binaires en production et postproduction numériques est souhaitable afin de faciliter l'échange et la diffusion de programmes;</w:t>
      </w:r>
    </w:p>
    <w:p w:rsidR="00620FEB" w:rsidRDefault="00620FEB" w:rsidP="00620FEB">
      <w:r w:rsidRPr="00915A02">
        <w:rPr>
          <w:i/>
          <w:iCs/>
        </w:rPr>
        <w:t>c)</w:t>
      </w:r>
      <w:r>
        <w:tab/>
        <w:t>qu'une terminologie, un ensemble de formats et un usage communs des métadonnées sont susceptibles d'améliorer leur utilité et de réduire les risques d'interprétation erronée, de mauvaise utilisation, de perte ou d'altération de ces métadonnées;</w:t>
      </w:r>
    </w:p>
    <w:p w:rsidR="00620FEB" w:rsidRDefault="00620FEB" w:rsidP="00620FEB">
      <w:r w:rsidRPr="00915A02">
        <w:rPr>
          <w:i/>
          <w:iCs/>
        </w:rPr>
        <w:t>d)</w:t>
      </w:r>
      <w:r>
        <w:tab/>
        <w:t>que le rôle des métadonnées est fondamental pour les systèmes de gestion de contenus multimédia, qui sont devenus de plus en plus importants, car ils permettent aux services de radiodiffusion et autres services de transmission sur support électronique de fonctionner efficacement et sans introduire de retard;</w:t>
      </w:r>
    </w:p>
    <w:p w:rsidR="00620FEB" w:rsidRDefault="00620FEB" w:rsidP="00620FEB">
      <w:r w:rsidRPr="00915A02">
        <w:rPr>
          <w:i/>
          <w:iCs/>
        </w:rPr>
        <w:t>e)</w:t>
      </w:r>
      <w:r>
        <w:tab/>
        <w:t>que les métadonnées et les conteneurs associés sont maintenant largement acceptés dans le secteur de la radiodiffusion et dans les secteurs associés;</w:t>
      </w:r>
    </w:p>
    <w:p w:rsidR="00620FEB" w:rsidRDefault="00620FEB" w:rsidP="00620FEB">
      <w:r w:rsidRPr="00915A02">
        <w:rPr>
          <w:i/>
          <w:iCs/>
        </w:rPr>
        <w:t>f)</w:t>
      </w:r>
      <w:r>
        <w:tab/>
        <w:t>que par la suite, des organismes de normalisation ont élaboré une série de normes relatives aux composantes de flux de données en termes de contenu essentiel, de préfixe, de métadonnées et de conteneur;</w:t>
      </w:r>
    </w:p>
    <w:p w:rsidR="00620FEB" w:rsidRDefault="00620FEB" w:rsidP="00620FEB">
      <w:r w:rsidRPr="00915A02">
        <w:rPr>
          <w:i/>
          <w:iCs/>
        </w:rPr>
        <w:t>g)</w:t>
      </w:r>
      <w:r>
        <w:tab/>
        <w:t>que ces normes relatives aux métadonnées continuent d'évoluer;</w:t>
      </w:r>
    </w:p>
    <w:p w:rsidR="00620FEB" w:rsidRDefault="00620FEB" w:rsidP="00620FEB">
      <w:r w:rsidRPr="00915A02">
        <w:rPr>
          <w:i/>
          <w:iCs/>
        </w:rPr>
        <w:t>h)</w:t>
      </w:r>
      <w:r>
        <w:tab/>
        <w:t xml:space="preserve">que le codage du langage de balisage extensible (XLM, </w:t>
      </w:r>
      <w:r>
        <w:rPr>
          <w:i/>
          <w:iCs/>
        </w:rPr>
        <w:t>Extensible Mark-up Language</w:t>
      </w:r>
      <w:r>
        <w:t xml:space="preserve">) continue d'être utilisé pour le codage des métadonnées, </w:t>
      </w:r>
    </w:p>
    <w:p w:rsidR="00620FEB" w:rsidRDefault="00620FEB" w:rsidP="00620FEB">
      <w:pPr>
        <w:pStyle w:val="Call"/>
      </w:pPr>
      <w:r>
        <w:t>recommande</w:t>
      </w:r>
    </w:p>
    <w:p w:rsidR="00620FEB" w:rsidRDefault="00620FEB" w:rsidP="00620FEB">
      <w:r>
        <w:rPr>
          <w:b/>
          <w:bCs/>
        </w:rPr>
        <w:t>1</w:t>
      </w:r>
      <w:r>
        <w:tab/>
        <w:t>que les types de données et les formats utilisés dans le dictionnaire des métadonnées pour la production et la postproduction en radiodiffusion soient conformes aux types de données et aux formats décrits dans l'Annexe 1;</w:t>
      </w:r>
    </w:p>
    <w:p w:rsidR="00620FEB" w:rsidRDefault="00620FEB" w:rsidP="00620FEB">
      <w:r>
        <w:rPr>
          <w:b/>
          <w:bCs/>
        </w:rPr>
        <w:lastRenderedPageBreak/>
        <w:t>2</w:t>
      </w:r>
      <w:r>
        <w:tab/>
        <w:t>que la structure du dictionnaire de ces métadonnées soit conforme à celle décrite dans l'Annexe 2.</w:t>
      </w:r>
    </w:p>
    <w:p w:rsidR="00620FEB" w:rsidRDefault="00620FEB" w:rsidP="00CF0730">
      <w:r>
        <w:t>NOTE 1 – La pratique RP 210.13-2012 recommandée par la SMPTE et la Norme SMPTE ST</w:t>
      </w:r>
      <w:r w:rsidR="00CF0730">
        <w:t> </w:t>
      </w:r>
      <w:r>
        <w:t>335</w:t>
      </w:r>
      <w:r w:rsidR="00CF0730">
        <w:noBreakHyphen/>
      </w:r>
      <w:r>
        <w:t>2012 sont données dans la Pièce jointe 1 à l'Annexe 1 et la Pièce jointe 1 à l'Annexe</w:t>
      </w:r>
      <w:r w:rsidR="00CF0730">
        <w:t> </w:t>
      </w:r>
      <w:r>
        <w:t>2 respectivement. La pratique RP 210.13-2012 recommandée par la SMPTE et la Norme SMPTE ST</w:t>
      </w:r>
      <w:r w:rsidR="00CF0730">
        <w:t> </w:t>
      </w:r>
      <w:r>
        <w:t>335-2012 renvoient aux versions de 2012 qui sont celles qui ont été approuvées, le 12.03.06 en application de la Résolution UIT-R 1-6, par les Administrations des Etats Membres de l'UIT. Comme convenu entre l'UIT et la SMPTE, lesdites versions ont été fournies par la SMPTE qui en a autorisé l'utilisation et l'UIT-R a accepté de les inclure dans la présente Recommandation. Toutes versions ultérieures de la pratique RP 210.13-2012 recommandée par la SMPTE et de la Norme SMPTE ST</w:t>
      </w:r>
      <w:r w:rsidR="00CF0730">
        <w:t> </w:t>
      </w:r>
      <w:r>
        <w:t xml:space="preserve">335-2012, qui n'auraient pas été agréées et approuvées par les Administrations des Etats Membres de l'UIT, n'entrent pas dans le cadre de la présente Recommandation. Pour des versions ultérieures de documents SMPTE, le lecteur est prié de consulter le site web de la SMPTE à l'adresse suivante: </w:t>
      </w:r>
      <w:hyperlink r:id="rId12" w:history="1">
        <w:r>
          <w:rPr>
            <w:rStyle w:val="Hyperlink"/>
          </w:rPr>
          <w:t>http://www.smpte.org/</w:t>
        </w:r>
      </w:hyperlink>
      <w:r>
        <w:t>.</w:t>
      </w:r>
    </w:p>
    <w:p w:rsidR="00620FEB" w:rsidRDefault="00620FEB" w:rsidP="00620FEB"/>
    <w:p w:rsidR="00620FEB" w:rsidRDefault="00620FEB" w:rsidP="00620FEB"/>
    <w:p w:rsidR="00CF0730" w:rsidRDefault="00CF0730" w:rsidP="00620FEB"/>
    <w:p w:rsidR="00620FEB" w:rsidRDefault="00620FEB" w:rsidP="008739FC">
      <w:pPr>
        <w:pStyle w:val="AnnexNoTitle"/>
      </w:pPr>
      <w:r>
        <w:t>Annexe 1</w:t>
      </w:r>
      <w:r>
        <w:br/>
      </w:r>
      <w:r>
        <w:br/>
        <w:t>Pratique RP 210.13-2012 recommandée par la SMPTE</w:t>
      </w:r>
    </w:p>
    <w:p w:rsidR="00620FEB" w:rsidRDefault="00620FEB" w:rsidP="00620FEB">
      <w:pPr>
        <w:pStyle w:val="Title1"/>
      </w:pPr>
      <w:r>
        <w:t>Registre des dEscriptions d'éléments de métadonnées du dictionnaire des métadonnées</w:t>
      </w:r>
    </w:p>
    <w:p w:rsidR="00620FEB" w:rsidRDefault="00620FEB" w:rsidP="00620FEB">
      <w:pPr>
        <w:rPr>
          <w:sz w:val="8"/>
        </w:rPr>
      </w:pPr>
    </w:p>
    <w:p w:rsidR="00620FEB" w:rsidRDefault="00620FEB" w:rsidP="00620FEB">
      <w:pPr>
        <w:pStyle w:val="Headingb"/>
      </w:pPr>
      <w:r>
        <w:t>Résumé de la pratique RP 210.13-2012 recommandée par la SMPTE: Registre des métadonnées du dictionnaire des métadonnées</w:t>
      </w:r>
    </w:p>
    <w:p w:rsidR="00620FEB" w:rsidRDefault="00620FEB" w:rsidP="00620FEB">
      <w:r>
        <w:t>Cette pratique concernant le contenu du dictionnaire des métadonnées définit un registre de descriptions d'éléments de métadonnées à associer au contenu essentiel ou à d'autres métadonnées. Une explication complète est donnée dans la Norme SMPTE ST 335-2012. La structure du dictionnaire des métadonnées définie dans la Norme SMPTE ST 335-2012 couvre l'utilisation des métadonnées pour tout type de contenu essentiel (vidéo, audio et données présentées sous diverses formes). La pratique recommandée précise que toute application doit être conforme:</w:t>
      </w:r>
    </w:p>
    <w:p w:rsidR="00620FEB" w:rsidRDefault="00620FEB" w:rsidP="00620FEB">
      <w:pPr>
        <w:pStyle w:val="enumlev1"/>
      </w:pPr>
      <w:r>
        <w:t>a)</w:t>
      </w:r>
      <w:r>
        <w:tab/>
        <w:t>aux définitions et formats spécifiés dans la Norme SMPTE ST 335-2012;</w:t>
      </w:r>
    </w:p>
    <w:p w:rsidR="00620FEB" w:rsidRDefault="00620FEB" w:rsidP="00620FEB">
      <w:pPr>
        <w:pStyle w:val="enumlev1"/>
      </w:pPr>
      <w:r>
        <w:t>b)</w:t>
      </w:r>
      <w:r>
        <w:tab/>
        <w:t>à la pratique concernant le contenu du dictionnaire des métadonnées.</w:t>
      </w:r>
    </w:p>
    <w:p w:rsidR="00620FEB" w:rsidRDefault="00620FEB" w:rsidP="00620FEB">
      <w:r>
        <w:t>Cette Norme SMPTE ST 335 et cette pratique doivent obligatoirement être utilisées conjointement. Cette pratique inclut une représentation du contenu du registre du dictionnaire des métadonnées de la SMPTE au format tableur; d'autres représentations seront proposées comme indiqué dans la Norme SMPTE ST 335-2012.</w:t>
      </w:r>
    </w:p>
    <w:p w:rsidR="00620FEB" w:rsidRPr="008B1E01" w:rsidRDefault="00620FEB" w:rsidP="008739FC">
      <w:pPr>
        <w:pStyle w:val="AnnexNoTitle"/>
      </w:pPr>
      <w:r>
        <w:lastRenderedPageBreak/>
        <w:t>Pièce jointe 1</w:t>
      </w:r>
      <w:r>
        <w:br/>
        <w:t>à l'Annexe 1</w:t>
      </w:r>
      <w:r>
        <w:br/>
      </w:r>
    </w:p>
    <w:p w:rsidR="00620FEB" w:rsidRDefault="00620FEB" w:rsidP="00CF0730">
      <w:pPr>
        <w:jc w:val="center"/>
        <w:rPr>
          <w:b/>
          <w:lang w:val="en-US"/>
        </w:rPr>
      </w:pPr>
      <w:r w:rsidRPr="00187C76">
        <w:rPr>
          <w:lang w:val="en-US"/>
        </w:rPr>
        <w:object w:dxaOrig="1544"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7pt" o:ole="">
            <v:imagedata r:id="rId13" o:title=""/>
          </v:shape>
          <o:OLEObject Type="Embed" ProgID="Package" ShapeID="_x0000_i1025" DrawAspect="Icon" ObjectID="_1525601551" r:id="rId14"/>
        </w:object>
      </w:r>
    </w:p>
    <w:p w:rsidR="00620FEB" w:rsidRDefault="00620FEB" w:rsidP="00620FEB">
      <w:pPr>
        <w:rPr>
          <w:lang w:val="en-US"/>
        </w:rPr>
      </w:pPr>
    </w:p>
    <w:p w:rsidR="00620FEB" w:rsidRDefault="00620FEB" w:rsidP="00620FEB">
      <w:pPr>
        <w:rPr>
          <w:lang w:val="en-US"/>
        </w:rPr>
      </w:pPr>
    </w:p>
    <w:p w:rsidR="00CF0730" w:rsidRPr="006479BA" w:rsidRDefault="00CF0730" w:rsidP="00620FEB">
      <w:pPr>
        <w:rPr>
          <w:lang w:val="en-US"/>
        </w:rPr>
      </w:pPr>
    </w:p>
    <w:p w:rsidR="00620FEB" w:rsidRDefault="00620FEB" w:rsidP="008739FC">
      <w:pPr>
        <w:pStyle w:val="AnnexNoTitle"/>
      </w:pPr>
      <w:r w:rsidRPr="008B1E01">
        <w:t>Annexe 2</w:t>
      </w:r>
      <w:r w:rsidR="00CF0730">
        <w:br/>
      </w:r>
      <w:r w:rsidR="00CF0730">
        <w:br/>
      </w:r>
      <w:r>
        <w:t>SMPTE ST 335-2012</w:t>
      </w:r>
    </w:p>
    <w:p w:rsidR="00620FEB" w:rsidRDefault="00620FEB" w:rsidP="00620FEB">
      <w:pPr>
        <w:pStyle w:val="Title1"/>
      </w:pPr>
      <w:r>
        <w:t>TéLéVISION – STRUCTURE DU DICTIONNAIRE DES MéTADONNéES</w:t>
      </w:r>
    </w:p>
    <w:p w:rsidR="00620FEB" w:rsidRDefault="00620FEB" w:rsidP="00620FEB">
      <w:pPr>
        <w:tabs>
          <w:tab w:val="left" w:pos="7513"/>
        </w:tabs>
        <w:spacing w:before="0"/>
        <w:rPr>
          <w:sz w:val="8"/>
        </w:rPr>
      </w:pPr>
    </w:p>
    <w:p w:rsidR="00620FEB" w:rsidRDefault="00620FEB" w:rsidP="00620FEB">
      <w:pPr>
        <w:pStyle w:val="Headingb"/>
      </w:pPr>
      <w:r>
        <w:t>Résumé de la Norme SMPTE ST 335-2012: Télévision – structure du dictionnaire des métadonnées</w:t>
      </w:r>
    </w:p>
    <w:p w:rsidR="00620FEB" w:rsidRDefault="00620FEB" w:rsidP="00620FEB">
      <w:r>
        <w:t>La structure du dictionnaire des métadonnées définie dans cette Norme couvre l'utilisation des métadonnées pour tout type de contenu essentiel (vidéo, audio et données présentés sous diverses formes). Les applications des différentes entrées du dictionnaire varieront mais, lorsqu'elles seront utilisées, les métadonnées devront être conformes aux définitions et aux formats spécifiés dans cette Norme relative à la structure du dictionnaire des métadonnées et conformes à la pratique recommandée associée du dictionnaire des métadonnées (SMPTE RP 210.13-2012). Cette pratique définit un ensemble agréé de descriptions d'éléments de métadonnées à associer au contenu essentiel ou à d'autres métadonnées; cette Norme ainsi que la pratique applicable au contenu doivent obligatoirement être utilisées conjointement.</w:t>
      </w:r>
    </w:p>
    <w:p w:rsidR="00620FEB" w:rsidRDefault="00620FEB" w:rsidP="00620FEB"/>
    <w:p w:rsidR="00620FEB" w:rsidRDefault="00620FEB" w:rsidP="008739FC">
      <w:pPr>
        <w:pStyle w:val="AnnexNoTitle"/>
      </w:pPr>
      <w:r>
        <w:t>Pièce jointe 1</w:t>
      </w:r>
      <w:r>
        <w:br/>
        <w:t>à l'Annexe 2</w:t>
      </w:r>
      <w:r w:rsidR="00CF0730">
        <w:br/>
      </w:r>
    </w:p>
    <w:p w:rsidR="00620FEB" w:rsidRDefault="00620FEB" w:rsidP="00620FEB">
      <w:pPr>
        <w:jc w:val="center"/>
      </w:pPr>
      <w:r w:rsidRPr="00187C76">
        <w:rPr>
          <w:lang w:val="en-US"/>
        </w:rPr>
        <w:object w:dxaOrig="1544" w:dyaOrig="999">
          <v:shape id="_x0000_i1026" type="#_x0000_t75" style="width:77.15pt;height:49.7pt" o:ole="">
            <v:imagedata r:id="rId15" o:title=""/>
          </v:shape>
          <o:OLEObject Type="Embed" ProgID="AcroExch.Document.7" ShapeID="_x0000_i1026" DrawAspect="Icon" ObjectID="_1525601552" r:id="rId16"/>
        </w:object>
      </w:r>
    </w:p>
    <w:p w:rsidR="00A6617B" w:rsidRDefault="00A6617B" w:rsidP="00242AEE">
      <w:pPr>
        <w:pStyle w:val="HeadingSum"/>
      </w:pPr>
    </w:p>
    <w:p w:rsidR="00E6000A" w:rsidRPr="00E6000A" w:rsidRDefault="00E6000A" w:rsidP="00E6000A">
      <w:pPr>
        <w:jc w:val="center"/>
        <w:rPr>
          <w:lang w:val="es-ES_tradnl"/>
        </w:rPr>
      </w:pPr>
      <w:r>
        <w:rPr>
          <w:lang w:val="es-ES_tradnl"/>
        </w:rPr>
        <w:t>________________</w:t>
      </w:r>
    </w:p>
    <w:sectPr w:rsidR="00E6000A" w:rsidRPr="00E6000A" w:rsidSect="00620FEB">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269" w:rsidRDefault="00411269">
      <w:r>
        <w:separator/>
      </w:r>
    </w:p>
  </w:endnote>
  <w:endnote w:type="continuationSeparator" w:id="0">
    <w:p w:rsidR="00411269" w:rsidRDefault="00411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269" w:rsidRDefault="00411269">
      <w:r>
        <w:separator/>
      </w:r>
    </w:p>
  </w:footnote>
  <w:footnote w:type="continuationSeparator" w:id="0">
    <w:p w:rsidR="00411269" w:rsidRDefault="004112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269" w:rsidRDefault="0041126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269" w:rsidRDefault="00411269" w:rsidP="0014322C">
    <w:pPr>
      <w:pStyle w:val="Header"/>
      <w:ind w:right="360" w:firstLine="360"/>
    </w:pPr>
    <w:r>
      <w:rPr>
        <w:noProof/>
        <w:lang w:val="en-US" w:eastAsia="zh-CN"/>
      </w:rPr>
      <w:drawing>
        <wp:anchor distT="0" distB="0" distL="114300" distR="114300" simplePos="0" relativeHeight="251659264" behindDoc="1" locked="0" layoutInCell="1" allowOverlap="1" wp14:anchorId="5D154A8F" wp14:editId="14DA436B">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269" w:rsidRPr="00DC03C4" w:rsidRDefault="00411269">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735318">
      <w:rPr>
        <w:rStyle w:val="PageNumber"/>
        <w:b/>
        <w:bCs/>
        <w:noProof/>
        <w:lang w:val="fr-CH"/>
      </w:rPr>
      <w:t>ii</w:t>
    </w:r>
    <w:r>
      <w:rPr>
        <w:rStyle w:val="PageNumber"/>
        <w:b/>
        <w:bCs/>
      </w:rPr>
      <w:fldChar w:fldCharType="end"/>
    </w:r>
    <w:r w:rsidRPr="00DC03C4">
      <w:rPr>
        <w:lang w:val="fr-CH"/>
      </w:rPr>
      <w:tab/>
    </w:r>
    <w:r w:rsidR="00735318">
      <w:fldChar w:fldCharType="begin"/>
    </w:r>
    <w:r w:rsidR="00735318">
      <w:instrText xml:space="preserve"> DOCPROPERTY "Header" \* MERGEFORMAT </w:instrText>
    </w:r>
    <w:r w:rsidR="00735318">
      <w:fldChar w:fldCharType="separate"/>
    </w:r>
    <w:r w:rsidR="00735318" w:rsidRPr="00735318">
      <w:rPr>
        <w:b/>
        <w:bCs/>
        <w:lang w:val="fr-CH"/>
      </w:rPr>
      <w:t xml:space="preserve">Rec. </w:t>
    </w:r>
    <w:r w:rsidR="00735318">
      <w:rPr>
        <w:b/>
        <w:bCs/>
        <w:lang w:val="fr-CH"/>
      </w:rPr>
      <w:fldChar w:fldCharType="end"/>
    </w:r>
    <w:r>
      <w:rPr>
        <w:b/>
        <w:bCs/>
      </w:rPr>
      <w:t xml:space="preserve"> </w:t>
    </w:r>
    <w:r>
      <w:rPr>
        <w:b/>
        <w:bCs/>
      </w:rPr>
      <w:fldChar w:fldCharType="begin"/>
    </w:r>
    <w:r w:rsidRPr="00DC03C4">
      <w:rPr>
        <w:b/>
        <w:bCs/>
        <w:lang w:val="fr-CH"/>
      </w:rPr>
      <w:instrText>styleref href</w:instrText>
    </w:r>
    <w:r>
      <w:rPr>
        <w:b/>
        <w:bCs/>
      </w:rPr>
      <w:fldChar w:fldCharType="separate"/>
    </w:r>
    <w:r w:rsidR="00735318">
      <w:rPr>
        <w:b/>
        <w:bCs/>
        <w:noProof/>
      </w:rPr>
      <w:t>UIT-R  BT.1674-1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269" w:rsidRDefault="00411269">
    <w:pPr>
      <w:pStyle w:val="Header"/>
    </w:pPr>
    <w:r>
      <w:tab/>
    </w:r>
    <w:r w:rsidR="00735318">
      <w:fldChar w:fldCharType="begin"/>
    </w:r>
    <w:r w:rsidR="00735318">
      <w:instrText xml:space="preserve"> DOCPROPERTY "Header" \* MERGEFORMAT </w:instrText>
    </w:r>
    <w:r w:rsidR="00735318">
      <w:fldChar w:fldCharType="separate"/>
    </w:r>
    <w:r w:rsidR="00735318" w:rsidRPr="00735318">
      <w:rPr>
        <w:b/>
        <w:bCs/>
      </w:rPr>
      <w:t xml:space="preserve">Rec. </w:t>
    </w:r>
    <w:r w:rsidR="00735318">
      <w:rPr>
        <w:b/>
        <w:bCs/>
      </w:rPr>
      <w:fldChar w:fldCharType="end"/>
    </w:r>
    <w:r>
      <w:rPr>
        <w:b/>
        <w:bCs/>
      </w:rPr>
      <w:t xml:space="preserve"> </w:t>
    </w:r>
    <w:r>
      <w:rPr>
        <w:b/>
        <w:bCs/>
      </w:rPr>
      <w:fldChar w:fldCharType="begin"/>
    </w:r>
    <w:r>
      <w:rPr>
        <w:b/>
        <w:bCs/>
      </w:rPr>
      <w:instrText>styleref href</w:instrText>
    </w:r>
    <w:r>
      <w:rPr>
        <w:b/>
        <w:bCs/>
      </w:rPr>
      <w:fldChar w:fldCharType="separate"/>
    </w:r>
    <w:r w:rsidR="00735318">
      <w:rPr>
        <w:b/>
        <w:bCs/>
        <w:noProof/>
      </w:rPr>
      <w:t>UIT-R  BT.1674-1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35318">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35318" w:rsidRPr="0073531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35318">
      <w:rPr>
        <w:b/>
        <w:bCs/>
        <w:noProof/>
      </w:rPr>
      <w:t>UIT-R  BT.1674-1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735318">
      <w:fldChar w:fldCharType="begin"/>
    </w:r>
    <w:r w:rsidR="00735318">
      <w:instrText xml:space="preserve"> DOCPROPERTY "Header" \* MERGEFORMAT </w:instrText>
    </w:r>
    <w:r w:rsidR="00735318">
      <w:fldChar w:fldCharType="separate"/>
    </w:r>
    <w:r w:rsidR="00735318" w:rsidRPr="00735318">
      <w:rPr>
        <w:b/>
        <w:bCs/>
      </w:rPr>
      <w:t xml:space="preserve">Rec. </w:t>
    </w:r>
    <w:r w:rsidR="00735318">
      <w:rPr>
        <w:b/>
        <w:bCs/>
      </w:rPr>
      <w:fldChar w:fldCharType="end"/>
    </w:r>
    <w:r>
      <w:rPr>
        <w:b/>
        <w:bCs/>
      </w:rPr>
      <w:t xml:space="preserve"> </w:t>
    </w:r>
    <w:r>
      <w:rPr>
        <w:b/>
        <w:bCs/>
      </w:rPr>
      <w:fldChar w:fldCharType="begin"/>
    </w:r>
    <w:r>
      <w:rPr>
        <w:b/>
        <w:bCs/>
      </w:rPr>
      <w:instrText>styleref href</w:instrText>
    </w:r>
    <w:r>
      <w:rPr>
        <w:b/>
        <w:bCs/>
      </w:rPr>
      <w:fldChar w:fldCharType="separate"/>
    </w:r>
    <w:r w:rsidR="00735318">
      <w:rPr>
        <w:b/>
        <w:bCs/>
        <w:noProof/>
      </w:rPr>
      <w:t>UIT-R  BT.1674-1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35318">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269"/>
    <w:rsid w:val="00217EBF"/>
    <w:rsid w:val="00242AEE"/>
    <w:rsid w:val="002D76C4"/>
    <w:rsid w:val="00411269"/>
    <w:rsid w:val="0052529D"/>
    <w:rsid w:val="00607D68"/>
    <w:rsid w:val="00620FEB"/>
    <w:rsid w:val="00735318"/>
    <w:rsid w:val="007468DA"/>
    <w:rsid w:val="008739FC"/>
    <w:rsid w:val="009E00A8"/>
    <w:rsid w:val="00A6617B"/>
    <w:rsid w:val="00AA3F28"/>
    <w:rsid w:val="00AB0DC8"/>
    <w:rsid w:val="00B44E24"/>
    <w:rsid w:val="00CE3B44"/>
    <w:rsid w:val="00CF0730"/>
    <w:rsid w:val="00DF4176"/>
    <w:rsid w:val="00E600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DD772FCC-97B3-4BA7-86FA-2AE801B96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26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8739FC"/>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11269"/>
    <w:rPr>
      <w:color w:val="0000FF"/>
      <w:u w:val="single"/>
    </w:rPr>
  </w:style>
  <w:style w:type="paragraph" w:customStyle="1" w:styleId="Title1">
    <w:name w:val="Title 1"/>
    <w:basedOn w:val="Normal"/>
    <w:next w:val="Normal"/>
    <w:rsid w:val="00620FEB"/>
    <w:pPr>
      <w:tabs>
        <w:tab w:val="left" w:pos="567"/>
        <w:tab w:val="left" w:pos="1701"/>
        <w:tab w:val="left" w:pos="2835"/>
      </w:tabs>
      <w:spacing w:before="240"/>
      <w:jc w:val="center"/>
    </w:pPr>
    <w:rPr>
      <w:cap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image" Target="media/image2.emf"/><Relationship Id="rId18"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www.smpte.org/" TargetMode="External"/><Relationship Id="rId17"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image" Target="media/image3.emf"/><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35</TotalTime>
  <Pages>5</Pages>
  <Words>1296</Words>
  <Characters>7845</Characters>
  <Application>Microsoft Office Word</Application>
  <DocSecurity>0</DocSecurity>
  <Lines>341</Lines>
  <Paragraphs>97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Brice, Corinne</cp:lastModifiedBy>
  <cp:revision>8</cp:revision>
  <cp:lastPrinted>2016-05-24T11:21:00Z</cp:lastPrinted>
  <dcterms:created xsi:type="dcterms:W3CDTF">2016-05-24T09:19:00Z</dcterms:created>
  <dcterms:modified xsi:type="dcterms:W3CDTF">2016-05-24T11:24:00Z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