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F2F5" w14:textId="77777777" w:rsidR="00EF5660" w:rsidRPr="006D1F4D" w:rsidRDefault="00EF5660" w:rsidP="00EF5660">
      <w:pPr>
        <w:rPr>
          <w:lang w:val="fr-FR"/>
        </w:rPr>
      </w:pPr>
    </w:p>
    <w:p w14:paraId="7CDB7CF1" w14:textId="77777777" w:rsidR="00EF5660" w:rsidRPr="006D1F4D" w:rsidRDefault="00EF5660" w:rsidP="00EF5660">
      <w:pPr>
        <w:tabs>
          <w:tab w:val="clear" w:pos="794"/>
          <w:tab w:val="clear" w:pos="1191"/>
          <w:tab w:val="clear" w:pos="1588"/>
          <w:tab w:val="clear" w:pos="1985"/>
        </w:tabs>
        <w:rPr>
          <w:lang w:val="fr-FR"/>
        </w:rPr>
      </w:pPr>
    </w:p>
    <w:p w14:paraId="0B551587" w14:textId="0E479813" w:rsidR="00EF5660" w:rsidRPr="006D1F4D" w:rsidRDefault="00EF5660" w:rsidP="00923F4A">
      <w:pPr>
        <w:pStyle w:val="CoverNumber"/>
        <w:ind w:left="0"/>
        <w:rPr>
          <w:lang w:val="fr-FR"/>
        </w:rPr>
      </w:pPr>
      <w:r w:rsidRPr="006D1F4D">
        <w:rPr>
          <w:lang w:val="fr-FR"/>
        </w:rPr>
        <w:t>Recommandation UIT-R BT.</w:t>
      </w:r>
      <w:r w:rsidR="00401733" w:rsidRPr="006D1F4D">
        <w:rPr>
          <w:lang w:val="fr-FR"/>
        </w:rPr>
        <w:t>166</w:t>
      </w:r>
      <w:r w:rsidR="00381F24" w:rsidRPr="006D1F4D">
        <w:rPr>
          <w:lang w:val="fr-FR"/>
        </w:rPr>
        <w:t>6</w:t>
      </w:r>
      <w:r w:rsidR="00F11690" w:rsidRPr="006D1F4D">
        <w:rPr>
          <w:lang w:val="fr-FR"/>
        </w:rPr>
        <w:t>-1</w:t>
      </w:r>
    </w:p>
    <w:p w14:paraId="5A2785C7" w14:textId="6D68D527" w:rsidR="00EF5660" w:rsidRPr="006D1F4D" w:rsidRDefault="00EF5660" w:rsidP="00923F4A">
      <w:pPr>
        <w:pStyle w:val="CoverDate"/>
        <w:ind w:left="0"/>
        <w:rPr>
          <w:lang w:val="fr-FR"/>
        </w:rPr>
      </w:pPr>
      <w:r w:rsidRPr="006D1F4D">
        <w:rPr>
          <w:lang w:val="fr-FR"/>
        </w:rPr>
        <w:t>(</w:t>
      </w:r>
      <w:r w:rsidR="00F11690" w:rsidRPr="006D1F4D">
        <w:rPr>
          <w:lang w:val="fr-FR"/>
        </w:rPr>
        <w:t>0</w:t>
      </w:r>
      <w:r w:rsidR="00401733" w:rsidRPr="006D1F4D">
        <w:rPr>
          <w:lang w:val="fr-FR"/>
        </w:rPr>
        <w:t>2</w:t>
      </w:r>
      <w:r w:rsidRPr="006D1F4D">
        <w:rPr>
          <w:lang w:val="fr-FR"/>
        </w:rPr>
        <w:t>/</w:t>
      </w:r>
      <w:r w:rsidR="00F11690" w:rsidRPr="006D1F4D">
        <w:rPr>
          <w:lang w:val="fr-FR"/>
        </w:rPr>
        <w:t>2025</w:t>
      </w:r>
      <w:r w:rsidRPr="006D1F4D">
        <w:rPr>
          <w:lang w:val="fr-FR"/>
        </w:rPr>
        <w:t>)</w:t>
      </w:r>
    </w:p>
    <w:p w14:paraId="394403CD" w14:textId="77777777" w:rsidR="00EF5660" w:rsidRPr="006D1F4D" w:rsidRDefault="00EF5660" w:rsidP="00923F4A">
      <w:pPr>
        <w:pStyle w:val="CoverSeries"/>
        <w:ind w:left="0"/>
        <w:rPr>
          <w:lang w:val="fr-FR"/>
        </w:rPr>
      </w:pPr>
      <w:r w:rsidRPr="006D1F4D">
        <w:rPr>
          <w:lang w:val="fr-FR"/>
        </w:rPr>
        <w:t xml:space="preserve">Série </w:t>
      </w:r>
      <w:proofErr w:type="gramStart"/>
      <w:r w:rsidRPr="006D1F4D">
        <w:rPr>
          <w:lang w:val="fr-FR"/>
        </w:rPr>
        <w:t>BT:</w:t>
      </w:r>
      <w:proofErr w:type="gramEnd"/>
      <w:r w:rsidRPr="006D1F4D">
        <w:rPr>
          <w:lang w:val="fr-FR"/>
        </w:rPr>
        <w:t xml:space="preserve"> Service de radiodiffusion télévisuelle</w:t>
      </w:r>
    </w:p>
    <w:p w14:paraId="72D19F4F" w14:textId="6D792595" w:rsidR="00EF5660" w:rsidRPr="006D1F4D" w:rsidRDefault="00F51AF4" w:rsidP="00ED2DB0">
      <w:pPr>
        <w:spacing w:before="240"/>
        <w:jc w:val="left"/>
        <w:rPr>
          <w:rFonts w:ascii="Arial" w:eastAsia="AvenirNext LT Pro Regular" w:hAnsi="Arial" w:cs="AvenirNext LT Pro Regular"/>
          <w:b/>
          <w:bCs/>
          <w:sz w:val="44"/>
          <w:szCs w:val="48"/>
          <w:lang w:val="fr-FR"/>
        </w:rPr>
      </w:pPr>
      <w:r w:rsidRPr="006D1F4D">
        <w:rPr>
          <w:rFonts w:ascii="Arial" w:eastAsia="AvenirNext LT Pro Regular" w:hAnsi="Arial" w:cs="AvenirNext LT Pro Regular"/>
          <w:b/>
          <w:bCs/>
          <w:sz w:val="44"/>
          <w:szCs w:val="48"/>
          <w:lang w:val="fr-FR"/>
        </w:rPr>
        <w:t>Applications télévisuelles pour projection en salle de cinéma – Spécifications d'utilisateur</w:t>
      </w:r>
    </w:p>
    <w:p w14:paraId="1D2195B0" w14:textId="77777777" w:rsidR="00923F4A" w:rsidRPr="006D1F4D" w:rsidRDefault="00923F4A" w:rsidP="00F51AF4">
      <w:pPr>
        <w:rPr>
          <w:lang w:val="fr-FR"/>
        </w:rPr>
      </w:pPr>
    </w:p>
    <w:p w14:paraId="6ED990C2" w14:textId="77777777" w:rsidR="00EF5660" w:rsidRPr="006D1F4D" w:rsidRDefault="00EF5660" w:rsidP="00EF5660">
      <w:pPr>
        <w:rPr>
          <w:lang w:val="fr-FR"/>
        </w:rPr>
        <w:sectPr w:rsidR="00EF5660" w:rsidRPr="006D1F4D" w:rsidSect="00EF5660">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2B935472" w14:textId="77777777" w:rsidR="00EF5660" w:rsidRPr="006D1F4D" w:rsidRDefault="00EF5660" w:rsidP="00EF566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0" w:name="c2tope"/>
      <w:bookmarkEnd w:id="0"/>
      <w:r w:rsidRPr="006D1F4D">
        <w:rPr>
          <w:bCs/>
          <w:sz w:val="24"/>
          <w:szCs w:val="24"/>
          <w:lang w:val="fr-FR"/>
        </w:rPr>
        <w:lastRenderedPageBreak/>
        <w:t>Avant-propos</w:t>
      </w:r>
    </w:p>
    <w:p w14:paraId="4E1B5787" w14:textId="4B1CA570" w:rsidR="00EF5660" w:rsidRPr="006D1F4D" w:rsidRDefault="00EF5660" w:rsidP="00EF5660">
      <w:pPr>
        <w:spacing w:before="240"/>
        <w:rPr>
          <w:sz w:val="20"/>
          <w:lang w:val="fr-FR"/>
        </w:rPr>
      </w:pPr>
      <w:r w:rsidRPr="006D1F4D">
        <w:rPr>
          <w:sz w:val="20"/>
          <w:lang w:val="fr-FR"/>
        </w:rPr>
        <w:t>Le rôle du Secteur des radiocommunications est d</w:t>
      </w:r>
      <w:r w:rsidR="00F11690" w:rsidRPr="006D1F4D">
        <w:rPr>
          <w:sz w:val="20"/>
          <w:lang w:val="fr-FR"/>
        </w:rPr>
        <w:t>'</w:t>
      </w:r>
      <w:r w:rsidRPr="006D1F4D">
        <w:rPr>
          <w:sz w:val="20"/>
          <w:lang w:val="fr-FR"/>
        </w:rPr>
        <w:t>assurer l</w:t>
      </w:r>
      <w:r w:rsidR="00F11690" w:rsidRPr="006D1F4D">
        <w:rPr>
          <w:sz w:val="20"/>
          <w:lang w:val="fr-FR"/>
        </w:rPr>
        <w:t>'</w:t>
      </w:r>
      <w:r w:rsidRPr="006D1F4D">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09F9C624" w14:textId="16702602" w:rsidR="00EF5660" w:rsidRPr="006D1F4D" w:rsidRDefault="00EF5660" w:rsidP="00EF5660">
      <w:pPr>
        <w:rPr>
          <w:sz w:val="20"/>
          <w:lang w:val="fr-FR"/>
        </w:rPr>
      </w:pPr>
      <w:r w:rsidRPr="006D1F4D">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F11690" w:rsidRPr="006D1F4D">
        <w:rPr>
          <w:sz w:val="20"/>
          <w:lang w:val="fr-FR"/>
        </w:rPr>
        <w:t>'</w:t>
      </w:r>
      <w:r w:rsidRPr="006D1F4D">
        <w:rPr>
          <w:sz w:val="20"/>
          <w:lang w:val="fr-FR"/>
        </w:rPr>
        <w:t>études.</w:t>
      </w:r>
    </w:p>
    <w:p w14:paraId="4E32FC5D" w14:textId="77777777" w:rsidR="00EF5660" w:rsidRPr="006D1F4D" w:rsidRDefault="00EF5660" w:rsidP="00EF5660">
      <w:pPr>
        <w:pStyle w:val="Heading1"/>
        <w:spacing w:before="360"/>
        <w:jc w:val="center"/>
        <w:rPr>
          <w:szCs w:val="24"/>
          <w:lang w:val="fr-FR"/>
        </w:rPr>
      </w:pPr>
      <w:r w:rsidRPr="006D1F4D">
        <w:rPr>
          <w:szCs w:val="24"/>
          <w:lang w:val="fr-FR"/>
        </w:rPr>
        <w:t>Politique en matière de droits de propriété intellectuelle (IPR)</w:t>
      </w:r>
    </w:p>
    <w:p w14:paraId="150858D9" w14:textId="3618CCE9" w:rsidR="00EF5660" w:rsidRPr="006D1F4D" w:rsidRDefault="00EF5660" w:rsidP="00EF5660">
      <w:pPr>
        <w:spacing w:before="240"/>
        <w:rPr>
          <w:sz w:val="20"/>
          <w:lang w:val="fr-FR"/>
        </w:rPr>
      </w:pPr>
      <w:r w:rsidRPr="006D1F4D">
        <w:rPr>
          <w:sz w:val="20"/>
          <w:lang w:val="fr-FR"/>
        </w:rPr>
        <w:t>La politique de l</w:t>
      </w:r>
      <w:r w:rsidR="00F11690" w:rsidRPr="006D1F4D">
        <w:rPr>
          <w:sz w:val="20"/>
          <w:lang w:val="fr-FR"/>
        </w:rPr>
        <w:t>'</w:t>
      </w:r>
      <w:r w:rsidRPr="006D1F4D">
        <w:rPr>
          <w:sz w:val="20"/>
          <w:lang w:val="fr-FR"/>
        </w:rPr>
        <w:t>UIT</w:t>
      </w:r>
      <w:r w:rsidRPr="006D1F4D">
        <w:rPr>
          <w:sz w:val="20"/>
          <w:lang w:val="fr-FR"/>
        </w:rPr>
        <w:noBreakHyphen/>
        <w:t>R en matière de droits de propriété intellectuelle est décrite dans la</w:t>
      </w:r>
      <w:proofErr w:type="gramStart"/>
      <w:r w:rsidRPr="006D1F4D">
        <w:rPr>
          <w:sz w:val="20"/>
          <w:lang w:val="fr-FR"/>
        </w:rPr>
        <w:t xml:space="preserve"> «Politique</w:t>
      </w:r>
      <w:proofErr w:type="gramEnd"/>
      <w:r w:rsidRPr="006D1F4D">
        <w:rPr>
          <w:sz w:val="20"/>
          <w:lang w:val="fr-FR"/>
        </w:rPr>
        <w:t xml:space="preserve"> commune de l</w:t>
      </w:r>
      <w:r w:rsidR="00F11690" w:rsidRPr="006D1F4D">
        <w:rPr>
          <w:sz w:val="20"/>
          <w:lang w:val="fr-FR"/>
        </w:rPr>
        <w:t>'</w:t>
      </w:r>
      <w:r w:rsidRPr="006D1F4D">
        <w:rPr>
          <w:sz w:val="20"/>
          <w:lang w:val="fr-FR"/>
        </w:rPr>
        <w:t>UIT</w:t>
      </w:r>
      <w:r w:rsidRPr="006D1F4D">
        <w:rPr>
          <w:sz w:val="20"/>
          <w:lang w:val="fr-FR"/>
        </w:rPr>
        <w:noBreakHyphen/>
        <w:t>T, l</w:t>
      </w:r>
      <w:r w:rsidR="00F11690" w:rsidRPr="006D1F4D">
        <w:rPr>
          <w:sz w:val="20"/>
          <w:lang w:val="fr-FR"/>
        </w:rPr>
        <w:t>'</w:t>
      </w:r>
      <w:r w:rsidRPr="006D1F4D">
        <w:rPr>
          <w:sz w:val="20"/>
          <w:lang w:val="fr-FR"/>
        </w:rPr>
        <w:t>UIT</w:t>
      </w:r>
      <w:r w:rsidRPr="006D1F4D">
        <w:rPr>
          <w:sz w:val="20"/>
          <w:lang w:val="fr-FR"/>
        </w:rPr>
        <w:noBreakHyphen/>
        <w:t>R, l</w:t>
      </w:r>
      <w:r w:rsidR="00F11690" w:rsidRPr="006D1F4D">
        <w:rPr>
          <w:sz w:val="20"/>
          <w:lang w:val="fr-FR"/>
        </w:rPr>
        <w:t>'</w:t>
      </w:r>
      <w:r w:rsidRPr="006D1F4D">
        <w:rPr>
          <w:sz w:val="20"/>
          <w:lang w:val="fr-FR"/>
        </w:rPr>
        <w:t xml:space="preserve">ISO et la CEI en matière de </w:t>
      </w:r>
      <w:proofErr w:type="gramStart"/>
      <w:r w:rsidRPr="006D1F4D">
        <w:rPr>
          <w:sz w:val="20"/>
          <w:lang w:val="fr-FR"/>
        </w:rPr>
        <w:t>brevets»</w:t>
      </w:r>
      <w:proofErr w:type="gramEnd"/>
      <w:r w:rsidRPr="006D1F4D">
        <w:rPr>
          <w:sz w:val="20"/>
          <w:lang w:val="fr-FR"/>
        </w:rPr>
        <w:t>, dont il est question dans la Résolution UIT-R 1. Les formulaires que les titulaires de brevets doivent utiliser pour soumettre les déclarations de brevet et d</w:t>
      </w:r>
      <w:r w:rsidR="00F11690" w:rsidRPr="006D1F4D">
        <w:rPr>
          <w:sz w:val="20"/>
          <w:lang w:val="fr-FR"/>
        </w:rPr>
        <w:t>'</w:t>
      </w:r>
      <w:r w:rsidRPr="006D1F4D">
        <w:rPr>
          <w:sz w:val="20"/>
          <w:lang w:val="fr-FR"/>
        </w:rPr>
        <w:t>octroi de licence sont accessibles à l</w:t>
      </w:r>
      <w:r w:rsidR="00F11690" w:rsidRPr="006D1F4D">
        <w:rPr>
          <w:sz w:val="20"/>
          <w:lang w:val="fr-FR"/>
        </w:rPr>
        <w:t>'</w:t>
      </w:r>
      <w:r w:rsidRPr="006D1F4D">
        <w:rPr>
          <w:sz w:val="20"/>
          <w:lang w:val="fr-FR"/>
        </w:rPr>
        <w:t xml:space="preserve">adresse </w:t>
      </w:r>
      <w:r w:rsidR="00962802">
        <w:fldChar w:fldCharType="begin"/>
      </w:r>
      <w:r w:rsidR="00962802" w:rsidRPr="00EB1FFF">
        <w:rPr>
          <w:lang w:val="fr-CH"/>
        </w:rPr>
        <w:instrText>HYPERLINK "https://www.itu.int/ITU-R/go/patents/en"</w:instrText>
      </w:r>
      <w:r w:rsidR="00962802">
        <w:fldChar w:fldCharType="separate"/>
      </w:r>
      <w:r w:rsidR="00962802" w:rsidRPr="006D1F4D">
        <w:rPr>
          <w:rStyle w:val="Hyperlink"/>
          <w:sz w:val="20"/>
          <w:lang w:val="fr-FR"/>
        </w:rPr>
        <w:t>https://www.itu.int/ITU-R/go/patents/en</w:t>
      </w:r>
      <w:r w:rsidR="00962802">
        <w:fldChar w:fldCharType="end"/>
      </w:r>
      <w:r w:rsidRPr="006D1F4D">
        <w:rPr>
          <w:sz w:val="20"/>
          <w:lang w:val="fr-FR"/>
        </w:rPr>
        <w:t>, où l</w:t>
      </w:r>
      <w:r w:rsidR="00F11690" w:rsidRPr="006D1F4D">
        <w:rPr>
          <w:sz w:val="20"/>
          <w:lang w:val="fr-FR"/>
        </w:rPr>
        <w:t>'</w:t>
      </w:r>
      <w:r w:rsidRPr="006D1F4D">
        <w:rPr>
          <w:sz w:val="20"/>
          <w:lang w:val="fr-FR"/>
        </w:rPr>
        <w:t xml:space="preserve">on trouvera également les Lignes directrices pour la mise en </w:t>
      </w:r>
      <w:r w:rsidR="005154D0" w:rsidRPr="006D1F4D">
        <w:rPr>
          <w:sz w:val="20"/>
          <w:lang w:val="fr-FR"/>
        </w:rPr>
        <w:t>œuvre</w:t>
      </w:r>
      <w:r w:rsidRPr="006D1F4D">
        <w:rPr>
          <w:sz w:val="20"/>
          <w:lang w:val="fr-FR"/>
        </w:rPr>
        <w:t xml:space="preserve"> de la politique commune en matière de brevets de l</w:t>
      </w:r>
      <w:r w:rsidR="00F11690" w:rsidRPr="006D1F4D">
        <w:rPr>
          <w:sz w:val="20"/>
          <w:lang w:val="fr-FR"/>
        </w:rPr>
        <w:t>'</w:t>
      </w:r>
      <w:r w:rsidRPr="006D1F4D">
        <w:rPr>
          <w:sz w:val="20"/>
          <w:lang w:val="fr-FR"/>
        </w:rPr>
        <w:t>UIT</w:t>
      </w:r>
      <w:r w:rsidRPr="006D1F4D">
        <w:rPr>
          <w:sz w:val="20"/>
          <w:lang w:val="fr-FR"/>
        </w:rPr>
        <w:noBreakHyphen/>
        <w:t>T, l</w:t>
      </w:r>
      <w:r w:rsidR="00F11690" w:rsidRPr="006D1F4D">
        <w:rPr>
          <w:sz w:val="20"/>
          <w:lang w:val="fr-FR"/>
        </w:rPr>
        <w:t>'</w:t>
      </w:r>
      <w:r w:rsidRPr="006D1F4D">
        <w:rPr>
          <w:sz w:val="20"/>
          <w:lang w:val="fr-FR"/>
        </w:rPr>
        <w:t>UIT</w:t>
      </w:r>
      <w:r w:rsidRPr="006D1F4D">
        <w:rPr>
          <w:sz w:val="20"/>
          <w:lang w:val="fr-FR"/>
        </w:rPr>
        <w:noBreakHyphen/>
        <w:t>R, l</w:t>
      </w:r>
      <w:r w:rsidR="00F11690" w:rsidRPr="006D1F4D">
        <w:rPr>
          <w:sz w:val="20"/>
          <w:lang w:val="fr-FR"/>
        </w:rPr>
        <w:t>'</w:t>
      </w:r>
      <w:r w:rsidRPr="006D1F4D">
        <w:rPr>
          <w:sz w:val="20"/>
          <w:lang w:val="fr-FR"/>
        </w:rPr>
        <w:t>ISO et la CEI</w:t>
      </w:r>
      <w:r w:rsidRPr="006D1F4D" w:rsidDel="0061025C">
        <w:rPr>
          <w:sz w:val="20"/>
          <w:lang w:val="fr-FR"/>
        </w:rPr>
        <w:t xml:space="preserve"> </w:t>
      </w:r>
      <w:r w:rsidRPr="006D1F4D">
        <w:rPr>
          <w:sz w:val="20"/>
          <w:lang w:val="fr-FR"/>
        </w:rPr>
        <w:t>et la base de données en matière de brevets de l</w:t>
      </w:r>
      <w:r w:rsidR="00F11690" w:rsidRPr="006D1F4D">
        <w:rPr>
          <w:sz w:val="20"/>
          <w:lang w:val="fr-FR"/>
        </w:rPr>
        <w:t>'</w:t>
      </w:r>
      <w:r w:rsidRPr="006D1F4D">
        <w:rPr>
          <w:sz w:val="20"/>
          <w:lang w:val="fr-FR"/>
        </w:rPr>
        <w:t>UIT-R.</w:t>
      </w:r>
    </w:p>
    <w:p w14:paraId="7C45473C" w14:textId="77777777" w:rsidR="00EF5660" w:rsidRPr="006D1F4D" w:rsidRDefault="00EF5660" w:rsidP="00EF5660">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EF5660" w:rsidRPr="00767B1B" w14:paraId="4799C331" w14:textId="77777777" w:rsidTr="009F2B2B">
        <w:tc>
          <w:tcPr>
            <w:tcW w:w="9360" w:type="dxa"/>
            <w:gridSpan w:val="2"/>
          </w:tcPr>
          <w:p w14:paraId="08CAB0CD" w14:textId="245EBC22" w:rsidR="00EF5660" w:rsidRPr="006D1F4D" w:rsidRDefault="00EF5660" w:rsidP="009F2B2B">
            <w:pPr>
              <w:pStyle w:val="Chaptitle"/>
              <w:keepLines w:val="0"/>
              <w:tabs>
                <w:tab w:val="clear" w:pos="794"/>
                <w:tab w:val="clear" w:pos="1191"/>
                <w:tab w:val="clear" w:pos="1588"/>
                <w:tab w:val="clear" w:pos="1985"/>
              </w:tabs>
              <w:overflowPunct/>
              <w:spacing w:before="140"/>
              <w:textAlignment w:val="auto"/>
              <w:rPr>
                <w:sz w:val="22"/>
                <w:szCs w:val="22"/>
                <w:lang w:val="fr-FR"/>
              </w:rPr>
            </w:pPr>
            <w:r w:rsidRPr="006D1F4D">
              <w:rPr>
                <w:sz w:val="22"/>
                <w:szCs w:val="22"/>
                <w:lang w:val="fr-FR"/>
              </w:rPr>
              <w:t>Séries des Recommandations UIT-R</w:t>
            </w:r>
          </w:p>
          <w:p w14:paraId="62ED6071" w14:textId="14CFFB8A"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6D1F4D">
              <w:rPr>
                <w:b w:val="0"/>
                <w:sz w:val="18"/>
                <w:szCs w:val="18"/>
                <w:lang w:val="fr-FR"/>
              </w:rPr>
              <w:t>(</w:t>
            </w:r>
            <w:r w:rsidR="005154D0" w:rsidRPr="006D1F4D">
              <w:rPr>
                <w:b w:val="0"/>
                <w:sz w:val="18"/>
                <w:szCs w:val="18"/>
                <w:lang w:val="fr-FR"/>
              </w:rPr>
              <w:t>Également</w:t>
            </w:r>
            <w:r w:rsidRPr="006D1F4D">
              <w:rPr>
                <w:b w:val="0"/>
                <w:sz w:val="18"/>
                <w:szCs w:val="18"/>
                <w:lang w:val="fr-FR"/>
              </w:rPr>
              <w:t xml:space="preserve"> disponible en </w:t>
            </w:r>
            <w:proofErr w:type="gramStart"/>
            <w:r w:rsidRPr="006D1F4D">
              <w:rPr>
                <w:b w:val="0"/>
                <w:sz w:val="18"/>
                <w:szCs w:val="18"/>
                <w:lang w:val="fr-FR"/>
              </w:rPr>
              <w:t>ligne:</w:t>
            </w:r>
            <w:proofErr w:type="gramEnd"/>
            <w:r w:rsidRPr="006D1F4D">
              <w:rPr>
                <w:b w:val="0"/>
                <w:sz w:val="18"/>
                <w:szCs w:val="18"/>
                <w:lang w:val="fr-FR"/>
              </w:rPr>
              <w:t xml:space="preserve"> </w:t>
            </w:r>
            <w:hyperlink r:id="rId10" w:history="1">
              <w:r w:rsidR="00962802" w:rsidRPr="006D1F4D">
                <w:rPr>
                  <w:rStyle w:val="Hyperlink"/>
                  <w:b w:val="0"/>
                  <w:sz w:val="18"/>
                  <w:szCs w:val="18"/>
                  <w:lang w:val="fr-FR"/>
                </w:rPr>
                <w:t>https://www.itu.int/publ/R-REC/en</w:t>
              </w:r>
            </w:hyperlink>
            <w:r w:rsidRPr="006D1F4D">
              <w:rPr>
                <w:b w:val="0"/>
                <w:bCs/>
                <w:sz w:val="18"/>
                <w:szCs w:val="18"/>
                <w:lang w:val="fr-FR"/>
              </w:rPr>
              <w:t>)</w:t>
            </w:r>
          </w:p>
        </w:tc>
      </w:tr>
      <w:tr w:rsidR="00EF5660" w:rsidRPr="006D1F4D" w14:paraId="31AD9F3A" w14:textId="77777777" w:rsidTr="009F2B2B">
        <w:tc>
          <w:tcPr>
            <w:tcW w:w="1140" w:type="dxa"/>
            <w:tcBorders>
              <w:bottom w:val="nil"/>
            </w:tcBorders>
          </w:tcPr>
          <w:p w14:paraId="70E1F71B" w14:textId="77777777" w:rsidR="00EF5660" w:rsidRPr="006D1F4D" w:rsidRDefault="00EF5660" w:rsidP="009F2B2B">
            <w:pPr>
              <w:spacing w:before="90" w:after="100"/>
              <w:ind w:left="57"/>
              <w:rPr>
                <w:b/>
                <w:bCs/>
                <w:sz w:val="20"/>
                <w:lang w:val="fr-FR"/>
              </w:rPr>
            </w:pPr>
            <w:r w:rsidRPr="006D1F4D">
              <w:rPr>
                <w:b/>
                <w:bCs/>
                <w:sz w:val="20"/>
                <w:lang w:val="fr-FR"/>
              </w:rPr>
              <w:t>Séries</w:t>
            </w:r>
          </w:p>
        </w:tc>
        <w:tc>
          <w:tcPr>
            <w:tcW w:w="8220" w:type="dxa"/>
            <w:tcBorders>
              <w:bottom w:val="nil"/>
            </w:tcBorders>
          </w:tcPr>
          <w:p w14:paraId="27D1AB84"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6D1F4D">
              <w:rPr>
                <w:bCs/>
                <w:sz w:val="20"/>
                <w:lang w:val="fr-FR"/>
              </w:rPr>
              <w:t>Titre</w:t>
            </w:r>
          </w:p>
        </w:tc>
      </w:tr>
      <w:tr w:rsidR="00EF5660" w:rsidRPr="006D1F4D" w14:paraId="32F53CCD" w14:textId="77777777" w:rsidTr="009F2B2B">
        <w:tc>
          <w:tcPr>
            <w:tcW w:w="1140" w:type="dxa"/>
            <w:tcBorders>
              <w:top w:val="nil"/>
              <w:bottom w:val="nil"/>
            </w:tcBorders>
            <w:shd w:val="clear" w:color="auto" w:fill="auto"/>
          </w:tcPr>
          <w:p w14:paraId="6CC2375A" w14:textId="77777777" w:rsidR="00EF5660" w:rsidRPr="006D1F4D" w:rsidRDefault="00EF5660" w:rsidP="009F2B2B">
            <w:pPr>
              <w:spacing w:before="30" w:after="30"/>
              <w:ind w:left="57"/>
              <w:jc w:val="left"/>
              <w:rPr>
                <w:rFonts w:ascii="Times New Roman Bold" w:hAnsi="Times New Roman Bold"/>
                <w:b/>
                <w:bCs/>
                <w:sz w:val="20"/>
                <w:lang w:val="fr-FR"/>
              </w:rPr>
            </w:pPr>
            <w:r w:rsidRPr="006D1F4D">
              <w:rPr>
                <w:rFonts w:ascii="Times New Roman Bold" w:hAnsi="Times New Roman Bold"/>
                <w:b/>
                <w:bCs/>
                <w:sz w:val="20"/>
                <w:lang w:val="fr-FR"/>
              </w:rPr>
              <w:t>BO</w:t>
            </w:r>
          </w:p>
        </w:tc>
        <w:tc>
          <w:tcPr>
            <w:tcW w:w="8220" w:type="dxa"/>
            <w:tcBorders>
              <w:top w:val="nil"/>
              <w:bottom w:val="nil"/>
            </w:tcBorders>
            <w:shd w:val="clear" w:color="auto" w:fill="auto"/>
          </w:tcPr>
          <w:p w14:paraId="71D27C3E"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Diffusion par satellite</w:t>
            </w:r>
          </w:p>
        </w:tc>
      </w:tr>
      <w:tr w:rsidR="00EF5660" w:rsidRPr="00767B1B" w14:paraId="2D2940F8" w14:textId="77777777" w:rsidTr="009F2B2B">
        <w:tc>
          <w:tcPr>
            <w:tcW w:w="1140" w:type="dxa"/>
            <w:tcBorders>
              <w:top w:val="nil"/>
              <w:bottom w:val="nil"/>
            </w:tcBorders>
          </w:tcPr>
          <w:p w14:paraId="052A5C11" w14:textId="77777777" w:rsidR="00EF5660" w:rsidRPr="006D1F4D" w:rsidRDefault="00EF5660" w:rsidP="009F2B2B">
            <w:pPr>
              <w:spacing w:before="30" w:after="30"/>
              <w:ind w:left="57"/>
              <w:jc w:val="left"/>
              <w:rPr>
                <w:rFonts w:ascii="Times New Roman Bold" w:hAnsi="Times New Roman Bold"/>
                <w:b/>
                <w:bCs/>
                <w:sz w:val="20"/>
                <w:lang w:val="fr-FR"/>
              </w:rPr>
            </w:pPr>
            <w:r w:rsidRPr="006D1F4D">
              <w:rPr>
                <w:rFonts w:ascii="Times New Roman Bold" w:hAnsi="Times New Roman Bold"/>
                <w:b/>
                <w:bCs/>
                <w:sz w:val="20"/>
                <w:lang w:val="fr-FR"/>
              </w:rPr>
              <w:t>BR</w:t>
            </w:r>
          </w:p>
        </w:tc>
        <w:tc>
          <w:tcPr>
            <w:tcW w:w="8220" w:type="dxa"/>
            <w:tcBorders>
              <w:top w:val="nil"/>
              <w:bottom w:val="nil"/>
            </w:tcBorders>
          </w:tcPr>
          <w:p w14:paraId="451AB89D" w14:textId="3D6F81CE"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Enregistrement pour la production, l</w:t>
            </w:r>
            <w:r w:rsidR="00F11690" w:rsidRPr="006D1F4D">
              <w:rPr>
                <w:b w:val="0"/>
                <w:sz w:val="20"/>
                <w:lang w:val="fr-FR"/>
              </w:rPr>
              <w:t>'</w:t>
            </w:r>
            <w:r w:rsidRPr="006D1F4D">
              <w:rPr>
                <w:b w:val="0"/>
                <w:sz w:val="20"/>
                <w:lang w:val="fr-FR"/>
              </w:rPr>
              <w:t xml:space="preserve">archivage et la </w:t>
            </w:r>
            <w:proofErr w:type="gramStart"/>
            <w:r w:rsidRPr="006D1F4D">
              <w:rPr>
                <w:b w:val="0"/>
                <w:sz w:val="20"/>
                <w:lang w:val="fr-FR"/>
              </w:rPr>
              <w:t>diffusion;</w:t>
            </w:r>
            <w:proofErr w:type="gramEnd"/>
            <w:r w:rsidRPr="006D1F4D">
              <w:rPr>
                <w:b w:val="0"/>
                <w:sz w:val="20"/>
                <w:lang w:val="fr-FR"/>
              </w:rPr>
              <w:t xml:space="preserve"> films pour la télévision</w:t>
            </w:r>
          </w:p>
        </w:tc>
      </w:tr>
      <w:tr w:rsidR="00EF5660" w:rsidRPr="006D1F4D" w14:paraId="313C2DE0" w14:textId="77777777" w:rsidTr="009F2B2B">
        <w:tc>
          <w:tcPr>
            <w:tcW w:w="1140" w:type="dxa"/>
            <w:tcBorders>
              <w:top w:val="nil"/>
              <w:bottom w:val="nil"/>
            </w:tcBorders>
            <w:shd w:val="clear" w:color="auto" w:fill="auto"/>
          </w:tcPr>
          <w:p w14:paraId="22AE2D15" w14:textId="77777777" w:rsidR="00EF5660" w:rsidRPr="006D1F4D" w:rsidRDefault="00EF5660" w:rsidP="009F2B2B">
            <w:pPr>
              <w:spacing w:before="30" w:after="30"/>
              <w:ind w:left="57"/>
              <w:jc w:val="left"/>
              <w:rPr>
                <w:b/>
                <w:bCs/>
                <w:sz w:val="20"/>
                <w:lang w:val="fr-FR"/>
              </w:rPr>
            </w:pPr>
            <w:r w:rsidRPr="006D1F4D">
              <w:rPr>
                <w:b/>
                <w:bCs/>
                <w:sz w:val="20"/>
                <w:lang w:val="fr-FR"/>
              </w:rPr>
              <w:t>BS</w:t>
            </w:r>
          </w:p>
        </w:tc>
        <w:tc>
          <w:tcPr>
            <w:tcW w:w="8220" w:type="dxa"/>
            <w:tcBorders>
              <w:top w:val="nil"/>
              <w:bottom w:val="nil"/>
            </w:tcBorders>
            <w:shd w:val="clear" w:color="auto" w:fill="auto"/>
          </w:tcPr>
          <w:p w14:paraId="0F0440F2"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Service de radiodiffusion sonore</w:t>
            </w:r>
          </w:p>
        </w:tc>
      </w:tr>
      <w:tr w:rsidR="00EF5660" w:rsidRPr="006D1F4D" w14:paraId="0C30A6F5" w14:textId="77777777" w:rsidTr="00962802">
        <w:tc>
          <w:tcPr>
            <w:tcW w:w="1140" w:type="dxa"/>
            <w:tcBorders>
              <w:top w:val="nil"/>
              <w:bottom w:val="nil"/>
            </w:tcBorders>
            <w:shd w:val="clear" w:color="auto" w:fill="D9D9D9" w:themeFill="background1" w:themeFillShade="D9"/>
          </w:tcPr>
          <w:p w14:paraId="6CB8B96C" w14:textId="77777777" w:rsidR="00EF5660" w:rsidRPr="006D1F4D" w:rsidRDefault="00EF5660" w:rsidP="009F2B2B">
            <w:pPr>
              <w:spacing w:before="30" w:after="30"/>
              <w:ind w:left="57"/>
              <w:jc w:val="left"/>
              <w:rPr>
                <w:b/>
                <w:bCs/>
                <w:color w:val="000080"/>
                <w:sz w:val="20"/>
                <w:lang w:val="fr-FR"/>
              </w:rPr>
            </w:pPr>
            <w:r w:rsidRPr="006D1F4D">
              <w:rPr>
                <w:b/>
                <w:bCs/>
                <w:color w:val="000080"/>
                <w:sz w:val="20"/>
                <w:lang w:val="fr-FR"/>
              </w:rPr>
              <w:t>BT</w:t>
            </w:r>
          </w:p>
        </w:tc>
        <w:tc>
          <w:tcPr>
            <w:tcW w:w="8220" w:type="dxa"/>
            <w:tcBorders>
              <w:top w:val="nil"/>
              <w:bottom w:val="nil"/>
            </w:tcBorders>
            <w:shd w:val="clear" w:color="auto" w:fill="D9D9D9" w:themeFill="background1" w:themeFillShade="D9"/>
          </w:tcPr>
          <w:p w14:paraId="05AE5647"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6D1F4D">
              <w:rPr>
                <w:bCs/>
                <w:color w:val="000080"/>
                <w:sz w:val="20"/>
                <w:lang w:val="fr-FR"/>
              </w:rPr>
              <w:t>Service de radiodiffusion télévisuelle</w:t>
            </w:r>
          </w:p>
        </w:tc>
      </w:tr>
      <w:tr w:rsidR="00EF5660" w:rsidRPr="006D1F4D" w14:paraId="55F6FDCD" w14:textId="77777777" w:rsidTr="009F2B2B">
        <w:tc>
          <w:tcPr>
            <w:tcW w:w="1140" w:type="dxa"/>
            <w:tcBorders>
              <w:top w:val="nil"/>
              <w:bottom w:val="nil"/>
            </w:tcBorders>
            <w:shd w:val="clear" w:color="auto" w:fill="auto"/>
          </w:tcPr>
          <w:p w14:paraId="4181AB38" w14:textId="77777777" w:rsidR="00EF5660" w:rsidRPr="006D1F4D" w:rsidRDefault="00EF5660" w:rsidP="009F2B2B">
            <w:pPr>
              <w:spacing w:before="30" w:after="30"/>
              <w:ind w:left="57"/>
              <w:jc w:val="left"/>
              <w:rPr>
                <w:b/>
                <w:bCs/>
                <w:sz w:val="20"/>
                <w:lang w:val="fr-FR"/>
              </w:rPr>
            </w:pPr>
            <w:r w:rsidRPr="006D1F4D">
              <w:rPr>
                <w:b/>
                <w:bCs/>
                <w:sz w:val="20"/>
                <w:lang w:val="fr-FR"/>
              </w:rPr>
              <w:t>F</w:t>
            </w:r>
          </w:p>
        </w:tc>
        <w:tc>
          <w:tcPr>
            <w:tcW w:w="8220" w:type="dxa"/>
            <w:tcBorders>
              <w:top w:val="nil"/>
              <w:bottom w:val="nil"/>
            </w:tcBorders>
            <w:shd w:val="clear" w:color="auto" w:fill="auto"/>
          </w:tcPr>
          <w:p w14:paraId="26924F3F"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Service fixe</w:t>
            </w:r>
          </w:p>
        </w:tc>
      </w:tr>
      <w:tr w:rsidR="00EF5660" w:rsidRPr="00767B1B" w14:paraId="55D3D096" w14:textId="77777777" w:rsidTr="009F2B2B">
        <w:tc>
          <w:tcPr>
            <w:tcW w:w="1140" w:type="dxa"/>
            <w:tcBorders>
              <w:top w:val="nil"/>
              <w:bottom w:val="nil"/>
            </w:tcBorders>
            <w:shd w:val="clear" w:color="auto" w:fill="auto"/>
          </w:tcPr>
          <w:p w14:paraId="7F737A1C" w14:textId="77777777" w:rsidR="00EF5660" w:rsidRPr="006D1F4D" w:rsidRDefault="00EF5660" w:rsidP="009F2B2B">
            <w:pPr>
              <w:spacing w:before="30" w:after="30"/>
              <w:ind w:left="57"/>
              <w:jc w:val="left"/>
              <w:rPr>
                <w:b/>
                <w:bCs/>
                <w:sz w:val="20"/>
                <w:lang w:val="fr-FR"/>
              </w:rPr>
            </w:pPr>
            <w:r w:rsidRPr="006D1F4D">
              <w:rPr>
                <w:b/>
                <w:bCs/>
                <w:sz w:val="20"/>
                <w:lang w:val="fr-FR"/>
              </w:rPr>
              <w:t>M</w:t>
            </w:r>
          </w:p>
        </w:tc>
        <w:tc>
          <w:tcPr>
            <w:tcW w:w="8220" w:type="dxa"/>
            <w:tcBorders>
              <w:top w:val="nil"/>
              <w:bottom w:val="nil"/>
            </w:tcBorders>
            <w:shd w:val="clear" w:color="auto" w:fill="auto"/>
          </w:tcPr>
          <w:p w14:paraId="0C207FCF" w14:textId="446FA78A"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proofErr w:type="gramStart"/>
            <w:r w:rsidRPr="006D1F4D">
              <w:rPr>
                <w:b w:val="0"/>
                <w:sz w:val="20"/>
                <w:lang w:val="fr-FR"/>
              </w:rPr>
              <w:t>Services mobile</w:t>
            </w:r>
            <w:proofErr w:type="gramEnd"/>
            <w:r w:rsidRPr="006D1F4D">
              <w:rPr>
                <w:b w:val="0"/>
                <w:sz w:val="20"/>
                <w:lang w:val="fr-FR"/>
              </w:rPr>
              <w:t>, de radiorepérage et d</w:t>
            </w:r>
            <w:r w:rsidR="00F11690" w:rsidRPr="006D1F4D">
              <w:rPr>
                <w:b w:val="0"/>
                <w:sz w:val="20"/>
                <w:lang w:val="fr-FR"/>
              </w:rPr>
              <w:t>'</w:t>
            </w:r>
            <w:r w:rsidRPr="006D1F4D">
              <w:rPr>
                <w:b w:val="0"/>
                <w:sz w:val="20"/>
                <w:lang w:val="fr-FR"/>
              </w:rPr>
              <w:t>amateur y compris les services par satellite associés</w:t>
            </w:r>
          </w:p>
        </w:tc>
      </w:tr>
      <w:tr w:rsidR="00EF5660" w:rsidRPr="006D1F4D" w14:paraId="4A684FF8" w14:textId="77777777" w:rsidTr="009F2B2B">
        <w:tc>
          <w:tcPr>
            <w:tcW w:w="1140" w:type="dxa"/>
            <w:tcBorders>
              <w:top w:val="nil"/>
              <w:bottom w:val="nil"/>
            </w:tcBorders>
            <w:shd w:val="clear" w:color="auto" w:fill="auto"/>
          </w:tcPr>
          <w:p w14:paraId="39F5E0A9" w14:textId="77777777" w:rsidR="00EF5660" w:rsidRPr="006D1F4D" w:rsidRDefault="00EF5660" w:rsidP="009F2B2B">
            <w:pPr>
              <w:spacing w:before="30" w:after="30"/>
              <w:ind w:left="57"/>
              <w:jc w:val="left"/>
              <w:rPr>
                <w:b/>
                <w:bCs/>
                <w:sz w:val="20"/>
                <w:lang w:val="fr-FR"/>
              </w:rPr>
            </w:pPr>
            <w:r w:rsidRPr="006D1F4D">
              <w:rPr>
                <w:b/>
                <w:bCs/>
                <w:sz w:val="20"/>
                <w:lang w:val="fr-FR"/>
              </w:rPr>
              <w:t>P</w:t>
            </w:r>
          </w:p>
        </w:tc>
        <w:tc>
          <w:tcPr>
            <w:tcW w:w="8220" w:type="dxa"/>
            <w:tcBorders>
              <w:top w:val="nil"/>
              <w:bottom w:val="nil"/>
            </w:tcBorders>
            <w:shd w:val="clear" w:color="auto" w:fill="auto"/>
          </w:tcPr>
          <w:p w14:paraId="28B888E4"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Propagation des ondes radioélectriques</w:t>
            </w:r>
          </w:p>
        </w:tc>
      </w:tr>
      <w:tr w:rsidR="00EF5660" w:rsidRPr="006D1F4D" w14:paraId="04E1F549" w14:textId="77777777" w:rsidTr="009F2B2B">
        <w:tc>
          <w:tcPr>
            <w:tcW w:w="1140" w:type="dxa"/>
            <w:tcBorders>
              <w:top w:val="nil"/>
              <w:bottom w:val="nil"/>
            </w:tcBorders>
            <w:shd w:val="clear" w:color="auto" w:fill="auto"/>
          </w:tcPr>
          <w:p w14:paraId="1ED0BF54" w14:textId="77777777" w:rsidR="00EF5660" w:rsidRPr="006D1F4D" w:rsidRDefault="00EF5660" w:rsidP="009F2B2B">
            <w:pPr>
              <w:spacing w:before="30" w:after="30"/>
              <w:ind w:left="57"/>
              <w:jc w:val="left"/>
              <w:rPr>
                <w:b/>
                <w:bCs/>
                <w:sz w:val="20"/>
                <w:lang w:val="fr-FR"/>
              </w:rPr>
            </w:pPr>
            <w:r w:rsidRPr="006D1F4D">
              <w:rPr>
                <w:b/>
                <w:bCs/>
                <w:sz w:val="20"/>
                <w:lang w:val="fr-FR"/>
              </w:rPr>
              <w:t>RA</w:t>
            </w:r>
          </w:p>
        </w:tc>
        <w:tc>
          <w:tcPr>
            <w:tcW w:w="8220" w:type="dxa"/>
            <w:tcBorders>
              <w:top w:val="nil"/>
              <w:bottom w:val="nil"/>
            </w:tcBorders>
            <w:shd w:val="clear" w:color="auto" w:fill="auto"/>
          </w:tcPr>
          <w:p w14:paraId="4948B203"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Radio astronomie</w:t>
            </w:r>
          </w:p>
        </w:tc>
      </w:tr>
      <w:tr w:rsidR="00EF5660" w:rsidRPr="006D1F4D" w14:paraId="5D1C19DC" w14:textId="77777777" w:rsidTr="009F2B2B">
        <w:tc>
          <w:tcPr>
            <w:tcW w:w="1140" w:type="dxa"/>
            <w:tcBorders>
              <w:top w:val="nil"/>
              <w:bottom w:val="nil"/>
            </w:tcBorders>
            <w:shd w:val="clear" w:color="auto" w:fill="auto"/>
          </w:tcPr>
          <w:p w14:paraId="6B8B9CFA" w14:textId="77777777" w:rsidR="00EF5660" w:rsidRPr="006D1F4D" w:rsidRDefault="00EF5660" w:rsidP="009F2B2B">
            <w:pPr>
              <w:spacing w:before="30" w:after="30"/>
              <w:ind w:left="57"/>
              <w:jc w:val="left"/>
              <w:rPr>
                <w:b/>
                <w:bCs/>
                <w:sz w:val="20"/>
                <w:lang w:val="fr-FR"/>
              </w:rPr>
            </w:pPr>
            <w:r w:rsidRPr="006D1F4D">
              <w:rPr>
                <w:b/>
                <w:bCs/>
                <w:sz w:val="20"/>
                <w:lang w:val="fr-FR"/>
              </w:rPr>
              <w:t>RS</w:t>
            </w:r>
          </w:p>
        </w:tc>
        <w:tc>
          <w:tcPr>
            <w:tcW w:w="8220" w:type="dxa"/>
            <w:tcBorders>
              <w:top w:val="nil"/>
              <w:bottom w:val="nil"/>
            </w:tcBorders>
            <w:shd w:val="clear" w:color="auto" w:fill="auto"/>
          </w:tcPr>
          <w:p w14:paraId="66120A25"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Systèmes de télédétection</w:t>
            </w:r>
          </w:p>
        </w:tc>
      </w:tr>
      <w:tr w:rsidR="00EF5660" w:rsidRPr="006D1F4D" w14:paraId="1FAF524B" w14:textId="77777777" w:rsidTr="009F2B2B">
        <w:tc>
          <w:tcPr>
            <w:tcW w:w="1140" w:type="dxa"/>
            <w:tcBorders>
              <w:top w:val="nil"/>
              <w:bottom w:val="nil"/>
            </w:tcBorders>
            <w:shd w:val="clear" w:color="auto" w:fill="auto"/>
          </w:tcPr>
          <w:p w14:paraId="1A1906C2" w14:textId="77777777" w:rsidR="00EF5660" w:rsidRPr="006D1F4D" w:rsidRDefault="00EF5660" w:rsidP="009F2B2B">
            <w:pPr>
              <w:spacing w:before="30" w:after="30"/>
              <w:ind w:left="57"/>
              <w:jc w:val="left"/>
              <w:rPr>
                <w:b/>
                <w:bCs/>
                <w:sz w:val="20"/>
                <w:lang w:val="fr-FR"/>
              </w:rPr>
            </w:pPr>
            <w:r w:rsidRPr="006D1F4D">
              <w:rPr>
                <w:b/>
                <w:bCs/>
                <w:sz w:val="20"/>
                <w:lang w:val="fr-FR"/>
              </w:rPr>
              <w:t>S</w:t>
            </w:r>
          </w:p>
        </w:tc>
        <w:tc>
          <w:tcPr>
            <w:tcW w:w="8220" w:type="dxa"/>
            <w:tcBorders>
              <w:top w:val="nil"/>
              <w:bottom w:val="nil"/>
            </w:tcBorders>
            <w:shd w:val="clear" w:color="auto" w:fill="auto"/>
          </w:tcPr>
          <w:p w14:paraId="4D25014A"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Service fixe par satellite</w:t>
            </w:r>
          </w:p>
        </w:tc>
      </w:tr>
      <w:tr w:rsidR="00EF5660" w:rsidRPr="006D1F4D" w14:paraId="6DFC6494" w14:textId="77777777" w:rsidTr="009F2B2B">
        <w:tc>
          <w:tcPr>
            <w:tcW w:w="1140" w:type="dxa"/>
            <w:tcBorders>
              <w:top w:val="nil"/>
              <w:bottom w:val="nil"/>
            </w:tcBorders>
            <w:shd w:val="clear" w:color="auto" w:fill="FFFFFF" w:themeFill="background1"/>
          </w:tcPr>
          <w:p w14:paraId="23F4DBFE" w14:textId="77777777" w:rsidR="00EF5660" w:rsidRPr="006D1F4D" w:rsidRDefault="00EF5660" w:rsidP="009F2B2B">
            <w:pPr>
              <w:spacing w:before="30" w:after="30"/>
              <w:ind w:left="57"/>
              <w:jc w:val="left"/>
              <w:rPr>
                <w:rFonts w:ascii="Times New Roman Bold" w:hAnsi="Times New Roman Bold"/>
                <w:b/>
                <w:bCs/>
                <w:sz w:val="20"/>
                <w:lang w:val="fr-FR"/>
              </w:rPr>
            </w:pPr>
            <w:r w:rsidRPr="006D1F4D">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03A86376"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Applications spatiales et météorologie</w:t>
            </w:r>
          </w:p>
        </w:tc>
      </w:tr>
      <w:tr w:rsidR="00EF5660" w:rsidRPr="00EB1FFF" w14:paraId="5426B8BC" w14:textId="77777777" w:rsidTr="009F2B2B">
        <w:tc>
          <w:tcPr>
            <w:tcW w:w="1140" w:type="dxa"/>
            <w:tcBorders>
              <w:top w:val="nil"/>
            </w:tcBorders>
          </w:tcPr>
          <w:p w14:paraId="06AB833F" w14:textId="77777777" w:rsidR="00EF5660" w:rsidRPr="006D1F4D" w:rsidRDefault="00EF5660" w:rsidP="009F2B2B">
            <w:pPr>
              <w:spacing w:before="30" w:after="30"/>
              <w:ind w:left="57"/>
              <w:jc w:val="left"/>
              <w:rPr>
                <w:b/>
                <w:bCs/>
                <w:sz w:val="20"/>
                <w:lang w:val="fr-FR"/>
              </w:rPr>
            </w:pPr>
            <w:r w:rsidRPr="006D1F4D">
              <w:rPr>
                <w:b/>
                <w:bCs/>
                <w:sz w:val="20"/>
                <w:lang w:val="fr-FR"/>
              </w:rPr>
              <w:t>SF</w:t>
            </w:r>
          </w:p>
        </w:tc>
        <w:tc>
          <w:tcPr>
            <w:tcW w:w="8220" w:type="dxa"/>
            <w:tcBorders>
              <w:top w:val="nil"/>
            </w:tcBorders>
          </w:tcPr>
          <w:p w14:paraId="7CD6B690"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Partage des fréquences et coordination entre les systèmes du service fixe par satellite et du service fixe</w:t>
            </w:r>
          </w:p>
        </w:tc>
      </w:tr>
      <w:tr w:rsidR="00EF5660" w:rsidRPr="006D1F4D" w14:paraId="777CACF0" w14:textId="77777777" w:rsidTr="009F2B2B">
        <w:tc>
          <w:tcPr>
            <w:tcW w:w="1140" w:type="dxa"/>
            <w:shd w:val="clear" w:color="auto" w:fill="auto"/>
          </w:tcPr>
          <w:p w14:paraId="6C89D90A" w14:textId="77777777" w:rsidR="00EF5660" w:rsidRPr="006D1F4D" w:rsidRDefault="00EF5660" w:rsidP="009F2B2B">
            <w:pPr>
              <w:spacing w:before="30" w:after="30"/>
              <w:ind w:left="57"/>
              <w:jc w:val="left"/>
              <w:rPr>
                <w:b/>
                <w:bCs/>
                <w:sz w:val="20"/>
                <w:lang w:val="fr-FR"/>
              </w:rPr>
            </w:pPr>
            <w:r w:rsidRPr="006D1F4D">
              <w:rPr>
                <w:b/>
                <w:bCs/>
                <w:sz w:val="20"/>
                <w:lang w:val="fr-FR"/>
              </w:rPr>
              <w:t>SM</w:t>
            </w:r>
          </w:p>
        </w:tc>
        <w:tc>
          <w:tcPr>
            <w:tcW w:w="8220" w:type="dxa"/>
            <w:shd w:val="clear" w:color="auto" w:fill="auto"/>
          </w:tcPr>
          <w:p w14:paraId="7F583F2D"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Gestion du spectre</w:t>
            </w:r>
          </w:p>
        </w:tc>
      </w:tr>
      <w:tr w:rsidR="00EF5660" w:rsidRPr="006D1F4D" w14:paraId="30A273F0" w14:textId="77777777" w:rsidTr="009F2B2B">
        <w:tc>
          <w:tcPr>
            <w:tcW w:w="1140" w:type="dxa"/>
          </w:tcPr>
          <w:p w14:paraId="05035C51" w14:textId="77777777" w:rsidR="00EF5660" w:rsidRPr="006D1F4D" w:rsidRDefault="00EF5660" w:rsidP="009F2B2B">
            <w:pPr>
              <w:spacing w:before="30" w:after="30"/>
              <w:ind w:left="57"/>
              <w:jc w:val="left"/>
              <w:rPr>
                <w:b/>
                <w:bCs/>
                <w:sz w:val="20"/>
                <w:lang w:val="fr-FR"/>
              </w:rPr>
            </w:pPr>
            <w:r w:rsidRPr="006D1F4D">
              <w:rPr>
                <w:b/>
                <w:bCs/>
                <w:sz w:val="20"/>
                <w:lang w:val="fr-FR"/>
              </w:rPr>
              <w:t>SNG</w:t>
            </w:r>
          </w:p>
        </w:tc>
        <w:tc>
          <w:tcPr>
            <w:tcW w:w="8220" w:type="dxa"/>
          </w:tcPr>
          <w:p w14:paraId="6CF93CE8" w14:textId="3159E369"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Reportage d</w:t>
            </w:r>
            <w:r w:rsidR="00F11690" w:rsidRPr="006D1F4D">
              <w:rPr>
                <w:b w:val="0"/>
                <w:sz w:val="20"/>
                <w:lang w:val="fr-FR"/>
              </w:rPr>
              <w:t>'</w:t>
            </w:r>
            <w:r w:rsidRPr="006D1F4D">
              <w:rPr>
                <w:b w:val="0"/>
                <w:sz w:val="20"/>
                <w:lang w:val="fr-FR"/>
              </w:rPr>
              <w:t>actualités par satellite</w:t>
            </w:r>
          </w:p>
        </w:tc>
      </w:tr>
      <w:tr w:rsidR="00EF5660" w:rsidRPr="00EB1FFF" w14:paraId="2468648D" w14:textId="77777777" w:rsidTr="009F2B2B">
        <w:tc>
          <w:tcPr>
            <w:tcW w:w="1140" w:type="dxa"/>
          </w:tcPr>
          <w:p w14:paraId="63468824" w14:textId="77777777" w:rsidR="00EF5660" w:rsidRPr="006D1F4D" w:rsidRDefault="00EF5660" w:rsidP="009F2B2B">
            <w:pPr>
              <w:spacing w:before="30" w:after="30"/>
              <w:ind w:left="57"/>
              <w:jc w:val="left"/>
              <w:rPr>
                <w:rFonts w:ascii="Times New Roman Bold" w:hAnsi="Times New Roman Bold"/>
                <w:b/>
                <w:bCs/>
                <w:sz w:val="20"/>
                <w:lang w:val="fr-FR"/>
              </w:rPr>
            </w:pPr>
            <w:r w:rsidRPr="006D1F4D">
              <w:rPr>
                <w:rFonts w:ascii="Times New Roman Bold" w:hAnsi="Times New Roman Bold"/>
                <w:b/>
                <w:bCs/>
                <w:sz w:val="20"/>
                <w:lang w:val="fr-FR"/>
              </w:rPr>
              <w:t>TF</w:t>
            </w:r>
          </w:p>
        </w:tc>
        <w:tc>
          <w:tcPr>
            <w:tcW w:w="8220" w:type="dxa"/>
          </w:tcPr>
          <w:p w14:paraId="23E1B1A2" w14:textId="0BBC60A2" w:rsidR="00EF5660" w:rsidRPr="006D1F4D" w:rsidRDefault="005154D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6D1F4D">
              <w:rPr>
                <w:b w:val="0"/>
                <w:sz w:val="20"/>
                <w:lang w:val="fr-FR"/>
              </w:rPr>
              <w:t>Émissions</w:t>
            </w:r>
            <w:r w:rsidR="00EF5660" w:rsidRPr="006D1F4D">
              <w:rPr>
                <w:b w:val="0"/>
                <w:sz w:val="20"/>
                <w:lang w:val="fr-FR"/>
              </w:rPr>
              <w:t xml:space="preserve"> de fréquences étalon et de signaux horaires</w:t>
            </w:r>
          </w:p>
        </w:tc>
      </w:tr>
      <w:tr w:rsidR="00EF5660" w:rsidRPr="006D1F4D" w14:paraId="446E6F52" w14:textId="77777777" w:rsidTr="009F2B2B">
        <w:tc>
          <w:tcPr>
            <w:tcW w:w="1140" w:type="dxa"/>
          </w:tcPr>
          <w:p w14:paraId="53E640C0" w14:textId="77777777" w:rsidR="00EF5660" w:rsidRPr="006D1F4D" w:rsidRDefault="00EF5660" w:rsidP="009F2B2B">
            <w:pPr>
              <w:spacing w:before="30" w:after="30"/>
              <w:ind w:left="57"/>
              <w:jc w:val="left"/>
              <w:rPr>
                <w:b/>
                <w:bCs/>
                <w:sz w:val="20"/>
                <w:lang w:val="fr-FR"/>
              </w:rPr>
            </w:pPr>
            <w:r w:rsidRPr="006D1F4D">
              <w:rPr>
                <w:b/>
                <w:bCs/>
                <w:sz w:val="20"/>
                <w:lang w:val="fr-FR"/>
              </w:rPr>
              <w:t>V</w:t>
            </w:r>
          </w:p>
        </w:tc>
        <w:tc>
          <w:tcPr>
            <w:tcW w:w="8220" w:type="dxa"/>
          </w:tcPr>
          <w:p w14:paraId="434EE330" w14:textId="77777777" w:rsidR="00EF5660" w:rsidRPr="006D1F4D" w:rsidRDefault="00EF5660" w:rsidP="009F2B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6D1F4D">
              <w:rPr>
                <w:b w:val="0"/>
                <w:sz w:val="20"/>
                <w:lang w:val="fr-FR"/>
              </w:rPr>
              <w:t>Vocabulaire et sujets associés</w:t>
            </w:r>
          </w:p>
        </w:tc>
      </w:tr>
    </w:tbl>
    <w:p w14:paraId="5BB1702F" w14:textId="77777777" w:rsidR="00EF5660" w:rsidRPr="006D1F4D" w:rsidRDefault="00EF5660" w:rsidP="00EF5660">
      <w:pPr>
        <w:spacing w:before="0"/>
        <w:jc w:val="center"/>
        <w:rPr>
          <w:sz w:val="20"/>
          <w:lang w:val="fr-FR"/>
        </w:rPr>
      </w:pPr>
    </w:p>
    <w:p w14:paraId="41299B48" w14:textId="77777777" w:rsidR="00EF5660" w:rsidRPr="006D1F4D" w:rsidRDefault="00EF5660" w:rsidP="00EF5660">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EF5660" w:rsidRPr="00767B1B" w14:paraId="7C62634E" w14:textId="77777777" w:rsidTr="009F2B2B">
        <w:tc>
          <w:tcPr>
            <w:tcW w:w="9360" w:type="dxa"/>
          </w:tcPr>
          <w:p w14:paraId="7436FBAF" w14:textId="64791C20" w:rsidR="00EF5660" w:rsidRPr="006D1F4D" w:rsidRDefault="00EF5660" w:rsidP="009F2B2B">
            <w:pPr>
              <w:spacing w:before="80" w:after="80"/>
              <w:rPr>
                <w:i/>
                <w:iCs/>
                <w:sz w:val="20"/>
                <w:lang w:val="fr-FR"/>
              </w:rPr>
            </w:pPr>
            <w:proofErr w:type="gramStart"/>
            <w:r w:rsidRPr="006D1F4D">
              <w:rPr>
                <w:b/>
                <w:bCs/>
                <w:i/>
                <w:iCs/>
                <w:sz w:val="20"/>
                <w:lang w:val="fr-FR"/>
              </w:rPr>
              <w:t>Note</w:t>
            </w:r>
            <w:r w:rsidRPr="006D1F4D">
              <w:rPr>
                <w:i/>
                <w:iCs/>
                <w:sz w:val="20"/>
                <w:lang w:val="fr-FR"/>
              </w:rPr>
              <w:t>:</w:t>
            </w:r>
            <w:proofErr w:type="gramEnd"/>
            <w:r w:rsidRPr="006D1F4D">
              <w:rPr>
                <w:i/>
                <w:iCs/>
                <w:sz w:val="20"/>
                <w:lang w:val="fr-FR"/>
              </w:rPr>
              <w:t xml:space="preserve"> Cette Recommandation UIT-R a été approuvée en anglais aux termes de la procédure détaillée dans la Résolution UIT-R 1.</w:t>
            </w:r>
          </w:p>
        </w:tc>
      </w:tr>
    </w:tbl>
    <w:p w14:paraId="6588958E" w14:textId="77777777" w:rsidR="00EF5660" w:rsidRPr="006D1F4D" w:rsidRDefault="00EF5660" w:rsidP="00EF5660">
      <w:pPr>
        <w:spacing w:before="0"/>
        <w:jc w:val="center"/>
        <w:rPr>
          <w:sz w:val="22"/>
          <w:lang w:val="fr-FR"/>
        </w:rPr>
      </w:pPr>
    </w:p>
    <w:p w14:paraId="43DE49EB" w14:textId="77777777" w:rsidR="00EF5660" w:rsidRPr="006D1F4D" w:rsidRDefault="00EF5660" w:rsidP="00EF5660">
      <w:pPr>
        <w:spacing w:before="100"/>
        <w:jc w:val="right"/>
        <w:rPr>
          <w:i/>
          <w:iCs/>
          <w:sz w:val="20"/>
          <w:lang w:val="fr-FR"/>
        </w:rPr>
      </w:pPr>
      <w:r w:rsidRPr="006D1F4D">
        <w:rPr>
          <w:i/>
          <w:iCs/>
          <w:sz w:val="20"/>
          <w:lang w:val="fr-FR"/>
        </w:rPr>
        <w:t>Publication électronique</w:t>
      </w:r>
    </w:p>
    <w:p w14:paraId="41C69456" w14:textId="48164774" w:rsidR="00EF5660" w:rsidRPr="006D1F4D" w:rsidRDefault="00EF5660" w:rsidP="00EF5660">
      <w:pPr>
        <w:spacing w:before="0"/>
        <w:jc w:val="right"/>
        <w:rPr>
          <w:sz w:val="20"/>
          <w:lang w:val="fr-FR"/>
        </w:rPr>
      </w:pPr>
      <w:r w:rsidRPr="006D1F4D">
        <w:rPr>
          <w:sz w:val="20"/>
          <w:lang w:val="fr-FR"/>
        </w:rPr>
        <w:t>Genève, 202</w:t>
      </w:r>
      <w:r w:rsidR="00F11690" w:rsidRPr="006D1F4D">
        <w:rPr>
          <w:sz w:val="20"/>
          <w:lang w:val="fr-FR"/>
        </w:rPr>
        <w:t>5</w:t>
      </w:r>
    </w:p>
    <w:p w14:paraId="7A358A85" w14:textId="00D2996F" w:rsidR="00EF5660" w:rsidRPr="006D1F4D" w:rsidRDefault="00EF5660" w:rsidP="00EF5660">
      <w:pPr>
        <w:spacing w:before="200"/>
        <w:jc w:val="center"/>
        <w:rPr>
          <w:sz w:val="20"/>
          <w:lang w:val="fr-FR"/>
        </w:rPr>
      </w:pPr>
      <w:r w:rsidRPr="006D1F4D">
        <w:rPr>
          <w:sz w:val="20"/>
          <w:lang w:val="fr-FR"/>
        </w:rPr>
        <w:sym w:font="Symbol" w:char="F0E3"/>
      </w:r>
      <w:r w:rsidRPr="006D1F4D">
        <w:rPr>
          <w:sz w:val="20"/>
          <w:lang w:val="fr-FR"/>
        </w:rPr>
        <w:t xml:space="preserve"> UIT </w:t>
      </w:r>
      <w:bookmarkStart w:id="1" w:name="iiannee"/>
      <w:bookmarkEnd w:id="1"/>
      <w:r w:rsidRPr="006D1F4D">
        <w:rPr>
          <w:sz w:val="20"/>
          <w:lang w:val="fr-FR"/>
        </w:rPr>
        <w:t>202</w:t>
      </w:r>
      <w:r w:rsidR="00F11690" w:rsidRPr="006D1F4D">
        <w:rPr>
          <w:sz w:val="20"/>
          <w:lang w:val="fr-FR"/>
        </w:rPr>
        <w:t>5</w:t>
      </w:r>
    </w:p>
    <w:p w14:paraId="73100401" w14:textId="012FF65E" w:rsidR="00EF5660" w:rsidRPr="006D1F4D" w:rsidRDefault="00EF5660" w:rsidP="00EF5660">
      <w:pPr>
        <w:rPr>
          <w:sz w:val="18"/>
          <w:szCs w:val="18"/>
          <w:lang w:val="fr-FR"/>
        </w:rPr>
      </w:pPr>
      <w:r w:rsidRPr="006D1F4D">
        <w:rPr>
          <w:sz w:val="18"/>
          <w:szCs w:val="18"/>
          <w:lang w:val="fr-FR"/>
        </w:rPr>
        <w:t>Tous droits réservés. Aucune partie de cette publication ne peut être reproduite, par quelque procédé que ce soit, sans l</w:t>
      </w:r>
      <w:r w:rsidR="00F11690" w:rsidRPr="006D1F4D">
        <w:rPr>
          <w:sz w:val="18"/>
          <w:szCs w:val="18"/>
          <w:lang w:val="fr-FR"/>
        </w:rPr>
        <w:t>'</w:t>
      </w:r>
      <w:r w:rsidRPr="006D1F4D">
        <w:rPr>
          <w:sz w:val="18"/>
          <w:szCs w:val="18"/>
          <w:lang w:val="fr-FR"/>
        </w:rPr>
        <w:t>accord écrit préalable de l</w:t>
      </w:r>
      <w:r w:rsidR="00F11690" w:rsidRPr="006D1F4D">
        <w:rPr>
          <w:sz w:val="18"/>
          <w:szCs w:val="18"/>
          <w:lang w:val="fr-FR"/>
        </w:rPr>
        <w:t>'</w:t>
      </w:r>
      <w:r w:rsidRPr="006D1F4D">
        <w:rPr>
          <w:sz w:val="18"/>
          <w:szCs w:val="18"/>
          <w:lang w:val="fr-FR"/>
        </w:rPr>
        <w:t>UIT.</w:t>
      </w:r>
    </w:p>
    <w:p w14:paraId="48768596" w14:textId="77777777" w:rsidR="00EF5660" w:rsidRPr="006D1F4D" w:rsidRDefault="00EF5660" w:rsidP="00EF5660">
      <w:pPr>
        <w:spacing w:before="160"/>
        <w:rPr>
          <w:i/>
          <w:sz w:val="20"/>
          <w:lang w:val="fr-FR"/>
        </w:rPr>
        <w:sectPr w:rsidR="00EF5660" w:rsidRPr="006D1F4D" w:rsidSect="00EF5660">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1C732789" w14:textId="453D950D" w:rsidR="00381F24" w:rsidRPr="006D1F4D" w:rsidRDefault="00381F24" w:rsidP="00ED2DB0">
      <w:pPr>
        <w:pStyle w:val="RecNo"/>
        <w:rPr>
          <w:lang w:val="fr-FR"/>
        </w:rPr>
      </w:pPr>
      <w:bookmarkStart w:id="2" w:name="irecnoe"/>
      <w:bookmarkEnd w:id="2"/>
      <w:r w:rsidRPr="00EB1FFF">
        <w:rPr>
          <w:lang w:val="fr-CH"/>
        </w:rPr>
        <w:lastRenderedPageBreak/>
        <w:t>RECOMMANDATION</w:t>
      </w:r>
      <w:r w:rsidRPr="006D1F4D">
        <w:rPr>
          <w:lang w:val="fr-FR"/>
        </w:rPr>
        <w:t xml:space="preserve"> </w:t>
      </w:r>
      <w:r w:rsidRPr="006D1F4D">
        <w:rPr>
          <w:rStyle w:val="href"/>
          <w:lang w:val="fr-FR"/>
        </w:rPr>
        <w:t>UIT-R BT.1666</w:t>
      </w:r>
      <w:r w:rsidR="00F51AF4" w:rsidRPr="006D1F4D">
        <w:rPr>
          <w:rStyle w:val="href"/>
          <w:lang w:val="fr-FR"/>
        </w:rPr>
        <w:t>-1</w:t>
      </w:r>
    </w:p>
    <w:p w14:paraId="08C08352" w14:textId="715C7709" w:rsidR="00381F24" w:rsidRPr="006D1F4D" w:rsidRDefault="00ED2DB0" w:rsidP="00381F24">
      <w:pPr>
        <w:pStyle w:val="Rectitle"/>
        <w:rPr>
          <w:lang w:val="fr-FR"/>
        </w:rPr>
      </w:pPr>
      <w:r w:rsidRPr="00ED2DB0">
        <w:rPr>
          <w:bCs/>
          <w:lang w:val="fr-FR"/>
        </w:rPr>
        <w:t xml:space="preserve">Applications télévisuelles pour projection en salle de cinéma – </w:t>
      </w:r>
      <w:r>
        <w:rPr>
          <w:bCs/>
          <w:lang w:val="fr-FR"/>
        </w:rPr>
        <w:br/>
      </w:r>
      <w:r w:rsidRPr="00ED2DB0">
        <w:rPr>
          <w:bCs/>
          <w:lang w:val="fr-FR"/>
        </w:rPr>
        <w:t>Spécifications d'utilisateur</w:t>
      </w:r>
    </w:p>
    <w:p w14:paraId="671AD4EA" w14:textId="54636814" w:rsidR="00381F24" w:rsidRPr="006D1F4D" w:rsidRDefault="00381F24" w:rsidP="00381F24">
      <w:pPr>
        <w:pStyle w:val="Recdate"/>
        <w:rPr>
          <w:lang w:val="fr-FR"/>
        </w:rPr>
      </w:pPr>
      <w:r w:rsidRPr="006D1F4D">
        <w:rPr>
          <w:lang w:val="fr-FR"/>
        </w:rPr>
        <w:t>(2003</w:t>
      </w:r>
      <w:r w:rsidR="00F51AF4" w:rsidRPr="006D1F4D">
        <w:rPr>
          <w:lang w:val="fr-FR"/>
        </w:rPr>
        <w:t>-2025</w:t>
      </w:r>
      <w:r w:rsidRPr="006D1F4D">
        <w:rPr>
          <w:lang w:val="fr-FR"/>
        </w:rPr>
        <w:t>)</w:t>
      </w:r>
    </w:p>
    <w:p w14:paraId="09B18C4E" w14:textId="77777777" w:rsidR="00381F24" w:rsidRPr="006D1F4D" w:rsidRDefault="00381F24" w:rsidP="00381F24">
      <w:pPr>
        <w:pStyle w:val="Normalaftertitle"/>
        <w:rPr>
          <w:lang w:val="fr-FR"/>
        </w:rPr>
      </w:pPr>
      <w:r w:rsidRPr="006D1F4D">
        <w:rPr>
          <w:lang w:val="fr-FR"/>
        </w:rPr>
        <w:t>L'Assemblée des radiocommunications de l'UIT,</w:t>
      </w:r>
    </w:p>
    <w:p w14:paraId="7B604906" w14:textId="77777777" w:rsidR="00381F24" w:rsidRPr="006D1F4D" w:rsidRDefault="00381F24" w:rsidP="00381F24">
      <w:pPr>
        <w:pStyle w:val="Call"/>
        <w:rPr>
          <w:lang w:val="fr-FR"/>
        </w:rPr>
      </w:pPr>
      <w:proofErr w:type="gramStart"/>
      <w:r w:rsidRPr="006D1F4D">
        <w:rPr>
          <w:lang w:val="fr-FR"/>
        </w:rPr>
        <w:t>considérant</w:t>
      </w:r>
      <w:proofErr w:type="gramEnd"/>
    </w:p>
    <w:p w14:paraId="5F066379" w14:textId="561202FB" w:rsidR="00381F24" w:rsidRPr="006D1F4D" w:rsidRDefault="00F51AF4" w:rsidP="00381F24">
      <w:pPr>
        <w:rPr>
          <w:lang w:val="fr-FR"/>
        </w:rPr>
      </w:pPr>
      <w:r w:rsidRPr="006D1F4D">
        <w:rPr>
          <w:i/>
          <w:iCs/>
          <w:lang w:val="fr-FR"/>
        </w:rPr>
        <w:t>a</w:t>
      </w:r>
      <w:r w:rsidR="00381F24" w:rsidRPr="006D1F4D">
        <w:rPr>
          <w:i/>
          <w:iCs/>
          <w:lang w:val="fr-FR"/>
        </w:rPr>
        <w:t>)</w:t>
      </w:r>
      <w:r w:rsidR="00381F24" w:rsidRPr="006D1F4D">
        <w:rPr>
          <w:lang w:val="fr-FR"/>
        </w:rPr>
        <w:tab/>
        <w:t xml:space="preserve">qu'il pourrait être utile d'élaborer une hiérarchie uniforme ou compatible de normes techniques relatives à l'enregistrement, à la génération des originaux, à l'échange, à la diffusion et à la projection des programmes, harmonisées avec les normes établies pour l'enregistrement, la génération des originaux, l'échange et la diffusion de programmes concernant d'autres applications, puisqu'une telle démarche permettrait de faciliter l'échange international de </w:t>
      </w:r>
      <w:proofErr w:type="gramStart"/>
      <w:r w:rsidR="00381F24" w:rsidRPr="006D1F4D">
        <w:rPr>
          <w:lang w:val="fr-FR"/>
        </w:rPr>
        <w:t>programmes;</w:t>
      </w:r>
      <w:proofErr w:type="gramEnd"/>
    </w:p>
    <w:p w14:paraId="1322FBCA" w14:textId="6AEC9F8D" w:rsidR="00381F24" w:rsidRPr="006D1F4D" w:rsidRDefault="00F51AF4" w:rsidP="00381F24">
      <w:pPr>
        <w:rPr>
          <w:lang w:val="fr-FR"/>
        </w:rPr>
      </w:pPr>
      <w:r w:rsidRPr="006D1F4D">
        <w:rPr>
          <w:i/>
          <w:iCs/>
          <w:lang w:val="fr-FR"/>
        </w:rPr>
        <w:t>b</w:t>
      </w:r>
      <w:r w:rsidR="00381F24" w:rsidRPr="006D1F4D">
        <w:rPr>
          <w:i/>
          <w:iCs/>
          <w:lang w:val="fr-FR"/>
        </w:rPr>
        <w:t>)</w:t>
      </w:r>
      <w:r w:rsidR="00381F24" w:rsidRPr="006D1F4D">
        <w:rPr>
          <w:lang w:val="fr-FR"/>
        </w:rPr>
        <w:tab/>
        <w:t xml:space="preserve">qu'en offrant aux exploitants de salles de spectacle la possibilité de projeter divers types de programmes (pièces de théâtre, rencontres sportives, concerts, spectacles culturels, etc.), on </w:t>
      </w:r>
      <w:r w:rsidRPr="006D1F4D">
        <w:rPr>
          <w:lang w:val="fr-FR"/>
        </w:rPr>
        <w:t>a ouvert</w:t>
      </w:r>
      <w:r w:rsidR="00381F24" w:rsidRPr="006D1F4D">
        <w:rPr>
          <w:lang w:val="fr-FR"/>
        </w:rPr>
        <w:t xml:space="preserve"> de nouveaux débouchés commerciaux susceptibles d'être intéressants aussi bien pour les exploitants de salles que pour leur </w:t>
      </w:r>
      <w:proofErr w:type="gramStart"/>
      <w:r w:rsidR="00381F24" w:rsidRPr="006D1F4D">
        <w:rPr>
          <w:lang w:val="fr-FR"/>
        </w:rPr>
        <w:t>public;</w:t>
      </w:r>
      <w:proofErr w:type="gramEnd"/>
    </w:p>
    <w:p w14:paraId="40223E43" w14:textId="28274959" w:rsidR="00381F24" w:rsidRPr="006D1F4D" w:rsidRDefault="00F51AF4" w:rsidP="00381F24">
      <w:pPr>
        <w:rPr>
          <w:lang w:val="fr-FR"/>
        </w:rPr>
      </w:pPr>
      <w:r w:rsidRPr="006D1F4D">
        <w:rPr>
          <w:i/>
          <w:iCs/>
          <w:lang w:val="fr-FR"/>
        </w:rPr>
        <w:t>c</w:t>
      </w:r>
      <w:r w:rsidR="00381F24" w:rsidRPr="006D1F4D">
        <w:rPr>
          <w:i/>
          <w:iCs/>
          <w:lang w:val="fr-FR"/>
        </w:rPr>
        <w:t>)</w:t>
      </w:r>
      <w:r w:rsidR="00381F24" w:rsidRPr="006D1F4D">
        <w:rPr>
          <w:lang w:val="fr-FR"/>
        </w:rPr>
        <w:tab/>
        <w:t xml:space="preserve">qu'il est nécessaire d'encourager la création de produits concurrentiels présentant une totale interopérabilité et caractérisés par une maintenance relativement peu </w:t>
      </w:r>
      <w:proofErr w:type="gramStart"/>
      <w:r w:rsidR="00381F24" w:rsidRPr="006D1F4D">
        <w:rPr>
          <w:lang w:val="fr-FR"/>
        </w:rPr>
        <w:t>onéreuse;</w:t>
      </w:r>
      <w:proofErr w:type="gramEnd"/>
    </w:p>
    <w:p w14:paraId="3D74F1EB" w14:textId="7253BEAB" w:rsidR="00381F24" w:rsidRPr="006D1F4D" w:rsidRDefault="00F51AF4" w:rsidP="00381F24">
      <w:pPr>
        <w:rPr>
          <w:lang w:val="fr-FR"/>
        </w:rPr>
      </w:pPr>
      <w:r w:rsidRPr="006D1F4D">
        <w:rPr>
          <w:i/>
          <w:iCs/>
          <w:lang w:val="fr-FR"/>
        </w:rPr>
        <w:t>d</w:t>
      </w:r>
      <w:r w:rsidR="00381F24" w:rsidRPr="006D1F4D">
        <w:rPr>
          <w:i/>
          <w:iCs/>
          <w:lang w:val="fr-FR"/>
        </w:rPr>
        <w:t>)</w:t>
      </w:r>
      <w:r w:rsidR="00381F24" w:rsidRPr="006D1F4D">
        <w:rPr>
          <w:lang w:val="fr-FR"/>
        </w:rPr>
        <w:tab/>
        <w:t xml:space="preserve">que les programmes </w:t>
      </w:r>
      <w:r w:rsidRPr="006D1F4D">
        <w:rPr>
          <w:lang w:val="fr-FR"/>
        </w:rPr>
        <w:t>télévisuels</w:t>
      </w:r>
      <w:r w:rsidR="00381F24" w:rsidRPr="006D1F4D">
        <w:rPr>
          <w:lang w:val="fr-FR"/>
        </w:rPr>
        <w:t>, notamment de télévision à haute définition (TVHD),</w:t>
      </w:r>
      <w:r w:rsidRPr="006D1F4D">
        <w:rPr>
          <w:lang w:val="fr-FR"/>
        </w:rPr>
        <w:t xml:space="preserve"> à ultra haute définition (TVUHD) et à grande plage dynamique (TV-HDR)</w:t>
      </w:r>
      <w:r w:rsidR="00381F24" w:rsidRPr="006D1F4D">
        <w:rPr>
          <w:lang w:val="fr-FR"/>
        </w:rPr>
        <w:t xml:space="preserve"> seront diffusés en salle en temps réel ou en temps différé, par satellite, par câble, par fibre optique, par radiodiffusion de Terre ou sur support </w:t>
      </w:r>
      <w:proofErr w:type="gramStart"/>
      <w:r w:rsidR="00381F24" w:rsidRPr="006D1F4D">
        <w:rPr>
          <w:lang w:val="fr-FR"/>
        </w:rPr>
        <w:t>enregistré;</w:t>
      </w:r>
      <w:proofErr w:type="gramEnd"/>
    </w:p>
    <w:p w14:paraId="4A718F86" w14:textId="32C33FF4" w:rsidR="00381F24" w:rsidRPr="006D1F4D" w:rsidRDefault="00F51AF4" w:rsidP="00381F24">
      <w:pPr>
        <w:rPr>
          <w:lang w:val="fr-FR"/>
        </w:rPr>
      </w:pPr>
      <w:r w:rsidRPr="006D1F4D">
        <w:rPr>
          <w:i/>
          <w:iCs/>
          <w:lang w:val="fr-FR"/>
        </w:rPr>
        <w:t>e)</w:t>
      </w:r>
      <w:r w:rsidR="00381F24" w:rsidRPr="006D1F4D">
        <w:rPr>
          <w:lang w:val="fr-FR"/>
        </w:rPr>
        <w:tab/>
        <w:t xml:space="preserve">qu'il est essentiel d'adopter des normes techniques d'accès ouvert pour la distribution et la projection des programmes destinés à être présentés </w:t>
      </w:r>
      <w:r w:rsidRPr="006D1F4D">
        <w:rPr>
          <w:lang w:val="fr-FR"/>
        </w:rPr>
        <w:t>en salle de cinéma</w:t>
      </w:r>
      <w:r w:rsidR="00381F24" w:rsidRPr="006D1F4D">
        <w:rPr>
          <w:lang w:val="fr-FR"/>
        </w:rPr>
        <w:t>, et qu'il conviendrait en la matière de tenir compte des normes existantes,</w:t>
      </w:r>
    </w:p>
    <w:p w14:paraId="019BE8A4" w14:textId="16855ED2" w:rsidR="00381F24" w:rsidRPr="006D1F4D" w:rsidRDefault="00381F24" w:rsidP="00381F24">
      <w:pPr>
        <w:pStyle w:val="Call"/>
        <w:rPr>
          <w:lang w:val="fr-FR"/>
        </w:rPr>
      </w:pPr>
      <w:proofErr w:type="gramStart"/>
      <w:r w:rsidRPr="006D1F4D">
        <w:rPr>
          <w:lang w:val="fr-FR"/>
        </w:rPr>
        <w:t>recommande</w:t>
      </w:r>
      <w:proofErr w:type="gramEnd"/>
    </w:p>
    <w:p w14:paraId="553890B4" w14:textId="03BF73DA" w:rsidR="00381F24" w:rsidRPr="006D1F4D" w:rsidRDefault="00381F24" w:rsidP="00381F24">
      <w:pPr>
        <w:rPr>
          <w:lang w:val="fr-FR"/>
        </w:rPr>
      </w:pPr>
      <w:proofErr w:type="gramStart"/>
      <w:r w:rsidRPr="006D1F4D">
        <w:rPr>
          <w:lang w:val="fr-FR"/>
        </w:rPr>
        <w:t>de</w:t>
      </w:r>
      <w:proofErr w:type="gramEnd"/>
      <w:r w:rsidRPr="006D1F4D">
        <w:rPr>
          <w:lang w:val="fr-FR"/>
        </w:rPr>
        <w:t xml:space="preserve"> tenir compte des spécifications d'utilisateur définies dans l'Annexe 1 pour la présentation </w:t>
      </w:r>
      <w:r w:rsidR="00F51AF4" w:rsidRPr="006D1F4D">
        <w:rPr>
          <w:lang w:val="fr-FR"/>
        </w:rPr>
        <w:t xml:space="preserve">en salle de cinéma </w:t>
      </w:r>
      <w:r w:rsidRPr="006D1F4D">
        <w:rPr>
          <w:lang w:val="fr-FR"/>
        </w:rPr>
        <w:t xml:space="preserve">de programmes </w:t>
      </w:r>
      <w:r w:rsidR="00F51AF4" w:rsidRPr="006D1F4D">
        <w:rPr>
          <w:lang w:val="fr-FR"/>
        </w:rPr>
        <w:t>télévisuels lors de la définition d'une hiérarchie d'approches techniques concernant les applications télévisuelles pour projection en salle de cinéma</w:t>
      </w:r>
      <w:r w:rsidR="00962802" w:rsidRPr="006D1F4D">
        <w:rPr>
          <w:lang w:val="fr-FR"/>
        </w:rPr>
        <w:t>.</w:t>
      </w:r>
    </w:p>
    <w:p w14:paraId="6D673E54" w14:textId="60222CC0" w:rsidR="00962802" w:rsidRDefault="00962802" w:rsidP="00381F24">
      <w:pPr>
        <w:rPr>
          <w:lang w:val="fr-FR"/>
        </w:rPr>
      </w:pPr>
    </w:p>
    <w:p w14:paraId="401BC4E8" w14:textId="77777777" w:rsidR="00436859" w:rsidRPr="006D1F4D" w:rsidRDefault="00436859" w:rsidP="00381F24">
      <w:pPr>
        <w:rPr>
          <w:lang w:val="fr-FR"/>
        </w:rPr>
      </w:pPr>
    </w:p>
    <w:p w14:paraId="76141AE9" w14:textId="7C774991" w:rsidR="00381F24" w:rsidRPr="006D1F4D" w:rsidRDefault="00381F24" w:rsidP="00436859">
      <w:pPr>
        <w:pStyle w:val="AnnexNoTitle"/>
        <w:outlineLvl w:val="0"/>
        <w:rPr>
          <w:lang w:val="fr-FR"/>
        </w:rPr>
      </w:pPr>
      <w:r w:rsidRPr="006D1F4D">
        <w:rPr>
          <w:lang w:val="fr-FR"/>
        </w:rPr>
        <w:t>Annexe 1</w:t>
      </w:r>
      <w:r w:rsidRPr="006D1F4D">
        <w:rPr>
          <w:lang w:val="fr-FR"/>
        </w:rPr>
        <w:br/>
      </w:r>
      <w:r w:rsidRPr="006D1F4D">
        <w:rPr>
          <w:lang w:val="fr-FR"/>
        </w:rPr>
        <w:br/>
        <w:t>Spécifications d'utilisateur pour la présentation</w:t>
      </w:r>
      <w:r w:rsidR="00386E74" w:rsidRPr="006D1F4D">
        <w:rPr>
          <w:lang w:val="fr-FR"/>
        </w:rPr>
        <w:t xml:space="preserve"> </w:t>
      </w:r>
      <w:r w:rsidR="00F51AF4" w:rsidRPr="006D1F4D">
        <w:rPr>
          <w:lang w:val="fr-FR"/>
        </w:rPr>
        <w:t>en</w:t>
      </w:r>
      <w:r w:rsidR="00386E74" w:rsidRPr="006D1F4D">
        <w:rPr>
          <w:lang w:val="fr-FR"/>
        </w:rPr>
        <w:br/>
      </w:r>
      <w:r w:rsidR="00F51AF4" w:rsidRPr="006D1F4D">
        <w:rPr>
          <w:lang w:val="fr-FR"/>
        </w:rPr>
        <w:t xml:space="preserve">salle de cinéma </w:t>
      </w:r>
      <w:r w:rsidRPr="006D1F4D">
        <w:rPr>
          <w:lang w:val="fr-FR"/>
        </w:rPr>
        <w:t xml:space="preserve">de programmes </w:t>
      </w:r>
      <w:r w:rsidR="00F51AF4" w:rsidRPr="006D1F4D">
        <w:rPr>
          <w:lang w:val="fr-FR"/>
        </w:rPr>
        <w:t>télévisuels</w:t>
      </w:r>
    </w:p>
    <w:p w14:paraId="0ADBA78D" w14:textId="77777777" w:rsidR="00381F24" w:rsidRPr="006D1F4D" w:rsidRDefault="00381F24" w:rsidP="00386E74">
      <w:pPr>
        <w:pStyle w:val="Headingi"/>
        <w:spacing w:before="240"/>
        <w:rPr>
          <w:lang w:val="fr-FR"/>
        </w:rPr>
      </w:pPr>
      <w:r w:rsidRPr="006D1F4D">
        <w:rPr>
          <w:lang w:val="fr-FR"/>
        </w:rPr>
        <w:t>Qualité de fonctionnement</w:t>
      </w:r>
    </w:p>
    <w:p w14:paraId="27B78698" w14:textId="77777777" w:rsidR="00381F24" w:rsidRPr="006D1F4D" w:rsidRDefault="00381F24" w:rsidP="00381F24">
      <w:pPr>
        <w:pStyle w:val="enumlev1"/>
        <w:rPr>
          <w:lang w:val="fr-FR"/>
        </w:rPr>
      </w:pPr>
      <w:r w:rsidRPr="006D1F4D">
        <w:rPr>
          <w:lang w:val="fr-FR"/>
        </w:rPr>
        <w:t>–</w:t>
      </w:r>
      <w:r w:rsidRPr="006D1F4D">
        <w:rPr>
          <w:lang w:val="fr-FR"/>
        </w:rPr>
        <w:tab/>
        <w:t>Différents niveaux de qualité de fonctionnement seront définis au moyen de spécifications techniques.</w:t>
      </w:r>
    </w:p>
    <w:p w14:paraId="46B33BCD" w14:textId="3D1F25D1" w:rsidR="00381F24" w:rsidRPr="006D1F4D" w:rsidRDefault="00381F24" w:rsidP="00381F24">
      <w:pPr>
        <w:pStyle w:val="enumlev1"/>
        <w:rPr>
          <w:lang w:val="fr-FR"/>
        </w:rPr>
      </w:pPr>
      <w:r w:rsidRPr="006D1F4D">
        <w:rPr>
          <w:lang w:val="fr-FR"/>
        </w:rPr>
        <w:lastRenderedPageBreak/>
        <w:t>–</w:t>
      </w:r>
      <w:r w:rsidRPr="006D1F4D">
        <w:rPr>
          <w:lang w:val="fr-FR"/>
        </w:rPr>
        <w:tab/>
        <w:t xml:space="preserve">Les applications pour projection en salle </w:t>
      </w:r>
      <w:r w:rsidR="00F51AF4" w:rsidRPr="006D1F4D">
        <w:rPr>
          <w:lang w:val="fr-FR"/>
        </w:rPr>
        <w:t xml:space="preserve">de cinéma </w:t>
      </w:r>
      <w:r w:rsidRPr="006D1F4D">
        <w:rPr>
          <w:lang w:val="fr-FR"/>
        </w:rPr>
        <w:t xml:space="preserve">devront répondre à un certain nombre de critères subjectifs de qualité d'image et de qualité sonore communs à un ensemble défini </w:t>
      </w:r>
      <w:proofErr w:type="gramStart"/>
      <w:r w:rsidRPr="006D1F4D">
        <w:rPr>
          <w:lang w:val="fr-FR"/>
        </w:rPr>
        <w:t>d'applications:</w:t>
      </w:r>
      <w:proofErr w:type="gramEnd"/>
      <w:r w:rsidRPr="006D1F4D">
        <w:rPr>
          <w:lang w:val="fr-FR"/>
        </w:rPr>
        <w:t xml:space="preserve"> annonces publicitaires, rencontres sportives, pièces de théâtre, etc.</w:t>
      </w:r>
    </w:p>
    <w:p w14:paraId="650A055B" w14:textId="3A0DC0F8" w:rsidR="00381F24" w:rsidRPr="006D1F4D" w:rsidRDefault="00381F24" w:rsidP="00381F24">
      <w:pPr>
        <w:pStyle w:val="enumlev1"/>
        <w:rPr>
          <w:lang w:val="fr-FR"/>
        </w:rPr>
      </w:pPr>
      <w:r w:rsidRPr="006D1F4D">
        <w:rPr>
          <w:lang w:val="fr-FR"/>
        </w:rPr>
        <w:t>–</w:t>
      </w:r>
      <w:r w:rsidRPr="006D1F4D">
        <w:rPr>
          <w:lang w:val="fr-FR"/>
        </w:rPr>
        <w:tab/>
        <w:t>Pour les applications</w:t>
      </w:r>
      <w:r w:rsidR="00F51AF4" w:rsidRPr="006D1F4D">
        <w:rPr>
          <w:lang w:val="fr-FR"/>
        </w:rPr>
        <w:t xml:space="preserve"> offrant </w:t>
      </w:r>
      <w:r w:rsidRPr="006D1F4D">
        <w:rPr>
          <w:lang w:val="fr-FR"/>
        </w:rPr>
        <w:t xml:space="preserve">le niveau maximal de qualité d'un système </w:t>
      </w:r>
      <w:r w:rsidR="00F51AF4" w:rsidRPr="006D1F4D">
        <w:rPr>
          <w:lang w:val="fr-FR"/>
        </w:rPr>
        <w:t xml:space="preserve">télévisuel, la qualité </w:t>
      </w:r>
      <w:r w:rsidRPr="006D1F4D">
        <w:rPr>
          <w:lang w:val="fr-FR"/>
        </w:rPr>
        <w:t xml:space="preserve">subjective globale de l'image et du son </w:t>
      </w:r>
      <w:r w:rsidR="00F51AF4" w:rsidRPr="006D1F4D">
        <w:rPr>
          <w:lang w:val="fr-FR"/>
        </w:rPr>
        <w:t xml:space="preserve">devrait être </w:t>
      </w:r>
      <w:r w:rsidRPr="006D1F4D">
        <w:rPr>
          <w:lang w:val="fr-FR"/>
        </w:rPr>
        <w:t>égale ou supérieure à la qualité actuelle des projections en salle de cinéma.</w:t>
      </w:r>
    </w:p>
    <w:p w14:paraId="4C7C64C0" w14:textId="77777777" w:rsidR="00381F24" w:rsidRPr="006D1F4D" w:rsidRDefault="00381F24" w:rsidP="00381F24">
      <w:pPr>
        <w:pStyle w:val="Headingi"/>
        <w:rPr>
          <w:lang w:val="fr-FR"/>
        </w:rPr>
      </w:pPr>
      <w:r w:rsidRPr="006D1F4D">
        <w:rPr>
          <w:lang w:val="fr-FR"/>
        </w:rPr>
        <w:t>Interopérabilité</w:t>
      </w:r>
    </w:p>
    <w:p w14:paraId="5B31FAC8" w14:textId="77777777" w:rsidR="00381F24" w:rsidRPr="006D1F4D" w:rsidRDefault="00381F24" w:rsidP="00381F24">
      <w:pPr>
        <w:pStyle w:val="enumlev1"/>
        <w:rPr>
          <w:lang w:val="fr-FR"/>
        </w:rPr>
      </w:pPr>
      <w:r w:rsidRPr="006D1F4D">
        <w:rPr>
          <w:lang w:val="fr-FR"/>
        </w:rPr>
        <w:t>–</w:t>
      </w:r>
      <w:r w:rsidRPr="006D1F4D">
        <w:rPr>
          <w:lang w:val="fr-FR"/>
        </w:rPr>
        <w:tab/>
        <w:t>La reproduction des contenus sera uniforme, quelles que soient les marques des équipements de reproduction et de projection et les technologies utilisées.</w:t>
      </w:r>
    </w:p>
    <w:p w14:paraId="276EAD1D" w14:textId="77777777" w:rsidR="00381F24" w:rsidRPr="006D1F4D" w:rsidRDefault="00381F24" w:rsidP="00381F24">
      <w:pPr>
        <w:pStyle w:val="enumlev1"/>
        <w:rPr>
          <w:lang w:val="fr-FR"/>
        </w:rPr>
      </w:pPr>
      <w:r w:rsidRPr="006D1F4D">
        <w:rPr>
          <w:lang w:val="fr-FR"/>
        </w:rPr>
        <w:t>–</w:t>
      </w:r>
      <w:r w:rsidRPr="006D1F4D">
        <w:rPr>
          <w:lang w:val="fr-FR"/>
        </w:rPr>
        <w:tab/>
        <w:t>La reproduction de l'image et du son numérique, le codage, le cryptage, l'enregistrement et la reproduction seront conformes à des normes techniques ouvertes applicables dans le monde entier.</w:t>
      </w:r>
    </w:p>
    <w:p w14:paraId="5BF3FEEF" w14:textId="3514D1CB" w:rsidR="00381F24" w:rsidRPr="006D1F4D" w:rsidRDefault="00381F24" w:rsidP="00381F24">
      <w:pPr>
        <w:pStyle w:val="enumlev1"/>
        <w:rPr>
          <w:lang w:val="fr-FR"/>
        </w:rPr>
      </w:pPr>
      <w:r w:rsidRPr="006D1F4D">
        <w:rPr>
          <w:lang w:val="fr-FR"/>
        </w:rPr>
        <w:t>–</w:t>
      </w:r>
      <w:r w:rsidRPr="006D1F4D">
        <w:rPr>
          <w:lang w:val="fr-FR"/>
        </w:rPr>
        <w:tab/>
        <w:t xml:space="preserve">Les métadonnées associées aux programmes </w:t>
      </w:r>
      <w:r w:rsidR="00F51AF4" w:rsidRPr="006D1F4D">
        <w:rPr>
          <w:lang w:val="fr-FR"/>
        </w:rPr>
        <w:t>télévisuels</w:t>
      </w:r>
      <w:r w:rsidRPr="006D1F4D">
        <w:rPr>
          <w:lang w:val="fr-FR"/>
        </w:rPr>
        <w:t xml:space="preserve"> seront également conformes à des normes techniques ouvertes applicables dans le monde entier.</w:t>
      </w:r>
    </w:p>
    <w:p w14:paraId="3A880904" w14:textId="4E872D2E" w:rsidR="00381F24" w:rsidRPr="006D1F4D" w:rsidRDefault="00381F24" w:rsidP="00381F24">
      <w:pPr>
        <w:pStyle w:val="enumlev1"/>
        <w:rPr>
          <w:lang w:val="fr-FR"/>
        </w:rPr>
      </w:pPr>
      <w:r w:rsidRPr="006D1F4D">
        <w:rPr>
          <w:lang w:val="fr-FR"/>
        </w:rPr>
        <w:t>–</w:t>
      </w:r>
      <w:r w:rsidRPr="006D1F4D">
        <w:rPr>
          <w:lang w:val="fr-FR"/>
        </w:rPr>
        <w:tab/>
        <w:t xml:space="preserve">Les équipements techniques mis au point pour la distribution et la présentation de programmes </w:t>
      </w:r>
      <w:r w:rsidR="00F51AF4" w:rsidRPr="006D1F4D">
        <w:rPr>
          <w:lang w:val="fr-FR"/>
        </w:rPr>
        <w:t xml:space="preserve">télévisuels </w:t>
      </w:r>
      <w:r w:rsidRPr="006D1F4D">
        <w:rPr>
          <w:lang w:val="fr-FR"/>
        </w:rPr>
        <w:t>seront totalement interopérables, quels que soient les systèmes proposés par les fournisseurs d'équipements.</w:t>
      </w:r>
    </w:p>
    <w:p w14:paraId="0FCEB167" w14:textId="77777777" w:rsidR="00381F24" w:rsidRPr="006D1F4D" w:rsidRDefault="00381F24" w:rsidP="00381F24">
      <w:pPr>
        <w:pStyle w:val="Headingi"/>
        <w:rPr>
          <w:lang w:val="fr-FR"/>
        </w:rPr>
      </w:pPr>
      <w:r w:rsidRPr="006D1F4D">
        <w:rPr>
          <w:lang w:val="fr-FR"/>
        </w:rPr>
        <w:t>Méthodes de diffusion et vérification</w:t>
      </w:r>
    </w:p>
    <w:p w14:paraId="077872D2" w14:textId="468479C5" w:rsidR="00381F24" w:rsidRPr="006D1F4D" w:rsidRDefault="00381F24" w:rsidP="00381F24">
      <w:pPr>
        <w:pStyle w:val="enumlev1"/>
        <w:rPr>
          <w:lang w:val="fr-FR"/>
        </w:rPr>
      </w:pPr>
      <w:r w:rsidRPr="006D1F4D">
        <w:rPr>
          <w:lang w:val="fr-FR"/>
        </w:rPr>
        <w:t>–</w:t>
      </w:r>
      <w:r w:rsidRPr="006D1F4D">
        <w:rPr>
          <w:lang w:val="fr-FR"/>
        </w:rPr>
        <w:tab/>
        <w:t xml:space="preserve">Les systèmes </w:t>
      </w:r>
      <w:r w:rsidR="00F51AF4" w:rsidRPr="006D1F4D">
        <w:rPr>
          <w:lang w:val="fr-FR"/>
        </w:rPr>
        <w:t xml:space="preserve">télévisuels </w:t>
      </w:r>
      <w:r w:rsidRPr="006D1F4D">
        <w:rPr>
          <w:lang w:val="fr-FR"/>
        </w:rPr>
        <w:t>seront compatibles avec les interfaces de diffusion en temps réel (câbles, fibres optiques, radiodiffusion et satellites) utilisées dans l'industrie ainsi qu'avec les interfaces de diffusion en temps différé utilisées dans le secteur des télécommunications.</w:t>
      </w:r>
    </w:p>
    <w:p w14:paraId="32D990D2" w14:textId="442A968E" w:rsidR="00381F24" w:rsidRPr="006D1F4D" w:rsidRDefault="00381F24" w:rsidP="00381F24">
      <w:pPr>
        <w:pStyle w:val="enumlev1"/>
        <w:rPr>
          <w:lang w:val="fr-FR"/>
        </w:rPr>
      </w:pPr>
      <w:r w:rsidRPr="006D1F4D">
        <w:rPr>
          <w:lang w:val="fr-FR"/>
        </w:rPr>
        <w:t>–</w:t>
      </w:r>
      <w:r w:rsidRPr="006D1F4D">
        <w:rPr>
          <w:lang w:val="fr-FR"/>
        </w:rPr>
        <w:tab/>
        <w:t xml:space="preserve">Les copies de référence des contenus destinés aux présentations </w:t>
      </w:r>
      <w:r w:rsidR="00F51AF4" w:rsidRPr="006D1F4D">
        <w:rPr>
          <w:lang w:val="fr-FR"/>
        </w:rPr>
        <w:t>en</w:t>
      </w:r>
      <w:r w:rsidRPr="006D1F4D">
        <w:rPr>
          <w:lang w:val="fr-FR"/>
        </w:rPr>
        <w:t xml:space="preserve"> salle </w:t>
      </w:r>
      <w:r w:rsidR="00F51AF4" w:rsidRPr="006D1F4D">
        <w:rPr>
          <w:lang w:val="fr-FR"/>
        </w:rPr>
        <w:t xml:space="preserve">de cinéma </w:t>
      </w:r>
      <w:r w:rsidRPr="006D1F4D">
        <w:rPr>
          <w:lang w:val="fr-FR"/>
        </w:rPr>
        <w:t>pourront être diffusées sur les divers supports techniques disponibles, librement choisis par les distributeurs – supports physiques, transmission par des moyens de Terre, par satellite, par câble ou par fibres optiques.</w:t>
      </w:r>
    </w:p>
    <w:p w14:paraId="5F959A69" w14:textId="77777777" w:rsidR="00381F24" w:rsidRPr="006D1F4D" w:rsidRDefault="00381F24" w:rsidP="00381F24">
      <w:pPr>
        <w:pStyle w:val="Headingi"/>
        <w:rPr>
          <w:lang w:val="fr-FR"/>
        </w:rPr>
      </w:pPr>
      <w:r w:rsidRPr="006D1F4D">
        <w:rPr>
          <w:lang w:val="fr-FR"/>
        </w:rPr>
        <w:t>Formats des signaux</w:t>
      </w:r>
    </w:p>
    <w:p w14:paraId="09518AFC" w14:textId="19F9C457" w:rsidR="00381F24" w:rsidRPr="006D1F4D" w:rsidRDefault="00381F24" w:rsidP="00381F24">
      <w:pPr>
        <w:pStyle w:val="enumlev1"/>
        <w:rPr>
          <w:lang w:val="fr-FR"/>
        </w:rPr>
      </w:pPr>
      <w:r w:rsidRPr="006D1F4D">
        <w:rPr>
          <w:lang w:val="fr-FR"/>
        </w:rPr>
        <w:t>–</w:t>
      </w:r>
      <w:r w:rsidRPr="006D1F4D">
        <w:rPr>
          <w:lang w:val="fr-FR"/>
        </w:rPr>
        <w:tab/>
        <w:t xml:space="preserve">Les systèmes et formats techniques adoptés pour les applications </w:t>
      </w:r>
      <w:r w:rsidR="00F51AF4" w:rsidRPr="006D1F4D">
        <w:rPr>
          <w:lang w:val="fr-FR"/>
        </w:rPr>
        <w:t xml:space="preserve">télévisuels </w:t>
      </w:r>
      <w:r w:rsidRPr="006D1F4D">
        <w:rPr>
          <w:lang w:val="fr-FR"/>
        </w:rPr>
        <w:t xml:space="preserve">se prêteront à l'utilisation et à la présentation </w:t>
      </w:r>
      <w:r w:rsidR="00F51AF4" w:rsidRPr="006D1F4D">
        <w:rPr>
          <w:lang w:val="fr-FR"/>
        </w:rPr>
        <w:t>en salle de cinéma</w:t>
      </w:r>
      <w:r w:rsidRPr="006D1F4D">
        <w:rPr>
          <w:lang w:val="fr-FR"/>
        </w:rPr>
        <w:t>.</w:t>
      </w:r>
    </w:p>
    <w:p w14:paraId="184D9B0C" w14:textId="0A51C05F" w:rsidR="00381F24" w:rsidRPr="006D1F4D" w:rsidRDefault="00381F24" w:rsidP="00381F24">
      <w:pPr>
        <w:pStyle w:val="Headingi"/>
        <w:rPr>
          <w:lang w:val="fr-FR"/>
        </w:rPr>
      </w:pPr>
      <w:r w:rsidRPr="006D1F4D">
        <w:rPr>
          <w:lang w:val="fr-FR"/>
        </w:rPr>
        <w:t>Sécurité</w:t>
      </w:r>
    </w:p>
    <w:p w14:paraId="7441E95B" w14:textId="77777777" w:rsidR="00381F24" w:rsidRPr="006D1F4D" w:rsidRDefault="00381F24" w:rsidP="00381F24">
      <w:pPr>
        <w:pStyle w:val="enumlev1"/>
        <w:rPr>
          <w:lang w:val="fr-FR"/>
        </w:rPr>
      </w:pPr>
      <w:r w:rsidRPr="006D1F4D">
        <w:rPr>
          <w:lang w:val="fr-FR"/>
        </w:rPr>
        <w:t>–</w:t>
      </w:r>
      <w:r w:rsidRPr="006D1F4D">
        <w:rPr>
          <w:lang w:val="fr-FR"/>
        </w:rPr>
        <w:tab/>
        <w:t>Les dispositions adoptées pour assurer et sécuriser, au besoin, l'accès conditionnel aux programmes ou la copie des programmes seront compatibles avec les normes techniques ouvertes applicables dans le monde entier.</w:t>
      </w:r>
    </w:p>
    <w:p w14:paraId="1FA24BA3" w14:textId="77777777" w:rsidR="00381F24" w:rsidRPr="006D1F4D" w:rsidRDefault="00381F24" w:rsidP="00381F24">
      <w:pPr>
        <w:pStyle w:val="Headingi"/>
        <w:rPr>
          <w:lang w:val="fr-FR"/>
        </w:rPr>
      </w:pPr>
      <w:r w:rsidRPr="006D1F4D">
        <w:rPr>
          <w:lang w:val="fr-FR"/>
        </w:rPr>
        <w:t>Monitorage à distance</w:t>
      </w:r>
    </w:p>
    <w:p w14:paraId="303C5E31" w14:textId="77777777" w:rsidR="00381F24" w:rsidRPr="006D1F4D" w:rsidRDefault="00381F24" w:rsidP="00381F24">
      <w:pPr>
        <w:pStyle w:val="enumlev1"/>
        <w:rPr>
          <w:lang w:val="fr-FR"/>
        </w:rPr>
      </w:pPr>
      <w:r w:rsidRPr="006D1F4D">
        <w:rPr>
          <w:lang w:val="fr-FR"/>
        </w:rPr>
        <w:t>–</w:t>
      </w:r>
      <w:r w:rsidRPr="006D1F4D">
        <w:rPr>
          <w:lang w:val="fr-FR"/>
        </w:rPr>
        <w:tab/>
        <w:t>Les opérations de monitorage automatique à distance de la qualité de fonctionnement et du statut des équipements devront être conformes aux normes industrielles compatibles avec la sécurité des réseaux.</w:t>
      </w:r>
    </w:p>
    <w:p w14:paraId="16F65D90" w14:textId="77777777" w:rsidR="00381F24" w:rsidRPr="006D1F4D" w:rsidRDefault="00381F24" w:rsidP="00381F24">
      <w:pPr>
        <w:pStyle w:val="Headingi"/>
        <w:rPr>
          <w:lang w:val="fr-FR"/>
        </w:rPr>
      </w:pPr>
      <w:r w:rsidRPr="006D1F4D">
        <w:rPr>
          <w:lang w:val="fr-FR"/>
        </w:rPr>
        <w:t>Présentation/échange des contenus</w:t>
      </w:r>
    </w:p>
    <w:p w14:paraId="0470160A" w14:textId="3830531D" w:rsidR="00381F24" w:rsidRPr="006D1F4D" w:rsidRDefault="00381F24" w:rsidP="00381F24">
      <w:pPr>
        <w:pStyle w:val="enumlev1"/>
        <w:rPr>
          <w:lang w:val="fr-FR"/>
        </w:rPr>
      </w:pPr>
      <w:r w:rsidRPr="006D1F4D">
        <w:rPr>
          <w:lang w:val="fr-FR"/>
        </w:rPr>
        <w:t>–</w:t>
      </w:r>
      <w:r w:rsidRPr="006D1F4D">
        <w:rPr>
          <w:lang w:val="fr-FR"/>
        </w:rPr>
        <w:tab/>
        <w:t xml:space="preserve">Le système permettra à l'exploitant de </w:t>
      </w:r>
      <w:r w:rsidR="00F51AF4" w:rsidRPr="006D1F4D">
        <w:rPr>
          <w:lang w:val="fr-FR"/>
        </w:rPr>
        <w:t>salle de cinéma</w:t>
      </w:r>
      <w:r w:rsidRPr="006D1F4D">
        <w:rPr>
          <w:lang w:val="fr-FR"/>
        </w:rPr>
        <w:t xml:space="preserve"> d'avoir le libre choix de présentation des contenus. L'exploitant aura également le choix de la langue et de la catégorie (âge minimal), au besoin.</w:t>
      </w:r>
    </w:p>
    <w:p w14:paraId="5B0A1E00" w14:textId="77777777" w:rsidR="00381F24" w:rsidRPr="006D1F4D" w:rsidRDefault="00381F24" w:rsidP="00381F24">
      <w:pPr>
        <w:pStyle w:val="Headingi"/>
        <w:rPr>
          <w:lang w:val="fr-FR"/>
        </w:rPr>
      </w:pPr>
      <w:r w:rsidRPr="006D1F4D">
        <w:rPr>
          <w:lang w:val="fr-FR"/>
        </w:rPr>
        <w:t>Compression</w:t>
      </w:r>
    </w:p>
    <w:p w14:paraId="2E2DD1D3" w14:textId="1DF699A3" w:rsidR="00381F24" w:rsidRPr="006D1F4D" w:rsidRDefault="00381F24" w:rsidP="00386E74">
      <w:pPr>
        <w:pStyle w:val="enumlev1"/>
        <w:rPr>
          <w:lang w:val="fr-FR"/>
        </w:rPr>
      </w:pPr>
      <w:r w:rsidRPr="006D1F4D">
        <w:rPr>
          <w:lang w:val="fr-FR"/>
        </w:rPr>
        <w:t>–</w:t>
      </w:r>
      <w:r w:rsidRPr="006D1F4D">
        <w:rPr>
          <w:lang w:val="fr-FR"/>
        </w:rPr>
        <w:tab/>
        <w:t>Les décodeurs vidéo et audio seront compatibles avec le décodage de la radiodiffusion.</w:t>
      </w:r>
    </w:p>
    <w:p w14:paraId="69ED4EDD" w14:textId="4ECBAB6A" w:rsidR="00386E74" w:rsidRPr="006D1F4D" w:rsidRDefault="00386E74" w:rsidP="00436859">
      <w:pPr>
        <w:pStyle w:val="Line"/>
        <w:rPr>
          <w:lang w:val="fr-FR"/>
        </w:rPr>
      </w:pPr>
    </w:p>
    <w:sectPr w:rsidR="00386E74" w:rsidRPr="006D1F4D" w:rsidSect="00962802">
      <w:headerReference w:type="even" r:id="rId13"/>
      <w:headerReference w:type="default" r:id="rId14"/>
      <w:footerReference w:type="default" r:id="rId15"/>
      <w:headerReference w:type="first" r:id="rId16"/>
      <w:footnotePr>
        <w:pos w:val="beneathText"/>
      </w:footnotePr>
      <w:pgSz w:w="11907" w:h="16834" w:code="9"/>
      <w:pgMar w:top="1418" w:right="1134" w:bottom="1134" w:left="1134" w:header="720" w:footer="482"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1868" w14:textId="77777777" w:rsidR="00EF5660" w:rsidRDefault="00EF5660">
      <w:r>
        <w:separator/>
      </w:r>
    </w:p>
  </w:endnote>
  <w:endnote w:type="continuationSeparator" w:id="0">
    <w:p w14:paraId="3988F4A5" w14:textId="77777777" w:rsidR="00EF5660" w:rsidRDefault="00E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475C" w14:textId="77777777" w:rsidR="00EF5660" w:rsidRDefault="00EF5660">
    <w:pPr>
      <w:pStyle w:val="Footer"/>
    </w:pPr>
    <w:r>
      <w:drawing>
        <wp:anchor distT="0" distB="0" distL="0" distR="0" simplePos="0" relativeHeight="251659264" behindDoc="0" locked="0" layoutInCell="1" allowOverlap="1" wp14:anchorId="49DCC508" wp14:editId="357F9F3F">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F035" w14:textId="3C6EA434" w:rsidR="00962802" w:rsidRDefault="00962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C314" w14:textId="77777777" w:rsidR="00EF5660" w:rsidRDefault="00EF5660">
      <w:r>
        <w:separator/>
      </w:r>
    </w:p>
  </w:footnote>
  <w:footnote w:type="continuationSeparator" w:id="0">
    <w:p w14:paraId="315A408D" w14:textId="77777777" w:rsidR="00EF5660" w:rsidRDefault="00EF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0824" w14:textId="77777777" w:rsidR="00EF5660" w:rsidRDefault="00EF566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EF5660" w:rsidRPr="00A239D1" w14:paraId="616B9D6F" w14:textId="77777777" w:rsidTr="0019307B">
      <w:tc>
        <w:tcPr>
          <w:tcW w:w="4634" w:type="dxa"/>
          <w:vAlign w:val="center"/>
        </w:tcPr>
        <w:p w14:paraId="72301109" w14:textId="77777777" w:rsidR="00EF5660" w:rsidRPr="005B0371" w:rsidRDefault="00EF5660"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90A765D" w14:textId="77777777" w:rsidR="00EF5660" w:rsidRPr="00260B24" w:rsidRDefault="00EF5660"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w:t>
          </w:r>
          <w:proofErr w:type="spellStart"/>
          <w:r>
            <w:rPr>
              <w:rFonts w:asciiTheme="minorBidi" w:hAnsiTheme="minorBidi"/>
              <w:b/>
              <w:spacing w:val="4"/>
              <w:szCs w:val="24"/>
            </w:rPr>
            <w:t>i</w:t>
          </w:r>
          <w:r w:rsidRPr="00260B24">
            <w:rPr>
              <w:rFonts w:asciiTheme="minorBidi" w:hAnsiTheme="minorBidi"/>
              <w:b/>
              <w:spacing w:val="4"/>
              <w:szCs w:val="24"/>
            </w:rPr>
            <w:t>nternational</w:t>
          </w:r>
          <w:r>
            <w:rPr>
              <w:rFonts w:asciiTheme="minorBidi" w:hAnsiTheme="minorBidi"/>
              <w:b/>
              <w:spacing w:val="4"/>
              <w:szCs w:val="24"/>
            </w:rPr>
            <w:t>e</w:t>
          </w:r>
          <w:proofErr w:type="spellEnd"/>
          <w:r w:rsidRPr="00260B24">
            <w:rPr>
              <w:rFonts w:asciiTheme="minorBidi" w:hAnsiTheme="minorBidi"/>
              <w:b/>
              <w:spacing w:val="4"/>
              <w:szCs w:val="24"/>
            </w:rPr>
            <w:t xml:space="preserve"> </w:t>
          </w:r>
          <w:r>
            <w:rPr>
              <w:rFonts w:asciiTheme="minorBidi" w:hAnsiTheme="minorBidi"/>
              <w:b/>
              <w:spacing w:val="4"/>
              <w:szCs w:val="24"/>
            </w:rPr>
            <w:t xml:space="preserve">des </w:t>
          </w:r>
          <w:proofErr w:type="spellStart"/>
          <w:r>
            <w:rPr>
              <w:rFonts w:asciiTheme="minorBidi" w:hAnsiTheme="minorBidi"/>
              <w:b/>
              <w:spacing w:val="4"/>
              <w:szCs w:val="24"/>
            </w:rPr>
            <w:t>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roofErr w:type="spellEnd"/>
        </w:p>
      </w:tc>
    </w:tr>
    <w:tr w:rsidR="00EF5660" w:rsidRPr="00A239D1" w14:paraId="4091E639" w14:textId="77777777" w:rsidTr="0019307B">
      <w:tc>
        <w:tcPr>
          <w:tcW w:w="4634" w:type="dxa"/>
          <w:vAlign w:val="center"/>
        </w:tcPr>
        <w:p w14:paraId="78838862" w14:textId="77777777" w:rsidR="00EF5660" w:rsidRPr="00260B24" w:rsidRDefault="00EF5660" w:rsidP="00744F8B">
          <w:pPr>
            <w:pStyle w:val="Header"/>
            <w:jc w:val="left"/>
            <w:rPr>
              <w:rFonts w:asciiTheme="minorBidi" w:hAnsiTheme="minorBidi"/>
              <w:spacing w:val="4"/>
              <w:sz w:val="21"/>
              <w:szCs w:val="21"/>
            </w:rPr>
          </w:pPr>
          <w:proofErr w:type="spellStart"/>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roofErr w:type="spellEnd"/>
        </w:p>
      </w:tc>
      <w:tc>
        <w:tcPr>
          <w:tcW w:w="5998" w:type="dxa"/>
          <w:vAlign w:val="center"/>
        </w:tcPr>
        <w:p w14:paraId="6914085E" w14:textId="37C6EF0C" w:rsidR="00EF5660" w:rsidRPr="00260B24" w:rsidRDefault="00EF5660" w:rsidP="00744F8B">
          <w:pPr>
            <w:pStyle w:val="Header"/>
            <w:jc w:val="right"/>
            <w:rPr>
              <w:rFonts w:asciiTheme="minorBidi" w:hAnsiTheme="minorBidi"/>
              <w:spacing w:val="4"/>
              <w:szCs w:val="24"/>
            </w:rPr>
          </w:pPr>
          <w:proofErr w:type="spellStart"/>
          <w:r>
            <w:rPr>
              <w:rFonts w:asciiTheme="minorBidi" w:hAnsiTheme="minorBidi"/>
              <w:spacing w:val="4"/>
              <w:szCs w:val="24"/>
            </w:rPr>
            <w:t>Secteur</w:t>
          </w:r>
          <w:proofErr w:type="spellEnd"/>
          <w:r>
            <w:rPr>
              <w:rFonts w:asciiTheme="minorBidi" w:hAnsiTheme="minorBidi"/>
              <w:spacing w:val="4"/>
              <w:szCs w:val="24"/>
            </w:rPr>
            <w:t xml:space="preserve"> des </w:t>
          </w:r>
          <w:r w:rsidR="00ED2DB0">
            <w:rPr>
              <w:rFonts w:asciiTheme="minorBidi" w:hAnsiTheme="minorBidi"/>
              <w:spacing w:val="4"/>
              <w:szCs w:val="24"/>
            </w:rPr>
            <w:t>r</w:t>
          </w:r>
          <w:r w:rsidRPr="00260B24">
            <w:rPr>
              <w:rFonts w:asciiTheme="minorBidi" w:hAnsiTheme="minorBidi"/>
              <w:spacing w:val="4"/>
              <w:szCs w:val="24"/>
            </w:rPr>
            <w:t>adiocommunication</w:t>
          </w:r>
          <w:r>
            <w:rPr>
              <w:rFonts w:asciiTheme="minorBidi" w:hAnsiTheme="minorBidi"/>
              <w:spacing w:val="4"/>
              <w:szCs w:val="24"/>
            </w:rPr>
            <w:t>s</w:t>
          </w:r>
        </w:p>
      </w:tc>
    </w:tr>
  </w:tbl>
  <w:p w14:paraId="3839FE03" w14:textId="77777777" w:rsidR="00EF5660" w:rsidRDefault="00EF5660"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79CE17C5" wp14:editId="7272DC32">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3B765F47" wp14:editId="4731FD09">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BE4F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3D282BF" w14:textId="77777777" w:rsidR="00EF5660" w:rsidRDefault="00EF5660"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63C51EBB" wp14:editId="1C38CB52">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72150" id="docshapegroup6" o:spid="_x0000_s1026" alt="Header separator line"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4D4D" w14:textId="3650B0E3" w:rsidR="00EF5660" w:rsidRPr="00D72623" w:rsidRDefault="00EF5660"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w:t>
    </w:r>
    <w:proofErr w:type="spellStart"/>
    <w:r w:rsidRPr="004F3F6F">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B1FFF">
      <w:rPr>
        <w:b/>
        <w:bCs/>
        <w:lang w:val="en-US"/>
      </w:rPr>
      <w:t xml:space="preserve">Rec. </w:t>
    </w:r>
    <w:r>
      <w:rPr>
        <w:b/>
        <w:bCs/>
        <w:lang w:val="en-US"/>
      </w:rPr>
      <w:fldChar w:fldCharType="end"/>
    </w:r>
    <w:r w:rsidR="00923F4A">
      <w:rPr>
        <w:b/>
        <w:bCs/>
      </w:rPr>
      <w:t>UIT-R BT.1666-1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A01F" w14:textId="777736D7" w:rsidR="00EF5660" w:rsidRDefault="00EF5660">
    <w:pPr>
      <w:pStyle w:val="Header"/>
    </w:pPr>
    <w:r>
      <w:tab/>
    </w:r>
    <w:r>
      <w:rPr>
        <w:b/>
        <w:bCs/>
      </w:rPr>
      <w:fldChar w:fldCharType="begin"/>
    </w:r>
    <w:r>
      <w:rPr>
        <w:b/>
        <w:bCs/>
      </w:rPr>
      <w:instrText xml:space="preserve"> DOCPROPERTY "Header" \* MERGEFORMAT </w:instrText>
    </w:r>
    <w:r>
      <w:rPr>
        <w:b/>
        <w:bCs/>
      </w:rPr>
      <w:fldChar w:fldCharType="separate"/>
    </w:r>
    <w:r w:rsidR="00EB1FFF">
      <w:rPr>
        <w:b/>
        <w:bCs/>
      </w:rPr>
      <w:t xml:space="preserve">Rec. </w:t>
    </w:r>
    <w:r>
      <w:rPr>
        <w:b/>
        <w:bCs/>
      </w:rPr>
      <w:fldChar w:fldCharType="end"/>
    </w:r>
    <w:r w:rsidR="00923F4A">
      <w:rPr>
        <w:b/>
        <w:bCs/>
      </w:rPr>
      <w:t>UIT-R BT.1666-1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CCBB" w14:textId="4A6D0519" w:rsidR="00923F4A" w:rsidRDefault="00923F4A" w:rsidP="00923F4A">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EB1FFF" w:rsidRPr="00EB1FFF">
      <w:rPr>
        <w:b/>
        <w:bCs/>
        <w:lang w:val="en-US"/>
      </w:rPr>
      <w:t xml:space="preserve">Rec. </w:t>
    </w:r>
    <w:r>
      <w:rPr>
        <w:b/>
        <w:bCs/>
        <w:lang w:val="en-US"/>
      </w:rPr>
      <w:fldChar w:fldCharType="end"/>
    </w:r>
    <w:r>
      <w:rPr>
        <w:b/>
        <w:bCs/>
      </w:rPr>
      <w:t>UIT-R BT.1666-1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5489" w14:textId="0F0B6928" w:rsidR="00923F4A" w:rsidRDefault="00923F4A">
    <w:pPr>
      <w:pStyle w:val="Header"/>
    </w:pPr>
    <w:r>
      <w:tab/>
    </w:r>
    <w:r>
      <w:rPr>
        <w:b/>
        <w:bCs/>
      </w:rPr>
      <w:fldChar w:fldCharType="begin"/>
    </w:r>
    <w:r>
      <w:rPr>
        <w:b/>
        <w:bCs/>
      </w:rPr>
      <w:instrText xml:space="preserve"> DOCPROPERTY "Header" \* MERGEFORMAT </w:instrText>
    </w:r>
    <w:r>
      <w:rPr>
        <w:b/>
        <w:bCs/>
      </w:rPr>
      <w:fldChar w:fldCharType="separate"/>
    </w:r>
    <w:r w:rsidR="00EB1FFF">
      <w:rPr>
        <w:b/>
        <w:bCs/>
      </w:rPr>
      <w:t xml:space="preserve">Rec. </w:t>
    </w:r>
    <w:r>
      <w:rPr>
        <w:b/>
        <w:bCs/>
      </w:rPr>
      <w:fldChar w:fldCharType="end"/>
    </w:r>
    <w:r>
      <w:rPr>
        <w:b/>
        <w:bCs/>
      </w:rPr>
      <w:t>UIT-R BT.1666-1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7445" w14:textId="3951AA6C" w:rsidR="00962802" w:rsidRDefault="00962802" w:rsidP="00962802">
    <w:pPr>
      <w:pStyle w:val="Header"/>
    </w:pPr>
    <w:r>
      <w:tab/>
    </w:r>
    <w:fldSimple w:instr=" DOCPROPERTY &quot;Header&quot; \* MERGEFORMAT ">
      <w:r w:rsidR="00EB1FFF" w:rsidRPr="00EB1FFF">
        <w:rPr>
          <w:b/>
          <w:bCs/>
        </w:rPr>
        <w:t xml:space="preserve">Rec. </w:t>
      </w:r>
    </w:fldSimple>
    <w:r>
      <w:rPr>
        <w:b/>
        <w:bCs/>
      </w:rPr>
      <w:fldChar w:fldCharType="begin"/>
    </w:r>
    <w:r>
      <w:rPr>
        <w:b/>
        <w:bCs/>
      </w:rPr>
      <w:instrText>styleref href</w:instrText>
    </w:r>
    <w:r>
      <w:rPr>
        <w:b/>
        <w:bCs/>
      </w:rPr>
      <w:fldChar w:fldCharType="separate"/>
    </w:r>
    <w:r w:rsidR="00EB1FFF">
      <w:rPr>
        <w:b/>
        <w:bCs/>
        <w:noProof/>
      </w:rPr>
      <w:t>UIT-R BT.1666-1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60"/>
    <w:rsid w:val="0006483F"/>
    <w:rsid w:val="000A2A4B"/>
    <w:rsid w:val="0020765F"/>
    <w:rsid w:val="00217EBF"/>
    <w:rsid w:val="00242AEE"/>
    <w:rsid w:val="00264A4B"/>
    <w:rsid w:val="002D76C4"/>
    <w:rsid w:val="00311B17"/>
    <w:rsid w:val="00351879"/>
    <w:rsid w:val="00381F24"/>
    <w:rsid w:val="00386E74"/>
    <w:rsid w:val="003B3959"/>
    <w:rsid w:val="003E0761"/>
    <w:rsid w:val="00401733"/>
    <w:rsid w:val="0040235E"/>
    <w:rsid w:val="00412F68"/>
    <w:rsid w:val="00436859"/>
    <w:rsid w:val="00502CBC"/>
    <w:rsid w:val="005154D0"/>
    <w:rsid w:val="0052529D"/>
    <w:rsid w:val="005652AF"/>
    <w:rsid w:val="005730F8"/>
    <w:rsid w:val="00603B6E"/>
    <w:rsid w:val="00607D68"/>
    <w:rsid w:val="006611BE"/>
    <w:rsid w:val="006830D9"/>
    <w:rsid w:val="006B6562"/>
    <w:rsid w:val="006D1F4D"/>
    <w:rsid w:val="007468DA"/>
    <w:rsid w:val="00767B1B"/>
    <w:rsid w:val="007E1DBA"/>
    <w:rsid w:val="00813FF5"/>
    <w:rsid w:val="00815F55"/>
    <w:rsid w:val="008F1970"/>
    <w:rsid w:val="00923F4A"/>
    <w:rsid w:val="00962802"/>
    <w:rsid w:val="009E00A8"/>
    <w:rsid w:val="009E415B"/>
    <w:rsid w:val="00A6617B"/>
    <w:rsid w:val="00AB0DC8"/>
    <w:rsid w:val="00B1188F"/>
    <w:rsid w:val="00B44E24"/>
    <w:rsid w:val="00BA1437"/>
    <w:rsid w:val="00C71D6F"/>
    <w:rsid w:val="00C824A4"/>
    <w:rsid w:val="00C96DE9"/>
    <w:rsid w:val="00CD5366"/>
    <w:rsid w:val="00D17B1C"/>
    <w:rsid w:val="00D5290C"/>
    <w:rsid w:val="00D90C82"/>
    <w:rsid w:val="00DC2B47"/>
    <w:rsid w:val="00DD57EF"/>
    <w:rsid w:val="00DF0EC0"/>
    <w:rsid w:val="00DF4176"/>
    <w:rsid w:val="00EB1FFF"/>
    <w:rsid w:val="00ED2DB0"/>
    <w:rsid w:val="00EF5660"/>
    <w:rsid w:val="00F11690"/>
    <w:rsid w:val="00F51AF4"/>
    <w:rsid w:val="00F8365B"/>
    <w:rsid w:val="00FB2FAC"/>
    <w:rsid w:val="00FE78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F109B"/>
  <w15:docId w15:val="{102407B3-E8DB-423D-994C-CA370F3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690"/>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F11690"/>
    <w:pPr>
      <w:keepNext/>
      <w:keepLines/>
      <w:spacing w:before="480"/>
      <w:ind w:left="794" w:hanging="794"/>
      <w:outlineLvl w:val="0"/>
    </w:pPr>
    <w:rPr>
      <w:b/>
    </w:rPr>
  </w:style>
  <w:style w:type="paragraph" w:styleId="Heading2">
    <w:name w:val="heading 2"/>
    <w:basedOn w:val="Heading1"/>
    <w:next w:val="Normal"/>
    <w:qFormat/>
    <w:rsid w:val="00F11690"/>
    <w:pPr>
      <w:spacing w:before="320"/>
      <w:outlineLvl w:val="1"/>
    </w:pPr>
  </w:style>
  <w:style w:type="paragraph" w:styleId="Heading3">
    <w:name w:val="heading 3"/>
    <w:basedOn w:val="Heading1"/>
    <w:next w:val="Normal"/>
    <w:qFormat/>
    <w:rsid w:val="00F11690"/>
    <w:pPr>
      <w:spacing w:before="200"/>
      <w:outlineLvl w:val="2"/>
    </w:pPr>
  </w:style>
  <w:style w:type="paragraph" w:styleId="Heading4">
    <w:name w:val="heading 4"/>
    <w:basedOn w:val="Heading3"/>
    <w:next w:val="Normal"/>
    <w:qFormat/>
    <w:rsid w:val="00F11690"/>
    <w:pPr>
      <w:tabs>
        <w:tab w:val="clear" w:pos="794"/>
        <w:tab w:val="left" w:pos="992"/>
      </w:tabs>
      <w:ind w:left="992" w:hanging="992"/>
      <w:outlineLvl w:val="3"/>
    </w:pPr>
  </w:style>
  <w:style w:type="paragraph" w:styleId="Heading5">
    <w:name w:val="heading 5"/>
    <w:basedOn w:val="Heading4"/>
    <w:next w:val="Normal"/>
    <w:qFormat/>
    <w:rsid w:val="00F11690"/>
    <w:pPr>
      <w:outlineLvl w:val="4"/>
    </w:pPr>
  </w:style>
  <w:style w:type="paragraph" w:styleId="Heading6">
    <w:name w:val="heading 6"/>
    <w:basedOn w:val="Heading4"/>
    <w:next w:val="Normal"/>
    <w:qFormat/>
    <w:rsid w:val="00F11690"/>
    <w:pPr>
      <w:tabs>
        <w:tab w:val="clear" w:pos="992"/>
        <w:tab w:val="clear" w:pos="1191"/>
      </w:tabs>
      <w:ind w:left="1588" w:hanging="1588"/>
      <w:outlineLvl w:val="5"/>
    </w:pPr>
  </w:style>
  <w:style w:type="paragraph" w:styleId="Heading7">
    <w:name w:val="heading 7"/>
    <w:basedOn w:val="Heading6"/>
    <w:next w:val="Normal"/>
    <w:qFormat/>
    <w:rsid w:val="00F11690"/>
    <w:pPr>
      <w:outlineLvl w:val="6"/>
    </w:pPr>
  </w:style>
  <w:style w:type="paragraph" w:styleId="Heading8">
    <w:name w:val="heading 8"/>
    <w:basedOn w:val="Heading6"/>
    <w:next w:val="Normal"/>
    <w:qFormat/>
    <w:rsid w:val="00F11690"/>
    <w:pPr>
      <w:outlineLvl w:val="7"/>
    </w:pPr>
  </w:style>
  <w:style w:type="paragraph" w:styleId="Heading9">
    <w:name w:val="heading 9"/>
    <w:basedOn w:val="Heading6"/>
    <w:next w:val="Normal"/>
    <w:qFormat/>
    <w:rsid w:val="00F11690"/>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1690"/>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F11690"/>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F11690"/>
  </w:style>
  <w:style w:type="paragraph" w:customStyle="1" w:styleId="Headingb">
    <w:name w:val="Heading_b"/>
    <w:basedOn w:val="Heading3"/>
    <w:next w:val="Normal"/>
    <w:link w:val="HeadingbChar"/>
    <w:rsid w:val="00F11690"/>
    <w:pPr>
      <w:spacing w:before="160"/>
      <w:ind w:left="0" w:firstLine="0"/>
      <w:outlineLvl w:val="9"/>
    </w:pPr>
  </w:style>
  <w:style w:type="paragraph" w:customStyle="1" w:styleId="Headingi">
    <w:name w:val="Heading_i"/>
    <w:basedOn w:val="Heading3"/>
    <w:next w:val="Normal"/>
    <w:rsid w:val="00F11690"/>
    <w:pPr>
      <w:spacing w:before="160"/>
      <w:ind w:left="0" w:firstLine="0"/>
    </w:pPr>
    <w:rPr>
      <w:b w:val="0"/>
      <w:i/>
    </w:rPr>
  </w:style>
  <w:style w:type="character" w:customStyle="1" w:styleId="href">
    <w:name w:val="href"/>
    <w:basedOn w:val="DefaultParagraphFont"/>
    <w:rsid w:val="00F11690"/>
  </w:style>
  <w:style w:type="paragraph" w:customStyle="1" w:styleId="enumlev1">
    <w:name w:val="enumlev1"/>
    <w:basedOn w:val="Normal"/>
    <w:link w:val="enumlev1Char"/>
    <w:rsid w:val="00F11690"/>
    <w:pPr>
      <w:spacing w:before="80"/>
      <w:ind w:left="794" w:hanging="794"/>
    </w:pPr>
  </w:style>
  <w:style w:type="paragraph" w:customStyle="1" w:styleId="enumlev2">
    <w:name w:val="enumlev2"/>
    <w:basedOn w:val="enumlev1"/>
    <w:link w:val="enumlev2Char"/>
    <w:rsid w:val="00F11690"/>
    <w:pPr>
      <w:ind w:left="1191" w:hanging="397"/>
    </w:pPr>
  </w:style>
  <w:style w:type="paragraph" w:customStyle="1" w:styleId="enumlev3">
    <w:name w:val="enumlev3"/>
    <w:basedOn w:val="enumlev2"/>
    <w:rsid w:val="00F11690"/>
    <w:pPr>
      <w:ind w:left="1588"/>
    </w:pPr>
  </w:style>
  <w:style w:type="paragraph" w:customStyle="1" w:styleId="Normalaftertitle">
    <w:name w:val="Normal_after_title"/>
    <w:basedOn w:val="Normal"/>
    <w:next w:val="Normal"/>
    <w:link w:val="NormalaftertitleChar"/>
    <w:rsid w:val="00F11690"/>
    <w:pPr>
      <w:spacing w:before="320"/>
    </w:pPr>
  </w:style>
  <w:style w:type="paragraph" w:customStyle="1" w:styleId="Note">
    <w:name w:val="Note"/>
    <w:basedOn w:val="Normal"/>
    <w:link w:val="NoteChar"/>
    <w:rsid w:val="00F11690"/>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F11690"/>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F11690"/>
    <w:pPr>
      <w:spacing w:before="240"/>
    </w:pPr>
    <w:rPr>
      <w:sz w:val="22"/>
      <w:lang w:val="es-ES_tradnl"/>
    </w:rPr>
  </w:style>
  <w:style w:type="paragraph" w:customStyle="1" w:styleId="Recref">
    <w:name w:val="Rec_ref"/>
    <w:basedOn w:val="Normal"/>
    <w:next w:val="Recdate"/>
    <w:rsid w:val="00F11690"/>
    <w:pPr>
      <w:jc w:val="center"/>
    </w:pPr>
  </w:style>
  <w:style w:type="paragraph" w:customStyle="1" w:styleId="Recdate">
    <w:name w:val="Rec_date"/>
    <w:basedOn w:val="Recref"/>
    <w:next w:val="Normalaftertitle"/>
    <w:rsid w:val="00F11690"/>
    <w:pPr>
      <w:jc w:val="right"/>
    </w:pPr>
  </w:style>
  <w:style w:type="paragraph" w:customStyle="1" w:styleId="AnnexNoTitle">
    <w:name w:val="Annex_NoTitle"/>
    <w:basedOn w:val="Normal"/>
    <w:next w:val="Normalaftertitle"/>
    <w:link w:val="AnnexNoTitleChar"/>
    <w:rsid w:val="00F11690"/>
    <w:pPr>
      <w:keepNext/>
      <w:keepLines/>
      <w:spacing w:before="480" w:after="80"/>
      <w:jc w:val="center"/>
    </w:pPr>
    <w:rPr>
      <w:b/>
      <w:sz w:val="28"/>
    </w:rPr>
  </w:style>
  <w:style w:type="paragraph" w:customStyle="1" w:styleId="AppendixNoTitle">
    <w:name w:val="Appendix_NoTitle"/>
    <w:basedOn w:val="AnnexNoTitle"/>
    <w:next w:val="Normal"/>
    <w:rsid w:val="00F11690"/>
  </w:style>
  <w:style w:type="paragraph" w:customStyle="1" w:styleId="Tablefin">
    <w:name w:val="Table_fin"/>
    <w:basedOn w:val="Normal"/>
    <w:next w:val="Normal"/>
    <w:rsid w:val="00F11690"/>
    <w:pPr>
      <w:spacing w:before="0"/>
    </w:pPr>
    <w:rPr>
      <w:sz w:val="20"/>
    </w:rPr>
  </w:style>
  <w:style w:type="paragraph" w:customStyle="1" w:styleId="Tablehead">
    <w:name w:val="Table_head"/>
    <w:basedOn w:val="Normal"/>
    <w:next w:val="Normal"/>
    <w:link w:val="TableheadChar"/>
    <w:rsid w:val="00F1169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F1169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F11690"/>
    <w:pPr>
      <w:keepNext/>
      <w:spacing w:before="360" w:after="120"/>
      <w:jc w:val="center"/>
    </w:pPr>
  </w:style>
  <w:style w:type="paragraph" w:customStyle="1" w:styleId="Tabletext">
    <w:name w:val="Table_text"/>
    <w:basedOn w:val="Normal"/>
    <w:link w:val="TabletextChar"/>
    <w:rsid w:val="00F1169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F11690"/>
    <w:pPr>
      <w:tabs>
        <w:tab w:val="clear" w:pos="1191"/>
        <w:tab w:val="clear" w:pos="1588"/>
        <w:tab w:val="clear" w:pos="1985"/>
        <w:tab w:val="center" w:pos="4820"/>
        <w:tab w:val="right" w:pos="9639"/>
      </w:tabs>
    </w:pPr>
  </w:style>
  <w:style w:type="paragraph" w:customStyle="1" w:styleId="Equationlegend">
    <w:name w:val="Equation_legend"/>
    <w:basedOn w:val="NormalIndent"/>
    <w:rsid w:val="00F11690"/>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F11690"/>
    <w:pPr>
      <w:ind w:left="794"/>
    </w:pPr>
  </w:style>
  <w:style w:type="paragraph" w:customStyle="1" w:styleId="Figurelegend">
    <w:name w:val="Figure_legend"/>
    <w:basedOn w:val="Normal"/>
    <w:rsid w:val="00F1169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F11690"/>
    <w:pPr>
      <w:keepNext/>
      <w:keepLines/>
      <w:spacing w:before="480" w:after="80"/>
      <w:jc w:val="center"/>
    </w:pPr>
    <w:rPr>
      <w:caps/>
      <w:sz w:val="18"/>
    </w:rPr>
  </w:style>
  <w:style w:type="paragraph" w:customStyle="1" w:styleId="tocpart">
    <w:name w:val="tocpart"/>
    <w:basedOn w:val="Normal"/>
    <w:rsid w:val="00F11690"/>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F11690"/>
    <w:pPr>
      <w:keepNext/>
      <w:keepLines/>
      <w:spacing w:before="480"/>
      <w:jc w:val="center"/>
    </w:pPr>
    <w:rPr>
      <w:sz w:val="28"/>
    </w:rPr>
  </w:style>
  <w:style w:type="paragraph" w:customStyle="1" w:styleId="Arttitle">
    <w:name w:val="Art_title"/>
    <w:basedOn w:val="Normal"/>
    <w:next w:val="Normalaftertitle"/>
    <w:rsid w:val="00F11690"/>
    <w:pPr>
      <w:keepNext/>
      <w:keepLines/>
      <w:spacing w:before="240"/>
      <w:jc w:val="center"/>
    </w:pPr>
    <w:rPr>
      <w:b/>
      <w:sz w:val="28"/>
    </w:rPr>
  </w:style>
  <w:style w:type="paragraph" w:customStyle="1" w:styleId="Blanc">
    <w:name w:val="Blanc"/>
    <w:basedOn w:val="Normal"/>
    <w:next w:val="Tabletext"/>
    <w:rsid w:val="00F11690"/>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F1169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11690"/>
    <w:pPr>
      <w:keepNext/>
      <w:keepLines/>
      <w:spacing w:before="160"/>
      <w:ind w:left="794"/>
    </w:pPr>
    <w:rPr>
      <w:i/>
    </w:rPr>
  </w:style>
  <w:style w:type="paragraph" w:customStyle="1" w:styleId="ChapNo">
    <w:name w:val="Chap_No"/>
    <w:basedOn w:val="ArtNo"/>
    <w:next w:val="Chaptitle"/>
    <w:rsid w:val="00F11690"/>
    <w:rPr>
      <w:b/>
    </w:rPr>
  </w:style>
  <w:style w:type="paragraph" w:customStyle="1" w:styleId="Chaptitle">
    <w:name w:val="Chap_title"/>
    <w:basedOn w:val="Arttitle"/>
    <w:next w:val="Normalaftertitle"/>
    <w:rsid w:val="00F11690"/>
  </w:style>
  <w:style w:type="character" w:styleId="FootnoteReference">
    <w:name w:val="footnote reference"/>
    <w:basedOn w:val="DefaultParagraphFont"/>
    <w:rsid w:val="00F11690"/>
    <w:rPr>
      <w:position w:val="6"/>
      <w:sz w:val="18"/>
    </w:rPr>
  </w:style>
  <w:style w:type="paragraph" w:styleId="FootnoteText">
    <w:name w:val="footnote text"/>
    <w:basedOn w:val="Normal"/>
    <w:link w:val="FootnoteTextChar"/>
    <w:rsid w:val="00F11690"/>
    <w:pPr>
      <w:keepLines/>
      <w:tabs>
        <w:tab w:val="left" w:pos="255"/>
      </w:tabs>
      <w:ind w:left="255" w:hanging="255"/>
    </w:pPr>
    <w:rPr>
      <w:sz w:val="22"/>
    </w:rPr>
  </w:style>
  <w:style w:type="paragraph" w:styleId="Index1">
    <w:name w:val="index 1"/>
    <w:basedOn w:val="Normal"/>
    <w:next w:val="Normal"/>
    <w:semiHidden/>
    <w:rsid w:val="00F11690"/>
  </w:style>
  <w:style w:type="paragraph" w:styleId="Index2">
    <w:name w:val="index 2"/>
    <w:basedOn w:val="Normal"/>
    <w:next w:val="Normal"/>
    <w:semiHidden/>
    <w:rsid w:val="00F11690"/>
    <w:pPr>
      <w:ind w:left="283"/>
    </w:pPr>
  </w:style>
  <w:style w:type="paragraph" w:styleId="Index3">
    <w:name w:val="index 3"/>
    <w:basedOn w:val="Normal"/>
    <w:next w:val="Normal"/>
    <w:semiHidden/>
    <w:rsid w:val="00F11690"/>
    <w:pPr>
      <w:ind w:left="566"/>
    </w:pPr>
  </w:style>
  <w:style w:type="paragraph" w:styleId="IndexHeading">
    <w:name w:val="index heading"/>
    <w:basedOn w:val="Normal"/>
    <w:next w:val="Index1"/>
    <w:semiHidden/>
    <w:rsid w:val="00F11690"/>
  </w:style>
  <w:style w:type="paragraph" w:customStyle="1" w:styleId="Line">
    <w:name w:val="Line"/>
    <w:basedOn w:val="Normal"/>
    <w:next w:val="Normal"/>
    <w:rsid w:val="00F11690"/>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F11690"/>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F11690"/>
  </w:style>
  <w:style w:type="paragraph" w:customStyle="1" w:styleId="Partref">
    <w:name w:val="Part_ref"/>
    <w:basedOn w:val="Normal"/>
    <w:next w:val="Normal"/>
    <w:rsid w:val="00F11690"/>
    <w:pPr>
      <w:keepNext/>
      <w:keepLines/>
      <w:spacing w:after="280"/>
      <w:jc w:val="center"/>
    </w:pPr>
  </w:style>
  <w:style w:type="paragraph" w:customStyle="1" w:styleId="Parttitle">
    <w:name w:val="Part_title"/>
    <w:basedOn w:val="Normal"/>
    <w:next w:val="Normalaftertitle"/>
    <w:rsid w:val="00F11690"/>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F11690"/>
  </w:style>
  <w:style w:type="paragraph" w:customStyle="1" w:styleId="QuestionNo">
    <w:name w:val="Question_No"/>
    <w:basedOn w:val="RecNo"/>
    <w:next w:val="Normal"/>
    <w:rsid w:val="00F11690"/>
  </w:style>
  <w:style w:type="paragraph" w:customStyle="1" w:styleId="Questionref">
    <w:name w:val="Question_ref"/>
    <w:basedOn w:val="Recref"/>
    <w:next w:val="Questiondate"/>
    <w:rsid w:val="00F11690"/>
  </w:style>
  <w:style w:type="paragraph" w:customStyle="1" w:styleId="Questiontitle">
    <w:name w:val="Question_title"/>
    <w:basedOn w:val="Normal"/>
    <w:next w:val="Questionref"/>
    <w:rsid w:val="00F11690"/>
  </w:style>
  <w:style w:type="paragraph" w:customStyle="1" w:styleId="Reftext">
    <w:name w:val="Ref_text"/>
    <w:basedOn w:val="Normal"/>
    <w:rsid w:val="00F11690"/>
    <w:pPr>
      <w:ind w:left="794" w:hanging="794"/>
    </w:pPr>
    <w:rPr>
      <w:sz w:val="22"/>
    </w:rPr>
  </w:style>
  <w:style w:type="paragraph" w:customStyle="1" w:styleId="Reftitle">
    <w:name w:val="Ref_title"/>
    <w:basedOn w:val="Normal"/>
    <w:next w:val="Reftext"/>
    <w:rsid w:val="00F11690"/>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F11690"/>
  </w:style>
  <w:style w:type="paragraph" w:customStyle="1" w:styleId="RepNo">
    <w:name w:val="Rep_No"/>
    <w:basedOn w:val="RecNo"/>
    <w:next w:val="Reptitle"/>
    <w:rsid w:val="00F11690"/>
  </w:style>
  <w:style w:type="paragraph" w:customStyle="1" w:styleId="Repref">
    <w:name w:val="Rep_ref"/>
    <w:basedOn w:val="Recref"/>
    <w:next w:val="Repdate"/>
    <w:rsid w:val="00F11690"/>
  </w:style>
  <w:style w:type="paragraph" w:customStyle="1" w:styleId="Reptitle">
    <w:name w:val="Rep_title"/>
    <w:basedOn w:val="Rectitle"/>
    <w:next w:val="Repref"/>
    <w:rsid w:val="00F11690"/>
  </w:style>
  <w:style w:type="paragraph" w:customStyle="1" w:styleId="Resdate">
    <w:name w:val="Res_date"/>
    <w:basedOn w:val="Recdate"/>
    <w:next w:val="Normalaftertitle"/>
    <w:rsid w:val="00F11690"/>
  </w:style>
  <w:style w:type="paragraph" w:customStyle="1" w:styleId="ResNo">
    <w:name w:val="Res_No"/>
    <w:basedOn w:val="RecNo"/>
    <w:next w:val="Restitle"/>
    <w:rsid w:val="00F11690"/>
  </w:style>
  <w:style w:type="paragraph" w:customStyle="1" w:styleId="Resref">
    <w:name w:val="Res_ref"/>
    <w:basedOn w:val="Recref"/>
    <w:next w:val="Resdate"/>
    <w:rsid w:val="00F11690"/>
  </w:style>
  <w:style w:type="paragraph" w:customStyle="1" w:styleId="Restitle">
    <w:name w:val="Res_title"/>
    <w:basedOn w:val="Normal"/>
    <w:next w:val="Resref"/>
    <w:rsid w:val="00F11690"/>
    <w:pPr>
      <w:spacing w:before="240"/>
      <w:jc w:val="center"/>
    </w:pPr>
    <w:rPr>
      <w:b/>
      <w:sz w:val="28"/>
    </w:rPr>
  </w:style>
  <w:style w:type="paragraph" w:customStyle="1" w:styleId="SectionNo">
    <w:name w:val="Section_No"/>
    <w:basedOn w:val="Normal"/>
    <w:next w:val="Normal"/>
    <w:rsid w:val="00F11690"/>
  </w:style>
  <w:style w:type="paragraph" w:customStyle="1" w:styleId="Sectiontitle">
    <w:name w:val="Section_title"/>
    <w:basedOn w:val="Normal"/>
    <w:next w:val="Normalaftertitle"/>
    <w:rsid w:val="00F11690"/>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F11690"/>
    <w:pPr>
      <w:tabs>
        <w:tab w:val="clear" w:pos="794"/>
        <w:tab w:val="clear" w:pos="1191"/>
        <w:tab w:val="clear" w:pos="1588"/>
        <w:tab w:val="clear" w:pos="1985"/>
        <w:tab w:val="right" w:pos="9611"/>
      </w:tabs>
    </w:pPr>
    <w:rPr>
      <w:i/>
    </w:rPr>
  </w:style>
  <w:style w:type="paragraph" w:styleId="TOC1">
    <w:name w:val="toc 1"/>
    <w:basedOn w:val="Normal"/>
    <w:semiHidden/>
    <w:rsid w:val="00F11690"/>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F11690"/>
    <w:pPr>
      <w:tabs>
        <w:tab w:val="clear" w:pos="567"/>
        <w:tab w:val="left" w:pos="1276"/>
      </w:tabs>
      <w:spacing w:before="160"/>
      <w:ind w:left="1276" w:hanging="709"/>
    </w:pPr>
  </w:style>
  <w:style w:type="paragraph" w:styleId="TOC3">
    <w:name w:val="toc 3"/>
    <w:basedOn w:val="TOC2"/>
    <w:semiHidden/>
    <w:rsid w:val="00F11690"/>
    <w:pPr>
      <w:tabs>
        <w:tab w:val="clear" w:pos="1276"/>
        <w:tab w:val="left" w:pos="2155"/>
      </w:tabs>
      <w:ind w:left="2155" w:hanging="879"/>
    </w:pPr>
  </w:style>
  <w:style w:type="paragraph" w:styleId="TOC4">
    <w:name w:val="toc 4"/>
    <w:basedOn w:val="TOC3"/>
    <w:semiHidden/>
    <w:rsid w:val="00F11690"/>
    <w:pPr>
      <w:tabs>
        <w:tab w:val="left" w:pos="3261"/>
      </w:tabs>
      <w:spacing w:before="80"/>
      <w:ind w:left="3261" w:hanging="993"/>
    </w:pPr>
  </w:style>
  <w:style w:type="paragraph" w:styleId="TOC5">
    <w:name w:val="toc 5"/>
    <w:basedOn w:val="TOC4"/>
    <w:semiHidden/>
    <w:rsid w:val="00F11690"/>
  </w:style>
  <w:style w:type="paragraph" w:styleId="TOC6">
    <w:name w:val="toc 6"/>
    <w:basedOn w:val="TOC4"/>
    <w:semiHidden/>
    <w:rsid w:val="00F11690"/>
  </w:style>
  <w:style w:type="paragraph" w:styleId="TOC7">
    <w:name w:val="toc 7"/>
    <w:basedOn w:val="TOC4"/>
    <w:semiHidden/>
    <w:rsid w:val="00F11690"/>
  </w:style>
  <w:style w:type="paragraph" w:styleId="TOC8">
    <w:name w:val="toc 8"/>
    <w:basedOn w:val="TOC4"/>
    <w:semiHidden/>
    <w:rsid w:val="00F11690"/>
  </w:style>
  <w:style w:type="paragraph" w:customStyle="1" w:styleId="Rectitle">
    <w:name w:val="Rec_title"/>
    <w:basedOn w:val="Normal"/>
    <w:next w:val="Recref"/>
    <w:link w:val="RectitleChar"/>
    <w:rsid w:val="00F11690"/>
    <w:pPr>
      <w:keepNext/>
      <w:keepLines/>
      <w:spacing w:before="240"/>
      <w:jc w:val="center"/>
    </w:pPr>
    <w:rPr>
      <w:b/>
      <w:sz w:val="28"/>
    </w:rPr>
  </w:style>
  <w:style w:type="paragraph" w:customStyle="1" w:styleId="Annexref">
    <w:name w:val="Annex_ref"/>
    <w:basedOn w:val="Normal"/>
    <w:next w:val="Normalaftertitle"/>
    <w:rsid w:val="00F11690"/>
    <w:pPr>
      <w:keepNext/>
      <w:keepLines/>
      <w:spacing w:after="280"/>
      <w:jc w:val="center"/>
    </w:pPr>
  </w:style>
  <w:style w:type="paragraph" w:customStyle="1" w:styleId="Appendixref">
    <w:name w:val="Appendix_ref"/>
    <w:basedOn w:val="Annexref"/>
    <w:next w:val="Normalaftertitle"/>
    <w:rsid w:val="00F11690"/>
  </w:style>
  <w:style w:type="paragraph" w:customStyle="1" w:styleId="Figuretitle">
    <w:name w:val="Figure_title"/>
    <w:basedOn w:val="Normal"/>
    <w:next w:val="Figure"/>
    <w:link w:val="FiguretitleChar"/>
    <w:rsid w:val="00F11690"/>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F11690"/>
    <w:pPr>
      <w:keepNext/>
      <w:spacing w:before="0" w:after="120"/>
      <w:jc w:val="center"/>
    </w:pPr>
    <w:rPr>
      <w:b/>
    </w:rPr>
  </w:style>
  <w:style w:type="paragraph" w:customStyle="1" w:styleId="Summary">
    <w:name w:val="Summary"/>
    <w:basedOn w:val="Normal"/>
    <w:next w:val="Normalaftertitle"/>
    <w:autoRedefine/>
    <w:rsid w:val="00F11690"/>
    <w:pPr>
      <w:spacing w:after="480"/>
    </w:pPr>
    <w:rPr>
      <w:sz w:val="22"/>
      <w:lang w:val="es-ES_tradnl"/>
    </w:rPr>
  </w:style>
  <w:style w:type="paragraph" w:customStyle="1" w:styleId="TableLegendNote">
    <w:name w:val="Table_Legend_Note"/>
    <w:basedOn w:val="Tablelegend"/>
    <w:next w:val="Tablelegend"/>
    <w:rsid w:val="00F11690"/>
    <w:pPr>
      <w:ind w:left="-85" w:firstLine="0"/>
    </w:pPr>
    <w:rPr>
      <w:lang w:val="en-US"/>
    </w:rPr>
  </w:style>
  <w:style w:type="paragraph" w:customStyle="1" w:styleId="Figure">
    <w:name w:val="Figure"/>
    <w:basedOn w:val="FigureNo"/>
    <w:next w:val="Normal"/>
    <w:link w:val="FigureChar"/>
    <w:rsid w:val="00F11690"/>
    <w:pPr>
      <w:keepNext w:val="0"/>
      <w:spacing w:before="0" w:after="240"/>
    </w:pPr>
  </w:style>
  <w:style w:type="character" w:styleId="Hyperlink">
    <w:name w:val="Hyperlink"/>
    <w:basedOn w:val="DefaultParagraphFont"/>
    <w:uiPriority w:val="99"/>
    <w:rsid w:val="00EF5660"/>
    <w:rPr>
      <w:color w:val="0000FF"/>
      <w:u w:val="single"/>
    </w:rPr>
  </w:style>
  <w:style w:type="character" w:customStyle="1" w:styleId="HeaderChar">
    <w:name w:val="Header Char"/>
    <w:basedOn w:val="DefaultParagraphFont"/>
    <w:link w:val="Header"/>
    <w:rsid w:val="00EF5660"/>
    <w:rPr>
      <w:sz w:val="24"/>
      <w:lang w:val="en-GB" w:eastAsia="en-US"/>
    </w:rPr>
  </w:style>
  <w:style w:type="table" w:styleId="TableGrid">
    <w:name w:val="Table Grid"/>
    <w:basedOn w:val="TableNormal"/>
    <w:uiPriority w:val="59"/>
    <w:qFormat/>
    <w:rsid w:val="00EF56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EF5660"/>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EF5660"/>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EF5660"/>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EF5660"/>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F11690"/>
    <w:rPr>
      <w:b/>
      <w:sz w:val="24"/>
      <w:lang w:val="en-GB" w:eastAsia="en-US"/>
    </w:rPr>
  </w:style>
  <w:style w:type="paragraph" w:customStyle="1" w:styleId="Normalaftertitle0">
    <w:name w:val="Normal after title"/>
    <w:basedOn w:val="Normal"/>
    <w:next w:val="Normal"/>
    <w:rsid w:val="00F11690"/>
    <w:pPr>
      <w:tabs>
        <w:tab w:val="clear" w:pos="794"/>
        <w:tab w:val="clear" w:pos="1191"/>
        <w:tab w:val="clear" w:pos="1588"/>
        <w:tab w:val="clear" w:pos="1985"/>
        <w:tab w:val="left" w:pos="1134"/>
        <w:tab w:val="left" w:pos="1871"/>
        <w:tab w:val="left" w:pos="2268"/>
      </w:tabs>
      <w:spacing w:before="280"/>
      <w:jc w:val="left"/>
    </w:pPr>
  </w:style>
  <w:style w:type="character" w:customStyle="1" w:styleId="FootnoteTextChar">
    <w:name w:val="Footnote Text Char"/>
    <w:basedOn w:val="DefaultParagraphFont"/>
    <w:link w:val="FootnoteText"/>
    <w:qFormat/>
    <w:rsid w:val="00F11690"/>
    <w:rPr>
      <w:sz w:val="22"/>
      <w:lang w:val="en-GB" w:eastAsia="en-US"/>
    </w:rPr>
  </w:style>
  <w:style w:type="character" w:customStyle="1" w:styleId="FiguretitleChar">
    <w:name w:val="Figure_title Char"/>
    <w:basedOn w:val="DefaultParagraphFont"/>
    <w:link w:val="Figuretitle"/>
    <w:rsid w:val="00F11690"/>
    <w:rPr>
      <w:rFonts w:ascii="Times New Roman Bold" w:hAnsi="Times New Roman Bold"/>
      <w:b/>
      <w:sz w:val="18"/>
      <w:lang w:val="en-GB" w:eastAsia="en-US"/>
    </w:rPr>
  </w:style>
  <w:style w:type="character" w:customStyle="1" w:styleId="HeadingbChar">
    <w:name w:val="Heading_b Char"/>
    <w:basedOn w:val="DefaultParagraphFont"/>
    <w:link w:val="Headingb"/>
    <w:qFormat/>
    <w:locked/>
    <w:rsid w:val="00F11690"/>
    <w:rPr>
      <w:b/>
      <w:sz w:val="24"/>
      <w:lang w:val="en-GB" w:eastAsia="en-US"/>
    </w:rPr>
  </w:style>
  <w:style w:type="character" w:customStyle="1" w:styleId="enumlev1Char">
    <w:name w:val="enumlev1 Char"/>
    <w:basedOn w:val="DefaultParagraphFont"/>
    <w:link w:val="enumlev1"/>
    <w:locked/>
    <w:rsid w:val="00F11690"/>
    <w:rPr>
      <w:sz w:val="24"/>
      <w:lang w:val="en-GB" w:eastAsia="en-US"/>
    </w:rPr>
  </w:style>
  <w:style w:type="character" w:customStyle="1" w:styleId="NormalaftertitleChar">
    <w:name w:val="Normal_after_title Char"/>
    <w:basedOn w:val="DefaultParagraphFont"/>
    <w:link w:val="Normalaftertitle"/>
    <w:locked/>
    <w:rsid w:val="00F11690"/>
    <w:rPr>
      <w:sz w:val="24"/>
      <w:lang w:val="en-GB" w:eastAsia="en-US"/>
    </w:rPr>
  </w:style>
  <w:style w:type="character" w:customStyle="1" w:styleId="RectitleChar">
    <w:name w:val="Rec_title Char"/>
    <w:link w:val="Rectitle"/>
    <w:locked/>
    <w:rsid w:val="00F11690"/>
    <w:rPr>
      <w:b/>
      <w:sz w:val="28"/>
      <w:lang w:val="en-GB" w:eastAsia="en-US"/>
    </w:rPr>
  </w:style>
  <w:style w:type="character" w:customStyle="1" w:styleId="NoteChar">
    <w:name w:val="Note Char"/>
    <w:basedOn w:val="DefaultParagraphFont"/>
    <w:link w:val="Note"/>
    <w:locked/>
    <w:rsid w:val="00F11690"/>
    <w:rPr>
      <w:sz w:val="22"/>
      <w:lang w:val="en-GB" w:eastAsia="en-US"/>
    </w:rPr>
  </w:style>
  <w:style w:type="character" w:customStyle="1" w:styleId="CallChar">
    <w:name w:val="Call Char"/>
    <w:link w:val="Call"/>
    <w:locked/>
    <w:rsid w:val="00F11690"/>
    <w:rPr>
      <w:i/>
      <w:sz w:val="24"/>
      <w:lang w:val="en-GB" w:eastAsia="en-US"/>
    </w:rPr>
  </w:style>
  <w:style w:type="character" w:customStyle="1" w:styleId="TableheadChar">
    <w:name w:val="Table_head Char"/>
    <w:link w:val="Tablehead"/>
    <w:locked/>
    <w:rsid w:val="00F11690"/>
    <w:rPr>
      <w:b/>
      <w:sz w:val="22"/>
      <w:lang w:val="en-GB" w:eastAsia="en-US"/>
    </w:rPr>
  </w:style>
  <w:style w:type="character" w:customStyle="1" w:styleId="TableNoChar">
    <w:name w:val="Table_No Char"/>
    <w:link w:val="TableNo"/>
    <w:rsid w:val="00F11690"/>
    <w:rPr>
      <w:sz w:val="24"/>
      <w:lang w:val="en-GB" w:eastAsia="en-US"/>
    </w:rPr>
  </w:style>
  <w:style w:type="character" w:customStyle="1" w:styleId="TabletextChar">
    <w:name w:val="Table_text Char"/>
    <w:link w:val="Tabletext"/>
    <w:locked/>
    <w:rsid w:val="00F11690"/>
    <w:rPr>
      <w:sz w:val="22"/>
      <w:lang w:val="en-GB" w:eastAsia="en-US"/>
    </w:rPr>
  </w:style>
  <w:style w:type="character" w:customStyle="1" w:styleId="TabletitleChar">
    <w:name w:val="Table_title Char"/>
    <w:link w:val="Tabletitle"/>
    <w:qFormat/>
    <w:rsid w:val="00F11690"/>
    <w:rPr>
      <w:b/>
      <w:sz w:val="24"/>
      <w:lang w:val="en-GB" w:eastAsia="en-US"/>
    </w:rPr>
  </w:style>
  <w:style w:type="character" w:customStyle="1" w:styleId="FigureChar">
    <w:name w:val="Figure Char"/>
    <w:aliases w:val="fig Char"/>
    <w:link w:val="Figure"/>
    <w:rsid w:val="00F11690"/>
    <w:rPr>
      <w:caps/>
      <w:sz w:val="18"/>
      <w:lang w:val="en-GB" w:eastAsia="en-US"/>
    </w:rPr>
  </w:style>
  <w:style w:type="character" w:customStyle="1" w:styleId="FigureNo0">
    <w:name w:val="Figure_No (文字)"/>
    <w:link w:val="FigureNo"/>
    <w:rsid w:val="00F11690"/>
    <w:rPr>
      <w:caps/>
      <w:sz w:val="18"/>
      <w:lang w:val="en-GB" w:eastAsia="en-US"/>
    </w:rPr>
  </w:style>
  <w:style w:type="character" w:customStyle="1" w:styleId="TablelegendChar">
    <w:name w:val="Table_legend Char"/>
    <w:link w:val="Tablelegend"/>
    <w:locked/>
    <w:rsid w:val="00F11690"/>
    <w:rPr>
      <w:sz w:val="22"/>
      <w:lang w:val="en-GB" w:eastAsia="en-US"/>
    </w:rPr>
  </w:style>
  <w:style w:type="character" w:customStyle="1" w:styleId="enumlev2Char">
    <w:name w:val="enumlev2 Char"/>
    <w:basedOn w:val="DefaultParagraphFont"/>
    <w:link w:val="enumlev2"/>
    <w:locked/>
    <w:rsid w:val="00F11690"/>
    <w:rPr>
      <w:sz w:val="24"/>
      <w:lang w:val="en-GB" w:eastAsia="en-US"/>
    </w:rPr>
  </w:style>
  <w:style w:type="character" w:customStyle="1" w:styleId="EquationChar">
    <w:name w:val="Equation Char"/>
    <w:link w:val="Equation"/>
    <w:locked/>
    <w:rsid w:val="00F11690"/>
    <w:rPr>
      <w:sz w:val="24"/>
      <w:lang w:val="en-GB" w:eastAsia="en-US"/>
    </w:rPr>
  </w:style>
  <w:style w:type="character" w:customStyle="1" w:styleId="AnnexNoTitleChar">
    <w:name w:val="Annex_NoTitle Char"/>
    <w:basedOn w:val="DefaultParagraphFont"/>
    <w:link w:val="AnnexNoTitle"/>
    <w:locked/>
    <w:rsid w:val="00F11690"/>
    <w:rPr>
      <w:b/>
      <w:sz w:val="28"/>
      <w:lang w:val="en-GB" w:eastAsia="en-US"/>
    </w:rPr>
  </w:style>
  <w:style w:type="character" w:styleId="CommentReference">
    <w:name w:val="annotation reference"/>
    <w:basedOn w:val="DefaultParagraphFont"/>
    <w:semiHidden/>
    <w:unhideWhenUsed/>
    <w:rsid w:val="00F11690"/>
    <w:rPr>
      <w:sz w:val="16"/>
      <w:szCs w:val="16"/>
    </w:rPr>
  </w:style>
  <w:style w:type="paragraph" w:styleId="CommentText">
    <w:name w:val="annotation text"/>
    <w:basedOn w:val="Normal"/>
    <w:link w:val="CommentTextChar"/>
    <w:unhideWhenUsed/>
    <w:rsid w:val="00F11690"/>
    <w:rPr>
      <w:sz w:val="20"/>
    </w:rPr>
  </w:style>
  <w:style w:type="character" w:customStyle="1" w:styleId="CommentTextChar">
    <w:name w:val="Comment Text Char"/>
    <w:basedOn w:val="DefaultParagraphFont"/>
    <w:link w:val="CommentText"/>
    <w:rsid w:val="00F11690"/>
    <w:rPr>
      <w:lang w:val="en-GB" w:eastAsia="en-US"/>
    </w:rPr>
  </w:style>
  <w:style w:type="paragraph" w:styleId="CommentSubject">
    <w:name w:val="annotation subject"/>
    <w:basedOn w:val="CommentText"/>
    <w:next w:val="CommentText"/>
    <w:link w:val="CommentSubjectChar"/>
    <w:semiHidden/>
    <w:unhideWhenUsed/>
    <w:rsid w:val="00F11690"/>
    <w:rPr>
      <w:b/>
      <w:bCs/>
    </w:rPr>
  </w:style>
  <w:style w:type="character" w:customStyle="1" w:styleId="CommentSubjectChar">
    <w:name w:val="Comment Subject Char"/>
    <w:basedOn w:val="CommentTextChar"/>
    <w:link w:val="CommentSubject"/>
    <w:semiHidden/>
    <w:rsid w:val="00F11690"/>
    <w:rPr>
      <w:b/>
      <w:bCs/>
      <w:lang w:val="en-GB" w:eastAsia="en-US"/>
    </w:rPr>
  </w:style>
  <w:style w:type="paragraph" w:styleId="Revision">
    <w:name w:val="Revision"/>
    <w:hidden/>
    <w:uiPriority w:val="99"/>
    <w:semiHidden/>
    <w:rsid w:val="00D5290C"/>
    <w:rPr>
      <w:sz w:val="24"/>
      <w:lang w:val="en-GB" w:eastAsia="en-US"/>
    </w:rPr>
  </w:style>
  <w:style w:type="character" w:styleId="UnresolvedMention">
    <w:name w:val="Unresolved Mention"/>
    <w:basedOn w:val="DefaultParagraphFont"/>
    <w:uiPriority w:val="99"/>
    <w:semiHidden/>
    <w:unhideWhenUsed/>
    <w:rsid w:val="00412F68"/>
    <w:rPr>
      <w:color w:val="605E5C"/>
      <w:shd w:val="clear" w:color="auto" w:fill="E1DFDD"/>
    </w:rPr>
  </w:style>
  <w:style w:type="character" w:styleId="FollowedHyperlink">
    <w:name w:val="FollowedHyperlink"/>
    <w:basedOn w:val="DefaultParagraphFont"/>
    <w:semiHidden/>
    <w:unhideWhenUsed/>
    <w:rsid w:val="00962802"/>
    <w:rPr>
      <w:color w:val="800080" w:themeColor="followedHyperlink"/>
      <w:u w:val="single"/>
    </w:rPr>
  </w:style>
  <w:style w:type="paragraph" w:customStyle="1" w:styleId="Reasons">
    <w:name w:val="Reasons"/>
    <w:basedOn w:val="Normal"/>
    <w:qFormat/>
    <w:rsid w:val="00386E74"/>
    <w:pPr>
      <w:tabs>
        <w:tab w:val="clear" w:pos="794"/>
        <w:tab w:val="clear" w:pos="1191"/>
        <w:tab w:val="clear" w:pos="1588"/>
        <w:tab w:val="clear" w:pos="1985"/>
      </w:tabs>
      <w:overflowPunct/>
      <w:autoSpaceDE/>
      <w:autoSpaceDN/>
      <w:adjustRightInd/>
      <w:spacing w:before="0"/>
      <w:jc w:val="left"/>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37897">
      <w:bodyDiv w:val="1"/>
      <w:marLeft w:val="0"/>
      <w:marRight w:val="0"/>
      <w:marTop w:val="0"/>
      <w:marBottom w:val="0"/>
      <w:divBdr>
        <w:top w:val="none" w:sz="0" w:space="0" w:color="auto"/>
        <w:left w:val="none" w:sz="0" w:space="0" w:color="auto"/>
        <w:bottom w:val="none" w:sz="0" w:space="0" w:color="auto"/>
        <w:right w:val="none" w:sz="0" w:space="0" w:color="auto"/>
      </w:divBdr>
    </w:div>
    <w:div w:id="17362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pub/R-REC/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3923-CC11-4F60-A952-D13E959B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46</TotalTime>
  <Pages>4</Pages>
  <Words>1081</Words>
  <Characters>6820</Characters>
  <Application>Microsoft Office Word</Application>
  <DocSecurity>0</DocSecurity>
  <Lines>378</Lines>
  <Paragraphs>60</Paragraphs>
  <ScaleCrop>false</ScaleCrop>
  <HeadingPairs>
    <vt:vector size="2" baseType="variant">
      <vt:variant>
        <vt:lpstr>Title</vt:lpstr>
      </vt:variant>
      <vt:variant>
        <vt:i4>1</vt:i4>
      </vt:variant>
    </vt:vector>
  </HeadingPairs>
  <TitlesOfParts>
    <vt:vector size="1" baseType="lpstr">
      <vt:lpstr>Recommandation UIT-R BT.2123-1 (02/2025) – Valeurs de paramètres vidéo des systèmes audiovisuels en immersion évolués pour la production et l'échange international de programmes de radiodiffusion</vt:lpstr>
    </vt:vector>
  </TitlesOfParts>
  <Manager/>
  <Company>ITU</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BT.1666-1 (02/2025) - Applications télévisuelles pour projection en salle de cinéma – Spécifications d'utilisateur</dc:title>
  <dc:subject/>
  <dc:creator>French</dc:creator>
  <cp:keywords/>
  <dc:description/>
  <cp:lastModifiedBy>Gachet, Christelle</cp:lastModifiedBy>
  <cp:revision>9</cp:revision>
  <cp:lastPrinted>2025-04-24T08:11:00Z</cp:lastPrinted>
  <dcterms:created xsi:type="dcterms:W3CDTF">2025-04-24T06:42:00Z</dcterms:created>
  <dcterms:modified xsi:type="dcterms:W3CDTF">2025-04-24T08:13:00Z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