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874ED" w14:textId="77777777" w:rsidR="00FE79FE" w:rsidRDefault="00FE79FE"/>
    <w:p w14:paraId="136A9246" w14:textId="77777777" w:rsidR="00013002" w:rsidRDefault="00013002" w:rsidP="00DE5556">
      <w:pPr>
        <w:tabs>
          <w:tab w:val="clear" w:pos="794"/>
          <w:tab w:val="clear" w:pos="1191"/>
          <w:tab w:val="clear" w:pos="1588"/>
          <w:tab w:val="clear" w:pos="1985"/>
        </w:tabs>
      </w:pPr>
      <w:bookmarkStart w:id="0" w:name="_Hlk196744341"/>
    </w:p>
    <w:p w14:paraId="7A7A5521" w14:textId="4BFF65CF" w:rsidR="00D5024B" w:rsidRPr="007E27E3" w:rsidRDefault="005B218E" w:rsidP="00D5024B">
      <w:pPr>
        <w:pStyle w:val="CoverNumber"/>
        <w:rPr>
          <w:rFonts w:ascii="Tahoma" w:eastAsia="SimHei" w:hAnsi="Tahoma" w:cs="Tahoma"/>
          <w:lang w:eastAsia="zh-CN"/>
        </w:rPr>
      </w:pPr>
      <w:r w:rsidRPr="00AA147C">
        <w:rPr>
          <w:rFonts w:asciiTheme="minorBidi" w:eastAsia="SimHei" w:hAnsiTheme="minorBidi" w:cstheme="minorBidi"/>
          <w:lang w:eastAsia="zh-CN"/>
        </w:rPr>
        <w:t xml:space="preserve">ITU-R </w:t>
      </w:r>
      <w:r w:rsidR="00F93A0E" w:rsidRPr="00AA147C">
        <w:rPr>
          <w:rFonts w:asciiTheme="minorBidi" w:eastAsia="SimHei" w:hAnsiTheme="minorBidi" w:cstheme="minorBidi"/>
          <w:lang w:eastAsia="zh-CN"/>
        </w:rPr>
        <w:t>B</w:t>
      </w:r>
      <w:r w:rsidR="00950882" w:rsidRPr="00AA147C">
        <w:rPr>
          <w:rFonts w:asciiTheme="minorBidi" w:eastAsia="SimHei" w:hAnsiTheme="minorBidi" w:cstheme="minorBidi"/>
          <w:lang w:eastAsia="zh-CN"/>
        </w:rPr>
        <w:t>T</w:t>
      </w:r>
      <w:r w:rsidRPr="00AA147C">
        <w:rPr>
          <w:rFonts w:asciiTheme="minorBidi" w:eastAsia="SimHei" w:hAnsiTheme="minorBidi" w:cstheme="minorBidi"/>
          <w:lang w:eastAsia="zh-CN"/>
        </w:rPr>
        <w:t>.</w:t>
      </w:r>
      <w:r w:rsidR="00DF6D02">
        <w:rPr>
          <w:rFonts w:asciiTheme="minorBidi" w:eastAsia="SimHei" w:hAnsiTheme="minorBidi" w:cstheme="minorBidi" w:hint="eastAsia"/>
          <w:lang w:eastAsia="zh-CN"/>
        </w:rPr>
        <w:t>1666</w:t>
      </w:r>
      <w:r w:rsidR="00B60517" w:rsidRPr="00B60517">
        <w:rPr>
          <w:rFonts w:asciiTheme="minorBidi" w:eastAsia="SimHei" w:hAnsiTheme="minorBidi" w:cstheme="minorBidi"/>
          <w:lang w:eastAsia="zh-CN"/>
        </w:rPr>
        <w:t>-</w:t>
      </w:r>
      <w:r w:rsidR="00DF6D02">
        <w:rPr>
          <w:rFonts w:asciiTheme="minorBidi" w:eastAsia="SimHei" w:hAnsiTheme="minorBidi" w:cstheme="minorBidi" w:hint="eastAsia"/>
          <w:lang w:eastAsia="zh-CN"/>
        </w:rPr>
        <w:t>1</w:t>
      </w:r>
      <w:r w:rsidRPr="007E27E3">
        <w:rPr>
          <w:rFonts w:ascii="Tahoma" w:eastAsia="SimHei" w:hAnsi="Tahoma" w:cs="Tahoma"/>
          <w:lang w:eastAsia="zh-CN"/>
        </w:rPr>
        <w:t>建议书</w:t>
      </w:r>
    </w:p>
    <w:p w14:paraId="4220BAB0" w14:textId="6DA51040" w:rsidR="00D5024B" w:rsidRPr="00F35AE5" w:rsidRDefault="00D5024B" w:rsidP="00534C73">
      <w:pPr>
        <w:pStyle w:val="CoverDate"/>
        <w:rPr>
          <w:rFonts w:asciiTheme="minorBidi" w:eastAsia="SimHei" w:hAnsiTheme="minorBidi" w:cstheme="minorBidi"/>
          <w:lang w:eastAsia="zh-CN"/>
        </w:rPr>
      </w:pPr>
      <w:r w:rsidRPr="00F35AE5">
        <w:rPr>
          <w:rFonts w:asciiTheme="minorBidi" w:eastAsia="SimHei" w:hAnsiTheme="minorBidi" w:cstheme="minorBidi"/>
          <w:lang w:eastAsia="zh-CN"/>
        </w:rPr>
        <w:t>(</w:t>
      </w:r>
      <w:r w:rsidR="00B60517">
        <w:rPr>
          <w:rFonts w:asciiTheme="minorBidi" w:eastAsia="SimHei" w:hAnsiTheme="minorBidi" w:cstheme="minorBidi"/>
          <w:lang w:val="en-GB" w:eastAsia="zh-CN"/>
        </w:rPr>
        <w:t>02</w:t>
      </w:r>
      <w:r w:rsidR="00534C73" w:rsidRPr="00F35AE5">
        <w:rPr>
          <w:rFonts w:asciiTheme="minorBidi" w:eastAsia="SimHei" w:hAnsiTheme="minorBidi" w:cstheme="minorBidi"/>
          <w:lang w:val="en-GB" w:eastAsia="zh-CN"/>
        </w:rPr>
        <w:t>/202</w:t>
      </w:r>
      <w:r w:rsidR="00B60517">
        <w:rPr>
          <w:rFonts w:asciiTheme="minorBidi" w:eastAsia="SimHei" w:hAnsiTheme="minorBidi" w:cstheme="minorBidi"/>
          <w:lang w:val="en-GB" w:eastAsia="zh-CN"/>
        </w:rPr>
        <w:t>5</w:t>
      </w:r>
      <w:r w:rsidRPr="00F35AE5">
        <w:rPr>
          <w:rFonts w:asciiTheme="minorBidi" w:eastAsia="SimHei" w:hAnsiTheme="minorBidi" w:cstheme="minorBidi"/>
          <w:lang w:eastAsia="zh-CN"/>
        </w:rPr>
        <w:t>)</w:t>
      </w:r>
    </w:p>
    <w:p w14:paraId="7CA6DAC2" w14:textId="77777777" w:rsidR="00D5024B" w:rsidRPr="00B11188" w:rsidRDefault="00B00E4F" w:rsidP="00D5024B">
      <w:pPr>
        <w:pStyle w:val="CoverSeries"/>
        <w:rPr>
          <w:rFonts w:ascii="SimHei" w:eastAsia="SimHei" w:hAnsi="SimHei" w:cs="Arial"/>
          <w:lang w:eastAsia="zh-CN"/>
        </w:rPr>
      </w:pPr>
      <w:r w:rsidRPr="00F35AE5">
        <w:rPr>
          <w:rFonts w:asciiTheme="minorBidi" w:eastAsia="SimHei" w:hAnsiTheme="minorBidi" w:cstheme="minorBidi"/>
          <w:lang w:eastAsia="zh-CN"/>
        </w:rPr>
        <w:t>B</w:t>
      </w:r>
      <w:r w:rsidR="00CA6522" w:rsidRPr="00F35AE5">
        <w:rPr>
          <w:rFonts w:asciiTheme="minorBidi" w:eastAsia="SimHei" w:hAnsiTheme="minorBidi" w:cstheme="minorBidi"/>
          <w:lang w:eastAsia="zh-CN"/>
        </w:rPr>
        <w:t>T</w:t>
      </w:r>
      <w:r w:rsidR="005B218E" w:rsidRPr="00B11188">
        <w:rPr>
          <w:rFonts w:ascii="SimHei" w:eastAsia="SimHei" w:hAnsi="SimHei" w:cs="Arial"/>
          <w:lang w:eastAsia="zh-CN"/>
        </w:rPr>
        <w:t>系列</w:t>
      </w:r>
      <w:r w:rsidR="00CE08AF" w:rsidRPr="00B11188">
        <w:rPr>
          <w:rFonts w:ascii="SimHei" w:eastAsia="SimHei" w:hAnsi="SimHei" w:cs="Arial" w:hint="eastAsia"/>
          <w:lang w:eastAsia="zh-CN"/>
        </w:rPr>
        <w:t>：</w:t>
      </w:r>
      <w:r w:rsidR="00CA6522" w:rsidRPr="00B11188">
        <w:rPr>
          <w:rFonts w:ascii="SimHei" w:eastAsia="SimHei" w:hAnsi="SimHei" w:cs="Arial" w:hint="eastAsia"/>
          <w:lang w:eastAsia="zh-CN"/>
        </w:rPr>
        <w:t>广播业务（电视）</w:t>
      </w:r>
    </w:p>
    <w:p w14:paraId="2823491A" w14:textId="49E852BD" w:rsidR="00D5024B" w:rsidRPr="004A6FEB" w:rsidRDefault="00DF6D02" w:rsidP="00B60517">
      <w:pPr>
        <w:pStyle w:val="CoverTitle"/>
        <w:rPr>
          <w:lang w:eastAsia="zh-CN"/>
        </w:rPr>
      </w:pPr>
      <w:r w:rsidRPr="00DF6D02">
        <w:rPr>
          <w:rFonts w:eastAsia="SimHei" w:cs="Arial" w:hint="eastAsia"/>
          <w:lang w:val="en-GB" w:eastAsia="zh-CN"/>
        </w:rPr>
        <w:t>用户对在</w:t>
      </w:r>
      <w:proofErr w:type="gramStart"/>
      <w:r w:rsidRPr="00DF6D02">
        <w:rPr>
          <w:rFonts w:eastAsia="SimHei" w:cs="Arial" w:hint="eastAsia"/>
          <w:lang w:val="en-GB" w:eastAsia="zh-CN"/>
        </w:rPr>
        <w:t>影院级</w:t>
      </w:r>
      <w:proofErr w:type="gramEnd"/>
      <w:r w:rsidRPr="00DF6D02">
        <w:rPr>
          <w:rFonts w:eastAsia="SimHei" w:cs="Arial" w:hint="eastAsia"/>
          <w:lang w:val="en-GB" w:eastAsia="zh-CN"/>
        </w:rPr>
        <w:t>环境下播放的</w:t>
      </w:r>
      <w:r w:rsidR="00C431DE">
        <w:rPr>
          <w:rFonts w:eastAsia="SimHei" w:cs="Arial"/>
          <w:lang w:val="en-GB" w:eastAsia="zh-CN"/>
        </w:rPr>
        <w:br/>
      </w:r>
      <w:r w:rsidRPr="00DF6D02">
        <w:rPr>
          <w:rFonts w:eastAsia="SimHei" w:cs="Arial" w:hint="eastAsia"/>
          <w:lang w:val="en-GB" w:eastAsia="zh-CN"/>
        </w:rPr>
        <w:t>电视应用的要求</w:t>
      </w:r>
    </w:p>
    <w:p w14:paraId="6CB83166" w14:textId="77777777" w:rsidR="00FE79FE" w:rsidRPr="005373E0" w:rsidRDefault="00FE79FE" w:rsidP="005373E0">
      <w:pPr>
        <w:rPr>
          <w:lang w:val="en-US" w:eastAsia="zh-CN"/>
        </w:rPr>
      </w:pPr>
    </w:p>
    <w:bookmarkEnd w:id="0"/>
    <w:p w14:paraId="714C16C7" w14:textId="77777777" w:rsidR="00A71FE5" w:rsidRPr="00534C73" w:rsidRDefault="00A71FE5" w:rsidP="005373E0">
      <w:pPr>
        <w:rPr>
          <w:lang w:val="en-US" w:eastAsia="zh-CN"/>
        </w:rPr>
      </w:pPr>
    </w:p>
    <w:p w14:paraId="0F12D2E5" w14:textId="77777777" w:rsidR="00EE47C4" w:rsidRPr="00534C73" w:rsidRDefault="00EE47C4" w:rsidP="005373E0">
      <w:pPr>
        <w:rPr>
          <w:lang w:val="en-US" w:eastAsia="zh-CN"/>
        </w:rPr>
        <w:sectPr w:rsidR="00EE47C4" w:rsidRPr="00534C73" w:rsidSect="0027411A">
          <w:headerReference w:type="even" r:id="rId8"/>
          <w:headerReference w:type="default" r:id="rId9"/>
          <w:footerReference w:type="default" r:id="rId10"/>
          <w:pgSz w:w="11907" w:h="16840" w:code="9"/>
          <w:pgMar w:top="1089" w:right="1089" w:bottom="284" w:left="1089" w:header="737" w:footer="284" w:gutter="0"/>
          <w:pgNumType w:start="1"/>
          <w:cols w:space="720"/>
          <w:docGrid w:linePitch="326"/>
        </w:sectPr>
      </w:pPr>
    </w:p>
    <w:p w14:paraId="603165BE" w14:textId="77777777" w:rsidR="00D5024B" w:rsidRPr="00586EF8" w:rsidRDefault="001477C8" w:rsidP="00D5024B">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240" w:after="0"/>
        <w:rPr>
          <w:bCs/>
          <w:sz w:val="24"/>
          <w:szCs w:val="24"/>
          <w:lang w:val="en-US" w:eastAsia="zh-CN"/>
        </w:rPr>
      </w:pPr>
      <w:bookmarkStart w:id="2" w:name="c2tope"/>
      <w:bookmarkEnd w:id="2"/>
      <w:r w:rsidRPr="001477C8">
        <w:rPr>
          <w:rFonts w:hint="eastAsia"/>
          <w:bCs/>
          <w:sz w:val="24"/>
          <w:szCs w:val="24"/>
          <w:lang w:val="en-US" w:eastAsia="zh-CN"/>
        </w:rPr>
        <w:lastRenderedPageBreak/>
        <w:t>前言</w:t>
      </w:r>
    </w:p>
    <w:p w14:paraId="62191FF5" w14:textId="77777777" w:rsidR="00CC01C7" w:rsidRPr="00CC01C7" w:rsidRDefault="00CC01C7" w:rsidP="00CC01C7">
      <w:pPr>
        <w:ind w:firstLineChars="200" w:firstLine="400"/>
        <w:rPr>
          <w:sz w:val="20"/>
          <w:lang w:val="en-US" w:eastAsia="zh-CN"/>
        </w:rPr>
      </w:pPr>
      <w:r w:rsidRPr="00CC01C7">
        <w:rPr>
          <w:rFonts w:hint="eastAsia"/>
          <w:sz w:val="20"/>
          <w:lang w:val="en-US" w:eastAsia="zh-CN"/>
        </w:rPr>
        <w:t>无线电通信部门的作用是确保所有无线电通信业务，包括卫星业务，合理、公平、有效和经济地使用无线电频谱，并开展没有频率范围限制的研究，在此基础上通过建议书。</w:t>
      </w:r>
    </w:p>
    <w:p w14:paraId="78EBF675" w14:textId="77777777" w:rsidR="00D5024B" w:rsidRDefault="00CC01C7" w:rsidP="00CC01C7">
      <w:pPr>
        <w:ind w:firstLineChars="200" w:firstLine="400"/>
        <w:rPr>
          <w:sz w:val="20"/>
          <w:lang w:val="en-US" w:eastAsia="zh-CN"/>
        </w:rPr>
      </w:pPr>
      <w:r w:rsidRPr="00CC01C7">
        <w:rPr>
          <w:rFonts w:hint="eastAsia"/>
          <w:sz w:val="20"/>
          <w:lang w:val="en-US" w:eastAsia="zh-CN"/>
        </w:rPr>
        <w:t>无线电通信部门制定规章制度和政策的职能由世界和区域无线电通信大会以及无线电通信全会完成，并得到各研究组的支持。</w:t>
      </w:r>
    </w:p>
    <w:p w14:paraId="0F5ADB65" w14:textId="77777777" w:rsidR="00D5024B" w:rsidRPr="00A74B43" w:rsidRDefault="00A511E2" w:rsidP="00A74B43">
      <w:pPr>
        <w:pStyle w:val="Heading1"/>
        <w:spacing w:before="680"/>
        <w:jc w:val="center"/>
        <w:rPr>
          <w:szCs w:val="24"/>
          <w:lang w:val="en-US" w:eastAsia="zh-CN"/>
        </w:rPr>
      </w:pPr>
      <w:r w:rsidRPr="00A511E2">
        <w:rPr>
          <w:rFonts w:hint="eastAsia"/>
          <w:szCs w:val="24"/>
          <w:lang w:val="en-US" w:eastAsia="zh-CN"/>
        </w:rPr>
        <w:t>知识产权政策（</w:t>
      </w:r>
      <w:r w:rsidRPr="00A511E2">
        <w:rPr>
          <w:rFonts w:hint="eastAsia"/>
          <w:szCs w:val="24"/>
          <w:lang w:val="en-US" w:eastAsia="zh-CN"/>
        </w:rPr>
        <w:t>IPR</w:t>
      </w:r>
      <w:r w:rsidRPr="00A511E2">
        <w:rPr>
          <w:rFonts w:hint="eastAsia"/>
          <w:szCs w:val="24"/>
          <w:lang w:val="en-US" w:eastAsia="zh-CN"/>
        </w:rPr>
        <w:t>）</w:t>
      </w:r>
    </w:p>
    <w:p w14:paraId="2B9F72F5" w14:textId="77E0B886" w:rsidR="00A74B43" w:rsidRDefault="00A74B43" w:rsidP="00A74B43">
      <w:pPr>
        <w:tabs>
          <w:tab w:val="clear" w:pos="794"/>
          <w:tab w:val="clear" w:pos="1191"/>
          <w:tab w:val="clear" w:pos="1588"/>
          <w:tab w:val="clear" w:pos="1985"/>
        </w:tabs>
        <w:wordWrap w:val="0"/>
        <w:overflowPunct/>
        <w:topLinePunct/>
        <w:autoSpaceDE/>
        <w:autoSpaceDN/>
        <w:spacing w:before="240"/>
        <w:ind w:firstLineChars="200" w:firstLine="400"/>
        <w:rPr>
          <w:noProof/>
          <w:sz w:val="20"/>
          <w:lang w:val="en-US" w:eastAsia="zh-CN"/>
        </w:rPr>
      </w:pPr>
      <w:bookmarkStart w:id="3" w:name="_Hlk196744466"/>
      <w:r>
        <w:rPr>
          <w:rFonts w:ascii="SimSun" w:hAnsi="SimSun" w:cs="SimSun" w:hint="eastAsia"/>
          <w:noProof/>
          <w:sz w:val="20"/>
          <w:lang w:val="en-US" w:eastAsia="zh-CN"/>
        </w:rPr>
        <w:t>国际电联</w:t>
      </w:r>
      <w:r>
        <w:rPr>
          <w:rFonts w:hint="eastAsia"/>
          <w:noProof/>
          <w:sz w:val="20"/>
          <w:lang w:eastAsia="zh-CN"/>
        </w:rPr>
        <w:t>无线电通信部门</w:t>
      </w:r>
      <w:r>
        <w:rPr>
          <w:rFonts w:ascii="SimSun" w:hAnsi="SimSun" w:cs="SimSun" w:hint="eastAsia"/>
          <w:noProof/>
          <w:sz w:val="20"/>
          <w:lang w:eastAsia="zh-CN"/>
        </w:rPr>
        <w:t>（</w:t>
      </w:r>
      <w:r w:rsidRPr="005450C8">
        <w:rPr>
          <w:rFonts w:hint="eastAsia"/>
          <w:noProof/>
          <w:sz w:val="20"/>
          <w:lang w:val="en-US" w:eastAsia="zh-CN"/>
        </w:rPr>
        <w:t>ITU-R</w:t>
      </w:r>
      <w:r>
        <w:rPr>
          <w:rFonts w:ascii="SimSun" w:hAnsi="SimSun" w:cs="SimSun" w:hint="eastAsia"/>
          <w:noProof/>
          <w:sz w:val="20"/>
          <w:lang w:val="en-US" w:eastAsia="zh-CN"/>
        </w:rPr>
        <w:t>）</w:t>
      </w:r>
      <w:r w:rsidRPr="005450C8">
        <w:rPr>
          <w:rFonts w:ascii="SimSun" w:hAnsi="SimSun" w:cs="SimSun" w:hint="eastAsia"/>
          <w:noProof/>
          <w:sz w:val="20"/>
          <w:lang w:val="en-US" w:eastAsia="zh-CN"/>
        </w:rPr>
        <w:t>的</w:t>
      </w:r>
      <w:r w:rsidRPr="005450C8">
        <w:rPr>
          <w:rFonts w:hint="eastAsia"/>
          <w:noProof/>
          <w:sz w:val="20"/>
          <w:lang w:val="en-US" w:eastAsia="zh-CN"/>
        </w:rPr>
        <w:t>IPR</w:t>
      </w:r>
      <w:r w:rsidRPr="005450C8">
        <w:rPr>
          <w:rFonts w:ascii="SimSun" w:hAnsi="SimSun" w:cs="SimSun" w:hint="eastAsia"/>
          <w:noProof/>
          <w:sz w:val="20"/>
          <w:lang w:val="en-US" w:eastAsia="zh-CN"/>
        </w:rPr>
        <w:t>政策述于</w:t>
      </w:r>
      <w:r w:rsidRPr="005450C8">
        <w:rPr>
          <w:rFonts w:hint="eastAsia"/>
          <w:noProof/>
          <w:sz w:val="20"/>
          <w:lang w:val="en-US" w:eastAsia="zh-CN"/>
        </w:rPr>
        <w:t>ITU-R</w:t>
      </w:r>
      <w:r w:rsidRPr="005450C8">
        <w:rPr>
          <w:rFonts w:ascii="SimSun" w:hAnsi="SimSun" w:cs="SimSun" w:hint="eastAsia"/>
          <w:noProof/>
          <w:sz w:val="20"/>
          <w:lang w:val="en-US" w:eastAsia="zh-CN"/>
        </w:rPr>
        <w:t>第</w:t>
      </w:r>
      <w:r w:rsidRPr="005450C8">
        <w:rPr>
          <w:rFonts w:hint="eastAsia"/>
          <w:noProof/>
          <w:sz w:val="20"/>
          <w:lang w:val="en-US" w:eastAsia="zh-CN"/>
        </w:rPr>
        <w:t>1</w:t>
      </w:r>
      <w:r w:rsidRPr="005450C8">
        <w:rPr>
          <w:rFonts w:ascii="SimSun" w:hAnsi="SimSun" w:cs="SimSun" w:hint="eastAsia"/>
          <w:noProof/>
          <w:sz w:val="20"/>
          <w:lang w:val="en-US" w:eastAsia="zh-CN"/>
        </w:rPr>
        <w:t>号决议所参引的《</w:t>
      </w:r>
      <w:r w:rsidRPr="005450C8">
        <w:rPr>
          <w:rFonts w:hint="eastAsia"/>
          <w:noProof/>
          <w:sz w:val="20"/>
          <w:lang w:val="en-US" w:eastAsia="zh-CN"/>
        </w:rPr>
        <w:t>ITU-T/ITU-R/ISO/IEC</w:t>
      </w:r>
      <w:r w:rsidRPr="005450C8">
        <w:rPr>
          <w:rFonts w:ascii="SimSun" w:hAnsi="SimSun" w:cs="SimSun" w:hint="eastAsia"/>
          <w:noProof/>
          <w:sz w:val="20"/>
          <w:lang w:val="en-US" w:eastAsia="zh-CN"/>
        </w:rPr>
        <w:t>的通用专利政策》。专利持有人用于提交专利声明和许可声明的表格可从</w:t>
      </w:r>
      <w:hyperlink r:id="rId11" w:history="1">
        <w:r w:rsidR="00C431DE">
          <w:rPr>
            <w:rStyle w:val="Hyperlink"/>
            <w:rFonts w:hint="eastAsia"/>
            <w:noProof/>
            <w:sz w:val="20"/>
            <w:lang w:val="en-GB" w:eastAsia="zh-CN"/>
          </w:rPr>
          <w:t>https://www.itu.int/ITU-R/go/patents/zh</w:t>
        </w:r>
      </w:hyperlink>
      <w:r w:rsidRPr="005450C8">
        <w:rPr>
          <w:rFonts w:ascii="SimSun" w:hAnsi="SimSun" w:cs="SimSun" w:hint="eastAsia"/>
          <w:noProof/>
          <w:sz w:val="20"/>
          <w:lang w:eastAsia="zh-CN"/>
        </w:rPr>
        <w:t>获得</w:t>
      </w:r>
      <w:r w:rsidRPr="005450C8">
        <w:rPr>
          <w:rFonts w:ascii="SimSun" w:hAnsi="SimSun" w:cs="SimSun" w:hint="eastAsia"/>
          <w:noProof/>
          <w:sz w:val="20"/>
          <w:lang w:val="en-US" w:eastAsia="zh-CN"/>
        </w:rPr>
        <w:t>，</w:t>
      </w:r>
      <w:r w:rsidRPr="005450C8">
        <w:rPr>
          <w:rFonts w:ascii="SimSun" w:hAnsi="SimSun" w:cs="SimSun" w:hint="eastAsia"/>
          <w:noProof/>
          <w:sz w:val="20"/>
          <w:lang w:eastAsia="zh-CN"/>
        </w:rPr>
        <w:t>在此处也可获取</w:t>
      </w:r>
      <w:r w:rsidRPr="005450C8">
        <w:rPr>
          <w:rFonts w:ascii="SimSun" w:hAnsi="SimSun" w:cs="SimSun" w:hint="eastAsia"/>
          <w:noProof/>
          <w:sz w:val="20"/>
          <w:lang w:val="en-US" w:eastAsia="zh-CN"/>
        </w:rPr>
        <w:t>《</w:t>
      </w:r>
      <w:r w:rsidRPr="005450C8">
        <w:rPr>
          <w:rFonts w:hint="eastAsia"/>
          <w:noProof/>
          <w:sz w:val="20"/>
          <w:lang w:val="en-US" w:eastAsia="zh-CN"/>
        </w:rPr>
        <w:t>ITU-T/ITU-R/ISO/IEC</w:t>
      </w:r>
      <w:r w:rsidRPr="005450C8">
        <w:rPr>
          <w:rFonts w:ascii="SimSun" w:hAnsi="SimSun" w:cs="SimSun" w:hint="eastAsia"/>
          <w:noProof/>
          <w:sz w:val="20"/>
          <w:lang w:val="en-US" w:eastAsia="zh-CN"/>
        </w:rPr>
        <w:t>的通用专利政策实施指南》和</w:t>
      </w:r>
      <w:r w:rsidRPr="005450C8">
        <w:rPr>
          <w:rFonts w:hint="eastAsia"/>
          <w:noProof/>
          <w:sz w:val="20"/>
          <w:lang w:val="en-US" w:eastAsia="zh-CN"/>
        </w:rPr>
        <w:t>ITU-R</w:t>
      </w:r>
      <w:r w:rsidRPr="005450C8">
        <w:rPr>
          <w:rFonts w:ascii="SimSun" w:hAnsi="SimSun" w:cs="SimSun" w:hint="eastAsia"/>
          <w:noProof/>
          <w:sz w:val="20"/>
          <w:lang w:val="en-US" w:eastAsia="zh-CN"/>
        </w:rPr>
        <w:t>专利信息数据库。</w:t>
      </w:r>
      <w:bookmarkEnd w:id="3"/>
    </w:p>
    <w:p w14:paraId="1F09DC80" w14:textId="77777777" w:rsidR="00A74B43" w:rsidRDefault="00A74B43" w:rsidP="00A74B43">
      <w:pPr>
        <w:jc w:val="center"/>
        <w:rPr>
          <w:noProof/>
          <w:sz w:val="22"/>
          <w:lang w:val="en-US" w:eastAsia="zh-CN"/>
        </w:rPr>
      </w:pPr>
    </w:p>
    <w:tbl>
      <w:tblPr>
        <w:tblW w:w="0" w:type="auto"/>
        <w:tblInd w:w="288" w:type="dxa"/>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1139"/>
        <w:gridCol w:w="8182"/>
      </w:tblGrid>
      <w:tr w:rsidR="00A74B43" w:rsidRPr="00C431DE" w14:paraId="65A4FFB2" w14:textId="77777777" w:rsidTr="00BF4E74">
        <w:tc>
          <w:tcPr>
            <w:tcW w:w="9360" w:type="dxa"/>
            <w:gridSpan w:val="2"/>
            <w:tcBorders>
              <w:top w:val="single" w:sz="12" w:space="0" w:color="000080"/>
              <w:left w:val="single" w:sz="12" w:space="0" w:color="000080"/>
              <w:bottom w:val="nil"/>
              <w:right w:val="single" w:sz="12" w:space="0" w:color="000080"/>
            </w:tcBorders>
          </w:tcPr>
          <w:p w14:paraId="585CD684" w14:textId="77777777" w:rsidR="00A74B43" w:rsidRPr="00B60517" w:rsidRDefault="00A74B43" w:rsidP="00BF4E74">
            <w:pPr>
              <w:pStyle w:val="Chaptitle"/>
              <w:rPr>
                <w:noProof/>
                <w:sz w:val="22"/>
                <w:szCs w:val="22"/>
                <w:lang w:val="pt-BR" w:eastAsia="zh-CN"/>
              </w:rPr>
            </w:pPr>
            <w:r w:rsidRPr="00B60517">
              <w:rPr>
                <w:rFonts w:hint="eastAsia"/>
                <w:noProof/>
                <w:sz w:val="22"/>
                <w:szCs w:val="22"/>
                <w:lang w:val="pt-BR" w:eastAsia="zh-CN"/>
              </w:rPr>
              <w:t xml:space="preserve">ITU-R </w:t>
            </w:r>
            <w:r w:rsidRPr="00910F2D">
              <w:rPr>
                <w:rFonts w:ascii="SimSun" w:hAnsi="SimSun" w:cs="SimSun" w:hint="eastAsia"/>
                <w:noProof/>
                <w:sz w:val="22"/>
                <w:szCs w:val="22"/>
                <w:lang w:val="en-US" w:eastAsia="zh-CN"/>
              </w:rPr>
              <w:t>建议书系列</w:t>
            </w:r>
          </w:p>
          <w:p w14:paraId="7C9E72BF" w14:textId="3EAD3F97" w:rsidR="00A74B43" w:rsidRPr="00B60517" w:rsidRDefault="00A74B43" w:rsidP="00BF4E74">
            <w:pPr>
              <w:pStyle w:val="Tablehead"/>
              <w:tabs>
                <w:tab w:val="clear" w:pos="284"/>
                <w:tab w:val="clear" w:pos="567"/>
                <w:tab w:val="clear" w:pos="851"/>
                <w:tab w:val="clear" w:pos="1134"/>
                <w:tab w:val="clear" w:pos="1418"/>
                <w:tab w:val="clear" w:pos="1701"/>
                <w:tab w:val="left" w:pos="794"/>
                <w:tab w:val="left" w:pos="1191"/>
                <w:tab w:val="left" w:pos="1588"/>
              </w:tabs>
              <w:spacing w:before="120" w:after="60"/>
              <w:rPr>
                <w:bCs/>
                <w:noProof/>
                <w:sz w:val="20"/>
                <w:lang w:val="pt-BR" w:eastAsia="zh-CN"/>
              </w:rPr>
            </w:pPr>
            <w:r w:rsidRPr="00B60517">
              <w:rPr>
                <w:rFonts w:hint="eastAsia"/>
                <w:b w:val="0"/>
                <w:noProof/>
                <w:sz w:val="20"/>
                <w:lang w:val="pt-BR" w:eastAsia="zh-CN"/>
              </w:rPr>
              <w:t>（</w:t>
            </w:r>
            <w:r>
              <w:rPr>
                <w:rFonts w:hint="eastAsia"/>
                <w:b w:val="0"/>
                <w:noProof/>
                <w:sz w:val="20"/>
                <w:lang w:val="en-US" w:eastAsia="zh-CN"/>
              </w:rPr>
              <w:t>可同时在以下网址获得</w:t>
            </w:r>
            <w:r w:rsidRPr="00B60517">
              <w:rPr>
                <w:rFonts w:hint="eastAsia"/>
                <w:b w:val="0"/>
                <w:noProof/>
                <w:sz w:val="20"/>
                <w:lang w:val="pt-BR" w:eastAsia="zh-CN"/>
              </w:rPr>
              <w:t>：</w:t>
            </w:r>
            <w:hyperlink r:id="rId12" w:history="1">
              <w:r w:rsidR="00C431DE">
                <w:rPr>
                  <w:rStyle w:val="Hyperlink"/>
                  <w:rFonts w:hint="eastAsia"/>
                  <w:b w:val="0"/>
                  <w:bCs/>
                  <w:noProof/>
                  <w:sz w:val="20"/>
                  <w:lang w:val="pt-BR" w:eastAsia="zh-CN"/>
                </w:rPr>
                <w:t>https://www.itu.int/publ/R-REC/zh</w:t>
              </w:r>
            </w:hyperlink>
            <w:r w:rsidRPr="00B60517">
              <w:rPr>
                <w:rFonts w:hint="eastAsia"/>
                <w:b w:val="0"/>
                <w:noProof/>
                <w:sz w:val="20"/>
                <w:lang w:val="pt-BR" w:eastAsia="zh-CN"/>
              </w:rPr>
              <w:t>）</w:t>
            </w:r>
          </w:p>
        </w:tc>
      </w:tr>
      <w:tr w:rsidR="00A74B43" w14:paraId="784672AC" w14:textId="77777777" w:rsidTr="00BF4E74">
        <w:tc>
          <w:tcPr>
            <w:tcW w:w="1140" w:type="dxa"/>
            <w:tcBorders>
              <w:top w:val="nil"/>
              <w:left w:val="single" w:sz="12" w:space="0" w:color="000080"/>
              <w:bottom w:val="nil"/>
              <w:right w:val="nil"/>
            </w:tcBorders>
          </w:tcPr>
          <w:p w14:paraId="05F248AD" w14:textId="77777777" w:rsidR="00A74B43" w:rsidRDefault="00A74B43" w:rsidP="00BF4E74">
            <w:pPr>
              <w:spacing w:before="200" w:after="100"/>
              <w:ind w:left="57"/>
              <w:rPr>
                <w:b/>
                <w:bCs/>
                <w:noProof/>
                <w:sz w:val="20"/>
                <w:lang w:val="en-US" w:eastAsia="zh-CN"/>
              </w:rPr>
            </w:pPr>
            <w:r>
              <w:rPr>
                <w:rFonts w:hint="eastAsia"/>
                <w:b/>
                <w:bCs/>
                <w:noProof/>
                <w:sz w:val="20"/>
                <w:lang w:val="en-US" w:eastAsia="zh-CN"/>
              </w:rPr>
              <w:t>系列</w:t>
            </w:r>
          </w:p>
        </w:tc>
        <w:tc>
          <w:tcPr>
            <w:tcW w:w="8220" w:type="dxa"/>
            <w:tcBorders>
              <w:top w:val="nil"/>
              <w:left w:val="nil"/>
              <w:bottom w:val="nil"/>
              <w:right w:val="single" w:sz="12" w:space="0" w:color="000080"/>
            </w:tcBorders>
          </w:tcPr>
          <w:p w14:paraId="3ADAD5BC" w14:textId="77777777" w:rsidR="00A74B43" w:rsidRPr="00863241" w:rsidRDefault="00A74B43" w:rsidP="00BF4E74">
            <w:pPr>
              <w:pStyle w:val="Tablehead"/>
              <w:tabs>
                <w:tab w:val="clear" w:pos="284"/>
                <w:tab w:val="clear" w:pos="567"/>
                <w:tab w:val="clear" w:pos="851"/>
                <w:tab w:val="clear" w:pos="1134"/>
                <w:tab w:val="clear" w:pos="1418"/>
                <w:tab w:val="clear" w:pos="1701"/>
                <w:tab w:val="left" w:pos="794"/>
                <w:tab w:val="left" w:pos="1191"/>
                <w:tab w:val="left" w:pos="1588"/>
              </w:tabs>
              <w:spacing w:before="140" w:after="100"/>
              <w:ind w:hanging="1144"/>
              <w:rPr>
                <w:rFonts w:ascii="SimSun" w:hAnsi="SimSun"/>
                <w:bCs/>
                <w:noProof/>
                <w:sz w:val="20"/>
                <w:lang w:val="en-US" w:eastAsia="zh-CN"/>
              </w:rPr>
            </w:pPr>
            <w:r w:rsidRPr="00863241">
              <w:rPr>
                <w:rFonts w:ascii="SimSun" w:hAnsi="SimSun" w:hint="eastAsia"/>
                <w:bCs/>
                <w:noProof/>
                <w:sz w:val="20"/>
                <w:lang w:val="en-US" w:eastAsia="zh-CN"/>
              </w:rPr>
              <w:t>标题</w:t>
            </w:r>
          </w:p>
        </w:tc>
      </w:tr>
      <w:tr w:rsidR="00A74B43" w14:paraId="51E1D682" w14:textId="77777777" w:rsidTr="00BF4E74">
        <w:tc>
          <w:tcPr>
            <w:tcW w:w="1140" w:type="dxa"/>
            <w:tcBorders>
              <w:top w:val="nil"/>
              <w:left w:val="single" w:sz="12" w:space="0" w:color="000080"/>
              <w:bottom w:val="nil"/>
              <w:right w:val="nil"/>
            </w:tcBorders>
          </w:tcPr>
          <w:p w14:paraId="41AA2779" w14:textId="77777777" w:rsidR="00A74B43" w:rsidRDefault="00A74B43" w:rsidP="00F93A0E">
            <w:pPr>
              <w:spacing w:before="30" w:after="30"/>
              <w:ind w:left="57"/>
              <w:jc w:val="left"/>
              <w:rPr>
                <w:b/>
                <w:bCs/>
                <w:noProof/>
                <w:sz w:val="20"/>
                <w:lang w:val="en-US" w:eastAsia="zh-CN"/>
              </w:rPr>
            </w:pPr>
            <w:r w:rsidRPr="00B00E4F">
              <w:rPr>
                <w:rFonts w:hint="eastAsia"/>
                <w:b/>
                <w:bCs/>
                <w:noProof/>
                <w:sz w:val="20"/>
                <w:lang w:val="en-US" w:eastAsia="zh-CN"/>
              </w:rPr>
              <w:t>BO</w:t>
            </w:r>
          </w:p>
        </w:tc>
        <w:tc>
          <w:tcPr>
            <w:tcW w:w="8220" w:type="dxa"/>
            <w:tcBorders>
              <w:top w:val="nil"/>
              <w:left w:val="nil"/>
              <w:bottom w:val="nil"/>
              <w:right w:val="single" w:sz="12" w:space="0" w:color="000080"/>
            </w:tcBorders>
          </w:tcPr>
          <w:p w14:paraId="37B91184" w14:textId="77777777" w:rsidR="00A74B43" w:rsidRDefault="00A74B43" w:rsidP="00F93A0E">
            <w:pPr>
              <w:spacing w:before="30" w:after="30"/>
              <w:jc w:val="left"/>
              <w:rPr>
                <w:b/>
                <w:bCs/>
                <w:noProof/>
                <w:sz w:val="20"/>
                <w:lang w:val="en-US" w:eastAsia="zh-CN"/>
              </w:rPr>
            </w:pPr>
            <w:r w:rsidRPr="00B00E4F">
              <w:rPr>
                <w:rFonts w:hint="eastAsia"/>
                <w:bCs/>
                <w:noProof/>
                <w:sz w:val="20"/>
                <w:lang w:val="en-US" w:eastAsia="zh-CN"/>
              </w:rPr>
              <w:t>卫星传输</w:t>
            </w:r>
          </w:p>
        </w:tc>
      </w:tr>
      <w:tr w:rsidR="00A74B43" w14:paraId="222A2274" w14:textId="77777777" w:rsidTr="007F5EA7">
        <w:tc>
          <w:tcPr>
            <w:tcW w:w="1140" w:type="dxa"/>
            <w:tcBorders>
              <w:top w:val="nil"/>
              <w:left w:val="single" w:sz="12" w:space="0" w:color="000080"/>
              <w:bottom w:val="nil"/>
              <w:right w:val="nil"/>
            </w:tcBorders>
            <w:shd w:val="clear" w:color="auto" w:fill="auto"/>
          </w:tcPr>
          <w:p w14:paraId="5FEF2619" w14:textId="77777777" w:rsidR="00A74B43" w:rsidRPr="007F5EA7" w:rsidRDefault="00A74B43" w:rsidP="00BF4E74">
            <w:pPr>
              <w:spacing w:before="30" w:after="30"/>
              <w:ind w:left="57"/>
              <w:jc w:val="left"/>
              <w:rPr>
                <w:rFonts w:eastAsia="Times New Roman" w:hAnsi="Times New Roman Bold"/>
                <w:b/>
                <w:sz w:val="20"/>
                <w:lang w:val="en-US"/>
              </w:rPr>
            </w:pPr>
            <w:r w:rsidRPr="007F5EA7">
              <w:rPr>
                <w:rFonts w:eastAsia="Times New Roman" w:hAnsi="Times New Roman Bold" w:hint="eastAsia"/>
                <w:b/>
                <w:sz w:val="20"/>
                <w:lang w:val="en-US"/>
              </w:rPr>
              <w:t>BR</w:t>
            </w:r>
          </w:p>
        </w:tc>
        <w:tc>
          <w:tcPr>
            <w:tcW w:w="8220" w:type="dxa"/>
            <w:tcBorders>
              <w:top w:val="nil"/>
              <w:left w:val="nil"/>
              <w:bottom w:val="nil"/>
              <w:right w:val="single" w:sz="12" w:space="0" w:color="000080"/>
            </w:tcBorders>
            <w:shd w:val="clear" w:color="auto" w:fill="auto"/>
          </w:tcPr>
          <w:p w14:paraId="749563FF" w14:textId="77777777" w:rsidR="00A74B43" w:rsidRPr="007F5EA7" w:rsidRDefault="00A74B43" w:rsidP="00B00E4F">
            <w:pPr>
              <w:spacing w:before="30" w:after="30"/>
              <w:jc w:val="left"/>
              <w:rPr>
                <w:rFonts w:eastAsia="Times New Roman" w:hAnsi="Times New Roman Bold"/>
                <w:bCs/>
                <w:sz w:val="20"/>
                <w:lang w:val="en-US" w:eastAsia="zh-CN"/>
              </w:rPr>
            </w:pPr>
            <w:r w:rsidRPr="007F5EA7">
              <w:rPr>
                <w:rFonts w:ascii="SimSun" w:hAnsi="SimSun" w:cs="SimSun" w:hint="eastAsia"/>
                <w:bCs/>
                <w:sz w:val="20"/>
                <w:lang w:val="en-US" w:eastAsia="zh-CN"/>
              </w:rPr>
              <w:t>用于制作、存档和播放的记录；用于电视的胶片</w:t>
            </w:r>
          </w:p>
        </w:tc>
      </w:tr>
      <w:tr w:rsidR="00A74B43" w14:paraId="49FBE3DF" w14:textId="77777777" w:rsidTr="00D2152F">
        <w:tc>
          <w:tcPr>
            <w:tcW w:w="1140" w:type="dxa"/>
            <w:tcBorders>
              <w:top w:val="nil"/>
              <w:left w:val="single" w:sz="12" w:space="0" w:color="000080"/>
              <w:bottom w:val="nil"/>
              <w:right w:val="nil"/>
            </w:tcBorders>
            <w:shd w:val="clear" w:color="auto" w:fill="auto"/>
          </w:tcPr>
          <w:p w14:paraId="45787682" w14:textId="77777777" w:rsidR="00A74B43" w:rsidRPr="00787C16" w:rsidRDefault="00A74B43" w:rsidP="00BF4E74">
            <w:pPr>
              <w:spacing w:before="30" w:after="30"/>
              <w:ind w:left="57"/>
              <w:jc w:val="left"/>
              <w:rPr>
                <w:b/>
                <w:bCs/>
                <w:noProof/>
                <w:sz w:val="20"/>
                <w:lang w:val="en-US" w:eastAsia="zh-CN"/>
              </w:rPr>
            </w:pPr>
            <w:r w:rsidRPr="00787C16">
              <w:rPr>
                <w:rFonts w:eastAsia="Times New Roman" w:hAnsi="Times New Roman Bold" w:hint="eastAsia"/>
                <w:b/>
                <w:sz w:val="20"/>
                <w:lang w:val="en-US"/>
              </w:rPr>
              <w:t>BS</w:t>
            </w:r>
          </w:p>
        </w:tc>
        <w:tc>
          <w:tcPr>
            <w:tcW w:w="8220" w:type="dxa"/>
            <w:tcBorders>
              <w:top w:val="nil"/>
              <w:left w:val="nil"/>
              <w:bottom w:val="nil"/>
              <w:right w:val="single" w:sz="12" w:space="0" w:color="000080"/>
            </w:tcBorders>
            <w:shd w:val="clear" w:color="auto" w:fill="auto"/>
          </w:tcPr>
          <w:p w14:paraId="3967462C" w14:textId="77777777" w:rsidR="00A74B43" w:rsidRPr="00787C16" w:rsidRDefault="00A74B43" w:rsidP="00BF4E74">
            <w:pPr>
              <w:spacing w:before="30" w:after="30"/>
              <w:jc w:val="left"/>
              <w:rPr>
                <w:bCs/>
                <w:noProof/>
                <w:sz w:val="20"/>
                <w:lang w:val="en-US" w:eastAsia="zh-CN"/>
              </w:rPr>
            </w:pPr>
            <w:r w:rsidRPr="00787C16">
              <w:rPr>
                <w:rFonts w:ascii="SimSun" w:hAnsi="SimSun" w:cs="SimSun" w:hint="eastAsia"/>
                <w:bCs/>
                <w:sz w:val="20"/>
                <w:lang w:val="en-US" w:eastAsia="zh-CN"/>
              </w:rPr>
              <w:t>广播业务（声音）</w:t>
            </w:r>
          </w:p>
        </w:tc>
      </w:tr>
      <w:tr w:rsidR="00A74B43" w14:paraId="1FF75DAC" w14:textId="77777777" w:rsidTr="00D2152F">
        <w:tc>
          <w:tcPr>
            <w:tcW w:w="1140" w:type="dxa"/>
            <w:tcBorders>
              <w:top w:val="nil"/>
              <w:left w:val="single" w:sz="12" w:space="0" w:color="000080"/>
              <w:bottom w:val="nil"/>
              <w:right w:val="nil"/>
            </w:tcBorders>
            <w:shd w:val="clear" w:color="auto" w:fill="F2F2F2" w:themeFill="background1" w:themeFillShade="F2"/>
          </w:tcPr>
          <w:p w14:paraId="5F61AC57" w14:textId="77777777" w:rsidR="00A74B43" w:rsidRDefault="00A74B43" w:rsidP="00BF4E74">
            <w:pPr>
              <w:spacing w:before="30" w:after="30"/>
              <w:ind w:left="57"/>
              <w:jc w:val="left"/>
              <w:rPr>
                <w:b/>
                <w:bCs/>
                <w:noProof/>
                <w:sz w:val="20"/>
                <w:lang w:val="en-US" w:eastAsia="zh-CN"/>
              </w:rPr>
            </w:pPr>
            <w:r w:rsidRPr="00787C16">
              <w:rPr>
                <w:rFonts w:eastAsia="Times New Roman" w:hAnsi="Times New Roman Bold" w:hint="eastAsia"/>
                <w:b/>
                <w:color w:val="000080"/>
                <w:sz w:val="20"/>
                <w:lang w:val="en-US"/>
              </w:rPr>
              <w:t>BT</w:t>
            </w:r>
          </w:p>
        </w:tc>
        <w:tc>
          <w:tcPr>
            <w:tcW w:w="8220" w:type="dxa"/>
            <w:tcBorders>
              <w:top w:val="nil"/>
              <w:left w:val="nil"/>
              <w:bottom w:val="nil"/>
              <w:right w:val="single" w:sz="12" w:space="0" w:color="000080"/>
            </w:tcBorders>
            <w:shd w:val="clear" w:color="auto" w:fill="F2F2F2" w:themeFill="background1" w:themeFillShade="F2"/>
          </w:tcPr>
          <w:p w14:paraId="411D66A3" w14:textId="77777777" w:rsidR="00A74B43" w:rsidRDefault="00A74B43" w:rsidP="00BF4E74">
            <w:pPr>
              <w:spacing w:before="30" w:after="30"/>
              <w:jc w:val="left"/>
              <w:rPr>
                <w:bCs/>
                <w:noProof/>
                <w:sz w:val="20"/>
                <w:lang w:val="en-US" w:eastAsia="zh-CN"/>
              </w:rPr>
            </w:pPr>
            <w:r w:rsidRPr="00787C16">
              <w:rPr>
                <w:rFonts w:ascii="SimSun" w:hAnsi="SimSun" w:cs="SimSun" w:hint="eastAsia"/>
                <w:b/>
                <w:color w:val="000080"/>
                <w:sz w:val="20"/>
                <w:lang w:val="en-US" w:eastAsia="zh-CN"/>
              </w:rPr>
              <w:t>广播业务（电视）</w:t>
            </w:r>
          </w:p>
        </w:tc>
      </w:tr>
      <w:tr w:rsidR="00A74B43" w14:paraId="6E46DC30" w14:textId="77777777" w:rsidTr="00BF4E74">
        <w:tc>
          <w:tcPr>
            <w:tcW w:w="1140" w:type="dxa"/>
            <w:tcBorders>
              <w:top w:val="nil"/>
              <w:left w:val="single" w:sz="12" w:space="0" w:color="000080"/>
              <w:bottom w:val="nil"/>
              <w:right w:val="nil"/>
            </w:tcBorders>
          </w:tcPr>
          <w:p w14:paraId="6FD15CE2" w14:textId="77777777" w:rsidR="00A74B43" w:rsidRDefault="00A74B43" w:rsidP="00BF4E74">
            <w:pPr>
              <w:spacing w:before="30" w:after="30"/>
              <w:ind w:left="57"/>
              <w:jc w:val="left"/>
              <w:rPr>
                <w:b/>
                <w:bCs/>
                <w:noProof/>
                <w:sz w:val="20"/>
                <w:lang w:val="fr-CH" w:eastAsia="zh-CN"/>
              </w:rPr>
            </w:pPr>
            <w:r>
              <w:rPr>
                <w:rFonts w:hint="eastAsia"/>
                <w:b/>
                <w:bCs/>
                <w:noProof/>
                <w:sz w:val="20"/>
                <w:lang w:val="fr-CH" w:eastAsia="zh-CN"/>
              </w:rPr>
              <w:t>F</w:t>
            </w:r>
          </w:p>
        </w:tc>
        <w:tc>
          <w:tcPr>
            <w:tcW w:w="8220" w:type="dxa"/>
            <w:tcBorders>
              <w:top w:val="nil"/>
              <w:left w:val="nil"/>
              <w:bottom w:val="nil"/>
              <w:right w:val="single" w:sz="12" w:space="0" w:color="000080"/>
            </w:tcBorders>
          </w:tcPr>
          <w:p w14:paraId="4DE53C4B" w14:textId="77777777" w:rsidR="00A74B43" w:rsidRDefault="00A74B43" w:rsidP="00BF4E74">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fr-CH" w:eastAsia="zh-CN"/>
              </w:rPr>
            </w:pPr>
            <w:r>
              <w:rPr>
                <w:rFonts w:hint="eastAsia"/>
                <w:noProof/>
                <w:sz w:val="20"/>
                <w:lang w:val="fr-CH" w:eastAsia="zh-CN"/>
              </w:rPr>
              <w:t>固定业务</w:t>
            </w:r>
          </w:p>
        </w:tc>
      </w:tr>
      <w:tr w:rsidR="00A74B43" w14:paraId="62B3C81D" w14:textId="77777777" w:rsidTr="00BF4E74">
        <w:tc>
          <w:tcPr>
            <w:tcW w:w="1140" w:type="dxa"/>
            <w:tcBorders>
              <w:top w:val="nil"/>
              <w:left w:val="single" w:sz="12" w:space="0" w:color="000080"/>
              <w:bottom w:val="nil"/>
              <w:right w:val="nil"/>
            </w:tcBorders>
            <w:shd w:val="clear" w:color="auto" w:fill="FFFFFF" w:themeFill="background1"/>
          </w:tcPr>
          <w:p w14:paraId="2F7A2090" w14:textId="77777777" w:rsidR="00A74B43" w:rsidRDefault="00A74B43" w:rsidP="00BF4E74">
            <w:pPr>
              <w:spacing w:before="30" w:after="30"/>
              <w:ind w:left="57"/>
              <w:jc w:val="left"/>
              <w:rPr>
                <w:noProof/>
                <w:sz w:val="20"/>
                <w:lang w:val="fr-CH" w:eastAsia="zh-CN"/>
              </w:rPr>
            </w:pPr>
            <w:r>
              <w:rPr>
                <w:rFonts w:hint="eastAsia"/>
                <w:b/>
                <w:bCs/>
                <w:noProof/>
                <w:sz w:val="20"/>
                <w:lang w:val="en-US" w:eastAsia="zh-CN"/>
              </w:rPr>
              <w:t>M</w:t>
            </w:r>
          </w:p>
        </w:tc>
        <w:tc>
          <w:tcPr>
            <w:tcW w:w="8220" w:type="dxa"/>
            <w:tcBorders>
              <w:top w:val="nil"/>
              <w:left w:val="nil"/>
              <w:bottom w:val="nil"/>
              <w:right w:val="single" w:sz="12" w:space="0" w:color="000080"/>
            </w:tcBorders>
            <w:shd w:val="clear" w:color="auto" w:fill="FFFFFF" w:themeFill="background1"/>
          </w:tcPr>
          <w:p w14:paraId="7B40095A" w14:textId="77777777" w:rsidR="00A74B43" w:rsidRDefault="00A74B43" w:rsidP="00BF4E74">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fr-CH" w:eastAsia="zh-CN"/>
              </w:rPr>
            </w:pPr>
            <w:r>
              <w:rPr>
                <w:rFonts w:hint="eastAsia"/>
                <w:noProof/>
                <w:sz w:val="20"/>
                <w:lang w:val="fr-CH" w:eastAsia="zh-CN"/>
              </w:rPr>
              <w:t>移动、无线电测定、业余无线电以及相关卫星业务</w:t>
            </w:r>
          </w:p>
        </w:tc>
      </w:tr>
      <w:tr w:rsidR="00A74B43" w14:paraId="3A0889B4" w14:textId="77777777" w:rsidTr="00BF4E74">
        <w:tc>
          <w:tcPr>
            <w:tcW w:w="1140" w:type="dxa"/>
            <w:tcBorders>
              <w:top w:val="nil"/>
              <w:left w:val="single" w:sz="12" w:space="0" w:color="000080"/>
              <w:bottom w:val="nil"/>
              <w:right w:val="nil"/>
            </w:tcBorders>
          </w:tcPr>
          <w:p w14:paraId="2610FBA5" w14:textId="77777777" w:rsidR="00A74B43" w:rsidRDefault="00A74B43" w:rsidP="00BF4E74">
            <w:pPr>
              <w:spacing w:before="30" w:after="30"/>
              <w:ind w:left="57"/>
              <w:jc w:val="left"/>
              <w:rPr>
                <w:b/>
                <w:bCs/>
                <w:noProof/>
                <w:sz w:val="20"/>
                <w:lang w:val="fr-CH" w:eastAsia="zh-CN"/>
              </w:rPr>
            </w:pPr>
            <w:r>
              <w:rPr>
                <w:rFonts w:hint="eastAsia"/>
                <w:b/>
                <w:bCs/>
                <w:noProof/>
                <w:sz w:val="20"/>
                <w:lang w:val="fr-CH" w:eastAsia="zh-CN"/>
              </w:rPr>
              <w:t>P</w:t>
            </w:r>
          </w:p>
        </w:tc>
        <w:tc>
          <w:tcPr>
            <w:tcW w:w="8220" w:type="dxa"/>
            <w:tcBorders>
              <w:top w:val="nil"/>
              <w:left w:val="nil"/>
              <w:bottom w:val="nil"/>
              <w:right w:val="single" w:sz="12" w:space="0" w:color="000080"/>
            </w:tcBorders>
          </w:tcPr>
          <w:p w14:paraId="7492AD20" w14:textId="77777777" w:rsidR="00A74B43" w:rsidRDefault="00A74B43" w:rsidP="00BF4E74">
            <w:pPr>
              <w:spacing w:before="30" w:after="30"/>
              <w:jc w:val="left"/>
              <w:rPr>
                <w:noProof/>
                <w:sz w:val="20"/>
                <w:lang w:val="fr-CH" w:eastAsia="zh-CN"/>
              </w:rPr>
            </w:pPr>
            <w:r>
              <w:rPr>
                <w:rFonts w:hint="eastAsia"/>
                <w:noProof/>
                <w:sz w:val="20"/>
                <w:lang w:val="fr-CH" w:eastAsia="zh-CN"/>
              </w:rPr>
              <w:t>无线电波传播</w:t>
            </w:r>
          </w:p>
        </w:tc>
      </w:tr>
      <w:tr w:rsidR="00A74B43" w14:paraId="4837143B" w14:textId="77777777" w:rsidTr="00BF4E74">
        <w:tc>
          <w:tcPr>
            <w:tcW w:w="1140" w:type="dxa"/>
            <w:tcBorders>
              <w:top w:val="nil"/>
              <w:left w:val="single" w:sz="12" w:space="0" w:color="000080"/>
              <w:bottom w:val="nil"/>
              <w:right w:val="nil"/>
            </w:tcBorders>
          </w:tcPr>
          <w:p w14:paraId="74979993"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RA</w:t>
            </w:r>
          </w:p>
        </w:tc>
        <w:tc>
          <w:tcPr>
            <w:tcW w:w="8220" w:type="dxa"/>
            <w:tcBorders>
              <w:top w:val="nil"/>
              <w:left w:val="nil"/>
              <w:bottom w:val="nil"/>
              <w:right w:val="single" w:sz="12" w:space="0" w:color="000080"/>
            </w:tcBorders>
          </w:tcPr>
          <w:p w14:paraId="76EB9EC6" w14:textId="77777777" w:rsidR="00A74B43" w:rsidRDefault="00A74B43" w:rsidP="00BF4E74">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en-US" w:eastAsia="zh-CN"/>
              </w:rPr>
            </w:pPr>
            <w:r>
              <w:rPr>
                <w:rFonts w:hint="eastAsia"/>
                <w:noProof/>
                <w:sz w:val="20"/>
                <w:lang w:val="en-US" w:eastAsia="zh-CN"/>
              </w:rPr>
              <w:t>射电天文</w:t>
            </w:r>
          </w:p>
        </w:tc>
      </w:tr>
      <w:tr w:rsidR="00A74B43" w14:paraId="1A1055D6" w14:textId="77777777" w:rsidTr="00BF4E74">
        <w:tc>
          <w:tcPr>
            <w:tcW w:w="1140" w:type="dxa"/>
            <w:tcBorders>
              <w:top w:val="nil"/>
              <w:left w:val="single" w:sz="12" w:space="0" w:color="000080"/>
              <w:bottom w:val="nil"/>
              <w:right w:val="nil"/>
            </w:tcBorders>
          </w:tcPr>
          <w:p w14:paraId="040FF07B"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RS</w:t>
            </w:r>
          </w:p>
        </w:tc>
        <w:tc>
          <w:tcPr>
            <w:tcW w:w="8220" w:type="dxa"/>
            <w:tcBorders>
              <w:top w:val="nil"/>
              <w:left w:val="nil"/>
              <w:bottom w:val="nil"/>
              <w:right w:val="single" w:sz="12" w:space="0" w:color="000080"/>
            </w:tcBorders>
          </w:tcPr>
          <w:p w14:paraId="72895860" w14:textId="77777777" w:rsidR="00A74B43" w:rsidRDefault="00A74B43" w:rsidP="00BF4E74">
            <w:pPr>
              <w:pStyle w:val="Tabletext"/>
              <w:tabs>
                <w:tab w:val="clear" w:pos="284"/>
                <w:tab w:val="clear" w:pos="567"/>
                <w:tab w:val="clear" w:pos="851"/>
                <w:tab w:val="clear" w:pos="1134"/>
                <w:tab w:val="clear" w:pos="1418"/>
                <w:tab w:val="clear" w:pos="1701"/>
                <w:tab w:val="left" w:pos="794"/>
                <w:tab w:val="left" w:pos="1191"/>
                <w:tab w:val="left" w:pos="1588"/>
              </w:tabs>
              <w:spacing w:before="30" w:after="30"/>
              <w:rPr>
                <w:noProof/>
                <w:sz w:val="20"/>
                <w:lang w:val="en-US" w:eastAsia="zh-CN"/>
              </w:rPr>
            </w:pPr>
            <w:r>
              <w:rPr>
                <w:rFonts w:hint="eastAsia"/>
                <w:noProof/>
                <w:sz w:val="20"/>
                <w:lang w:val="en-US" w:eastAsia="zh-CN"/>
              </w:rPr>
              <w:t>遥感系统</w:t>
            </w:r>
          </w:p>
        </w:tc>
      </w:tr>
      <w:tr w:rsidR="00A74B43" w14:paraId="288B1EB1" w14:textId="77777777" w:rsidTr="00BF4E74">
        <w:tc>
          <w:tcPr>
            <w:tcW w:w="1140" w:type="dxa"/>
            <w:tcBorders>
              <w:top w:val="nil"/>
              <w:left w:val="single" w:sz="12" w:space="0" w:color="000080"/>
              <w:bottom w:val="nil"/>
              <w:right w:val="nil"/>
            </w:tcBorders>
          </w:tcPr>
          <w:p w14:paraId="7FB9A910"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S</w:t>
            </w:r>
          </w:p>
        </w:tc>
        <w:tc>
          <w:tcPr>
            <w:tcW w:w="8220" w:type="dxa"/>
            <w:tcBorders>
              <w:top w:val="nil"/>
              <w:left w:val="nil"/>
              <w:bottom w:val="nil"/>
              <w:right w:val="single" w:sz="12" w:space="0" w:color="000080"/>
            </w:tcBorders>
          </w:tcPr>
          <w:p w14:paraId="1097BF1B" w14:textId="77777777" w:rsidR="00A74B43" w:rsidRDefault="00A74B43" w:rsidP="00BF4E74">
            <w:pPr>
              <w:spacing w:before="30" w:after="30"/>
              <w:jc w:val="left"/>
              <w:rPr>
                <w:noProof/>
                <w:sz w:val="20"/>
                <w:lang w:val="en-US" w:eastAsia="zh-CN"/>
              </w:rPr>
            </w:pPr>
            <w:r>
              <w:rPr>
                <w:rFonts w:hint="eastAsia"/>
                <w:noProof/>
                <w:sz w:val="20"/>
                <w:lang w:val="en-US" w:eastAsia="zh-CN"/>
              </w:rPr>
              <w:t>卫星固定业务</w:t>
            </w:r>
          </w:p>
        </w:tc>
      </w:tr>
      <w:tr w:rsidR="00A74B43" w14:paraId="6389E55E" w14:textId="77777777" w:rsidTr="00BF4E74">
        <w:tc>
          <w:tcPr>
            <w:tcW w:w="1140" w:type="dxa"/>
            <w:tcBorders>
              <w:top w:val="nil"/>
              <w:left w:val="single" w:sz="12" w:space="0" w:color="000080"/>
              <w:bottom w:val="nil"/>
              <w:right w:val="nil"/>
            </w:tcBorders>
            <w:shd w:val="clear" w:color="auto" w:fill="auto"/>
          </w:tcPr>
          <w:p w14:paraId="7C252265" w14:textId="77777777" w:rsidR="00A74B43" w:rsidRPr="00F93A0E" w:rsidRDefault="00A74B43" w:rsidP="00F93A0E">
            <w:pPr>
              <w:spacing w:before="30" w:after="30"/>
              <w:ind w:left="57"/>
              <w:jc w:val="left"/>
              <w:rPr>
                <w:b/>
                <w:bCs/>
                <w:noProof/>
                <w:sz w:val="20"/>
                <w:lang w:val="en-US" w:eastAsia="zh-CN"/>
              </w:rPr>
            </w:pPr>
            <w:r w:rsidRPr="00F93A0E">
              <w:rPr>
                <w:rFonts w:hint="eastAsia"/>
                <w:b/>
                <w:bCs/>
                <w:noProof/>
                <w:sz w:val="20"/>
                <w:lang w:val="en-US" w:eastAsia="zh-CN"/>
              </w:rPr>
              <w:t>SA</w:t>
            </w:r>
          </w:p>
        </w:tc>
        <w:tc>
          <w:tcPr>
            <w:tcW w:w="8220" w:type="dxa"/>
            <w:tcBorders>
              <w:top w:val="nil"/>
              <w:left w:val="nil"/>
              <w:bottom w:val="nil"/>
              <w:right w:val="single" w:sz="12" w:space="0" w:color="000080"/>
            </w:tcBorders>
            <w:shd w:val="clear" w:color="auto" w:fill="auto"/>
          </w:tcPr>
          <w:p w14:paraId="37A58270" w14:textId="77777777" w:rsidR="00A74B43" w:rsidRPr="00B00E4F" w:rsidRDefault="00A74B43" w:rsidP="00BF4E74">
            <w:pPr>
              <w:spacing w:before="30" w:after="30"/>
              <w:jc w:val="left"/>
              <w:rPr>
                <w:noProof/>
                <w:sz w:val="20"/>
                <w:lang w:val="en-US" w:eastAsia="zh-CN"/>
              </w:rPr>
            </w:pPr>
            <w:r w:rsidRPr="00B00E4F">
              <w:rPr>
                <w:rFonts w:hint="eastAsia"/>
                <w:noProof/>
                <w:sz w:val="20"/>
                <w:lang w:val="en-US" w:eastAsia="zh-CN"/>
              </w:rPr>
              <w:t>空间应用和气象</w:t>
            </w:r>
          </w:p>
        </w:tc>
      </w:tr>
      <w:tr w:rsidR="00A74B43" w14:paraId="1899FA2B" w14:textId="77777777" w:rsidTr="00BF4E74">
        <w:tc>
          <w:tcPr>
            <w:tcW w:w="1140" w:type="dxa"/>
            <w:tcBorders>
              <w:top w:val="nil"/>
              <w:left w:val="single" w:sz="12" w:space="0" w:color="000080"/>
              <w:bottom w:val="nil"/>
              <w:right w:val="nil"/>
            </w:tcBorders>
          </w:tcPr>
          <w:p w14:paraId="3C312974"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SF</w:t>
            </w:r>
          </w:p>
        </w:tc>
        <w:tc>
          <w:tcPr>
            <w:tcW w:w="8220" w:type="dxa"/>
            <w:tcBorders>
              <w:top w:val="nil"/>
              <w:left w:val="nil"/>
              <w:bottom w:val="nil"/>
              <w:right w:val="single" w:sz="12" w:space="0" w:color="000080"/>
            </w:tcBorders>
          </w:tcPr>
          <w:p w14:paraId="45102CF8" w14:textId="77777777" w:rsidR="00A74B43" w:rsidRDefault="00A74B43" w:rsidP="00BF4E74">
            <w:pPr>
              <w:spacing w:before="30" w:after="30"/>
              <w:jc w:val="left"/>
              <w:rPr>
                <w:noProof/>
                <w:sz w:val="20"/>
                <w:lang w:val="en-US" w:eastAsia="zh-CN"/>
              </w:rPr>
            </w:pPr>
            <w:r>
              <w:rPr>
                <w:rFonts w:hint="eastAsia"/>
                <w:noProof/>
                <w:sz w:val="20"/>
                <w:lang w:val="en-US" w:eastAsia="zh-CN"/>
              </w:rPr>
              <w:t>卫星固定和固定业务系统之间频率共用和协调</w:t>
            </w:r>
          </w:p>
        </w:tc>
      </w:tr>
      <w:tr w:rsidR="00A74B43" w14:paraId="492AD3A8" w14:textId="77777777" w:rsidTr="00BF4E74">
        <w:tc>
          <w:tcPr>
            <w:tcW w:w="1140" w:type="dxa"/>
            <w:tcBorders>
              <w:top w:val="nil"/>
              <w:left w:val="single" w:sz="12" w:space="0" w:color="000080"/>
              <w:bottom w:val="nil"/>
              <w:right w:val="nil"/>
            </w:tcBorders>
            <w:shd w:val="clear" w:color="auto" w:fill="FFFFFF"/>
          </w:tcPr>
          <w:p w14:paraId="661EEF74" w14:textId="77777777" w:rsidR="00A74B43" w:rsidRPr="0069010E" w:rsidRDefault="00A74B43" w:rsidP="00BF4E74">
            <w:pPr>
              <w:spacing w:before="30" w:after="30"/>
              <w:ind w:left="57"/>
              <w:jc w:val="left"/>
              <w:rPr>
                <w:b/>
                <w:bCs/>
                <w:noProof/>
                <w:sz w:val="20"/>
                <w:lang w:val="en-US" w:eastAsia="zh-CN"/>
              </w:rPr>
            </w:pPr>
            <w:r w:rsidRPr="0069010E">
              <w:rPr>
                <w:rFonts w:hint="eastAsia"/>
                <w:b/>
                <w:bCs/>
                <w:noProof/>
                <w:sz w:val="20"/>
                <w:lang w:val="en-US" w:eastAsia="zh-CN"/>
              </w:rPr>
              <w:t>SM</w:t>
            </w:r>
          </w:p>
        </w:tc>
        <w:tc>
          <w:tcPr>
            <w:tcW w:w="8220" w:type="dxa"/>
            <w:tcBorders>
              <w:top w:val="nil"/>
              <w:left w:val="nil"/>
              <w:bottom w:val="nil"/>
              <w:right w:val="single" w:sz="12" w:space="0" w:color="000080"/>
            </w:tcBorders>
            <w:shd w:val="clear" w:color="auto" w:fill="FFFFFF"/>
          </w:tcPr>
          <w:p w14:paraId="4BD518F2" w14:textId="77777777" w:rsidR="00A74B43" w:rsidRDefault="00A74B43" w:rsidP="00BF4E74">
            <w:pPr>
              <w:spacing w:before="30" w:after="30"/>
              <w:jc w:val="left"/>
              <w:rPr>
                <w:noProof/>
                <w:sz w:val="20"/>
                <w:lang w:val="en-US" w:eastAsia="zh-CN"/>
              </w:rPr>
            </w:pPr>
            <w:r>
              <w:rPr>
                <w:rFonts w:hint="eastAsia"/>
                <w:noProof/>
                <w:sz w:val="20"/>
                <w:lang w:val="en-US" w:eastAsia="zh-CN"/>
              </w:rPr>
              <w:t>频谱管理</w:t>
            </w:r>
          </w:p>
        </w:tc>
      </w:tr>
      <w:tr w:rsidR="00A74B43" w14:paraId="18BC6AB2" w14:textId="77777777" w:rsidTr="00BF4E74">
        <w:tc>
          <w:tcPr>
            <w:tcW w:w="1140" w:type="dxa"/>
            <w:tcBorders>
              <w:top w:val="nil"/>
              <w:left w:val="single" w:sz="12" w:space="0" w:color="000080"/>
              <w:bottom w:val="nil"/>
              <w:right w:val="nil"/>
            </w:tcBorders>
            <w:shd w:val="clear" w:color="auto" w:fill="FFFFFF"/>
          </w:tcPr>
          <w:p w14:paraId="0B06A269"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SNG</w:t>
            </w:r>
          </w:p>
        </w:tc>
        <w:tc>
          <w:tcPr>
            <w:tcW w:w="8220" w:type="dxa"/>
            <w:tcBorders>
              <w:top w:val="nil"/>
              <w:left w:val="nil"/>
              <w:bottom w:val="nil"/>
              <w:right w:val="single" w:sz="12" w:space="0" w:color="000080"/>
            </w:tcBorders>
            <w:shd w:val="clear" w:color="auto" w:fill="FFFFFF"/>
          </w:tcPr>
          <w:p w14:paraId="18914979" w14:textId="77777777" w:rsidR="00A74B43" w:rsidRDefault="00A74B43" w:rsidP="00BF4E74">
            <w:pPr>
              <w:spacing w:before="30" w:after="30"/>
              <w:jc w:val="left"/>
              <w:rPr>
                <w:noProof/>
                <w:sz w:val="20"/>
                <w:lang w:val="en-US" w:eastAsia="zh-CN"/>
              </w:rPr>
            </w:pPr>
            <w:r>
              <w:rPr>
                <w:rFonts w:hint="eastAsia"/>
                <w:noProof/>
                <w:sz w:val="20"/>
                <w:lang w:val="en-US" w:eastAsia="zh-CN"/>
              </w:rPr>
              <w:t>卫星新闻采集</w:t>
            </w:r>
          </w:p>
        </w:tc>
      </w:tr>
      <w:tr w:rsidR="00A74B43" w14:paraId="01AEB3C6" w14:textId="77777777" w:rsidTr="00BF4E74">
        <w:tc>
          <w:tcPr>
            <w:tcW w:w="1140" w:type="dxa"/>
            <w:tcBorders>
              <w:top w:val="nil"/>
              <w:left w:val="single" w:sz="12" w:space="0" w:color="000080"/>
              <w:bottom w:val="nil"/>
              <w:right w:val="nil"/>
            </w:tcBorders>
            <w:shd w:val="clear" w:color="auto" w:fill="FFFFFF"/>
          </w:tcPr>
          <w:p w14:paraId="0F55E9F0"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TF</w:t>
            </w:r>
          </w:p>
        </w:tc>
        <w:tc>
          <w:tcPr>
            <w:tcW w:w="8220" w:type="dxa"/>
            <w:tcBorders>
              <w:top w:val="nil"/>
              <w:left w:val="nil"/>
              <w:bottom w:val="nil"/>
              <w:right w:val="single" w:sz="12" w:space="0" w:color="000080"/>
            </w:tcBorders>
            <w:shd w:val="clear" w:color="auto" w:fill="FFFFFF"/>
          </w:tcPr>
          <w:p w14:paraId="6DFC434C" w14:textId="77777777" w:rsidR="00A74B43" w:rsidRDefault="00A74B43" w:rsidP="00BF4E74">
            <w:pPr>
              <w:spacing w:before="30" w:after="30"/>
              <w:jc w:val="left"/>
              <w:rPr>
                <w:noProof/>
                <w:sz w:val="20"/>
                <w:lang w:val="en-US" w:eastAsia="zh-CN"/>
              </w:rPr>
            </w:pPr>
            <w:r>
              <w:rPr>
                <w:rFonts w:hint="eastAsia"/>
                <w:noProof/>
                <w:sz w:val="20"/>
                <w:lang w:val="en-US" w:eastAsia="zh-CN"/>
              </w:rPr>
              <w:t>时间信号和标准频率发射</w:t>
            </w:r>
          </w:p>
        </w:tc>
      </w:tr>
      <w:tr w:rsidR="00A74B43" w14:paraId="523A6F7F" w14:textId="77777777" w:rsidTr="00BF4E74">
        <w:tc>
          <w:tcPr>
            <w:tcW w:w="1140" w:type="dxa"/>
            <w:tcBorders>
              <w:top w:val="nil"/>
              <w:left w:val="single" w:sz="12" w:space="0" w:color="000080"/>
              <w:bottom w:val="single" w:sz="12" w:space="0" w:color="000080"/>
              <w:right w:val="nil"/>
            </w:tcBorders>
            <w:shd w:val="clear" w:color="auto" w:fill="FFFFFF"/>
          </w:tcPr>
          <w:p w14:paraId="26335B78" w14:textId="77777777" w:rsidR="00A74B43" w:rsidRDefault="00A74B43" w:rsidP="00BF4E74">
            <w:pPr>
              <w:spacing w:before="30" w:after="30"/>
              <w:ind w:left="57"/>
              <w:jc w:val="left"/>
              <w:rPr>
                <w:b/>
                <w:bCs/>
                <w:noProof/>
                <w:sz w:val="20"/>
                <w:lang w:val="en-US" w:eastAsia="zh-CN"/>
              </w:rPr>
            </w:pPr>
            <w:r>
              <w:rPr>
                <w:rFonts w:hint="eastAsia"/>
                <w:b/>
                <w:bCs/>
                <w:noProof/>
                <w:sz w:val="20"/>
                <w:lang w:val="en-US" w:eastAsia="zh-CN"/>
              </w:rPr>
              <w:t>V</w:t>
            </w:r>
          </w:p>
        </w:tc>
        <w:tc>
          <w:tcPr>
            <w:tcW w:w="8220" w:type="dxa"/>
            <w:tcBorders>
              <w:top w:val="nil"/>
              <w:left w:val="nil"/>
              <w:bottom w:val="single" w:sz="12" w:space="0" w:color="000080"/>
              <w:right w:val="single" w:sz="12" w:space="0" w:color="000080"/>
            </w:tcBorders>
            <w:shd w:val="clear" w:color="auto" w:fill="FFFFFF"/>
          </w:tcPr>
          <w:p w14:paraId="1B48C857" w14:textId="77777777" w:rsidR="00A74B43" w:rsidRDefault="00A74B43" w:rsidP="00BF4E74">
            <w:pPr>
              <w:spacing w:before="30" w:after="30"/>
              <w:jc w:val="left"/>
              <w:rPr>
                <w:noProof/>
                <w:sz w:val="20"/>
                <w:lang w:val="en-US" w:eastAsia="zh-CN"/>
              </w:rPr>
            </w:pPr>
            <w:r>
              <w:rPr>
                <w:rFonts w:hint="eastAsia"/>
                <w:noProof/>
                <w:sz w:val="20"/>
                <w:lang w:val="en-US" w:eastAsia="zh-CN"/>
              </w:rPr>
              <w:t>词汇和相关课题</w:t>
            </w:r>
          </w:p>
        </w:tc>
      </w:tr>
    </w:tbl>
    <w:p w14:paraId="26D43654" w14:textId="77777777" w:rsidR="00A74B43" w:rsidRDefault="00A74B43" w:rsidP="00A74B43">
      <w:pPr>
        <w:spacing w:before="30" w:after="30"/>
        <w:jc w:val="center"/>
        <w:rPr>
          <w:noProof/>
          <w:sz w:val="20"/>
          <w:lang w:val="en-US" w:eastAsia="zh-CN"/>
        </w:rPr>
      </w:pPr>
    </w:p>
    <w:p w14:paraId="3634EA2A" w14:textId="77777777" w:rsidR="00A74B43" w:rsidRDefault="00A74B43" w:rsidP="00A74B43">
      <w:pPr>
        <w:spacing w:before="0"/>
        <w:jc w:val="center"/>
        <w:rPr>
          <w:noProof/>
          <w:sz w:val="22"/>
          <w:lang w:val="en-US" w:eastAsia="zh-CN"/>
        </w:rPr>
      </w:pPr>
    </w:p>
    <w:tbl>
      <w:tblPr>
        <w:tblW w:w="0" w:type="auto"/>
        <w:tblInd w:w="288" w:type="dxa"/>
        <w:tblBorders>
          <w:top w:val="single" w:sz="12" w:space="0" w:color="000080"/>
          <w:left w:val="single" w:sz="12" w:space="0" w:color="000080"/>
          <w:bottom w:val="single" w:sz="12" w:space="0" w:color="000080"/>
          <w:right w:val="single" w:sz="12" w:space="0" w:color="000080"/>
        </w:tblBorders>
        <w:tblLook w:val="04A0" w:firstRow="1" w:lastRow="0" w:firstColumn="1" w:lastColumn="0" w:noHBand="0" w:noVBand="1"/>
      </w:tblPr>
      <w:tblGrid>
        <w:gridCol w:w="9321"/>
      </w:tblGrid>
      <w:tr w:rsidR="00A74B43" w14:paraId="7F213821" w14:textId="77777777" w:rsidTr="00BF4E74">
        <w:tc>
          <w:tcPr>
            <w:tcW w:w="9360" w:type="dxa"/>
          </w:tcPr>
          <w:p w14:paraId="27082932" w14:textId="77777777" w:rsidR="00A74B43" w:rsidRDefault="00A74B43" w:rsidP="00BF4E74">
            <w:pPr>
              <w:spacing w:after="120"/>
              <w:jc w:val="left"/>
              <w:rPr>
                <w:noProof/>
                <w:sz w:val="20"/>
                <w:lang w:val="en-US" w:eastAsia="zh-CN"/>
              </w:rPr>
            </w:pPr>
            <w:r>
              <w:rPr>
                <w:rFonts w:eastAsia="STKaiti" w:hAnsi="STKaiti" w:hint="eastAsia"/>
                <w:b/>
                <w:iCs/>
                <w:smallCaps/>
                <w:noProof/>
                <w:sz w:val="20"/>
                <w:lang w:val="en-US" w:eastAsia="zh-CN"/>
              </w:rPr>
              <w:t>注</w:t>
            </w:r>
            <w:r>
              <w:rPr>
                <w:rFonts w:eastAsia="STKaiti" w:hAnsi="STKaiti" w:hint="eastAsia"/>
                <w:iCs/>
                <w:smallCaps/>
                <w:noProof/>
                <w:sz w:val="20"/>
                <w:lang w:val="en-US" w:eastAsia="zh-CN"/>
              </w:rPr>
              <w:t>：本</w:t>
            </w:r>
            <w:r>
              <w:rPr>
                <w:rFonts w:eastAsia="STKaiti" w:hint="eastAsia"/>
                <w:bCs/>
                <w:iCs/>
                <w:smallCaps/>
                <w:noProof/>
                <w:sz w:val="20"/>
                <w:lang w:val="en-US" w:eastAsia="zh-CN"/>
              </w:rPr>
              <w:t>ITU-R</w:t>
            </w:r>
            <w:r>
              <w:rPr>
                <w:rFonts w:eastAsia="STKaiti" w:hAnsi="STKaiti" w:hint="eastAsia"/>
                <w:bCs/>
                <w:iCs/>
                <w:smallCaps/>
                <w:noProof/>
                <w:sz w:val="20"/>
                <w:lang w:val="en-US" w:eastAsia="zh-CN"/>
              </w:rPr>
              <w:t>建议书英文版已按</w:t>
            </w:r>
            <w:r>
              <w:rPr>
                <w:rFonts w:eastAsia="STKaiti" w:hint="eastAsia"/>
                <w:bCs/>
                <w:iCs/>
                <w:smallCaps/>
                <w:noProof/>
                <w:sz w:val="20"/>
                <w:lang w:val="en-US" w:eastAsia="zh-CN"/>
              </w:rPr>
              <w:t>ITU-R</w:t>
            </w:r>
            <w:r>
              <w:rPr>
                <w:rFonts w:eastAsia="STKaiti" w:hAnsi="STKaiti" w:hint="eastAsia"/>
                <w:bCs/>
                <w:iCs/>
                <w:smallCaps/>
                <w:noProof/>
                <w:sz w:val="20"/>
                <w:lang w:val="en-US" w:eastAsia="zh-CN"/>
              </w:rPr>
              <w:t>第</w:t>
            </w:r>
            <w:r>
              <w:rPr>
                <w:rFonts w:eastAsia="STKaiti" w:hint="eastAsia"/>
                <w:bCs/>
                <w:iCs/>
                <w:smallCaps/>
                <w:noProof/>
                <w:sz w:val="20"/>
                <w:lang w:val="en-US" w:eastAsia="zh-CN"/>
              </w:rPr>
              <w:t>1</w:t>
            </w:r>
            <w:r>
              <w:rPr>
                <w:rFonts w:eastAsia="STKaiti" w:hAnsi="STKaiti" w:hint="eastAsia"/>
                <w:bCs/>
                <w:iCs/>
                <w:smallCaps/>
                <w:noProof/>
                <w:sz w:val="20"/>
                <w:lang w:val="en-US" w:eastAsia="zh-CN"/>
              </w:rPr>
              <w:t>号决议规定的程序批准。</w:t>
            </w:r>
          </w:p>
        </w:tc>
      </w:tr>
    </w:tbl>
    <w:p w14:paraId="38734971" w14:textId="77777777" w:rsidR="00D5024B" w:rsidRDefault="00D5024B" w:rsidP="00D5024B">
      <w:pPr>
        <w:jc w:val="center"/>
        <w:rPr>
          <w:sz w:val="22"/>
          <w:lang w:val="en-US" w:eastAsia="zh-CN"/>
        </w:rPr>
      </w:pPr>
    </w:p>
    <w:p w14:paraId="39D54CD7" w14:textId="77777777" w:rsidR="00E626FB" w:rsidRDefault="00E626FB" w:rsidP="00E626FB">
      <w:pPr>
        <w:spacing w:before="240"/>
        <w:jc w:val="right"/>
        <w:rPr>
          <w:rFonts w:eastAsia="STKaiti"/>
          <w:iCs/>
          <w:noProof/>
          <w:sz w:val="20"/>
          <w:lang w:val="en-US" w:eastAsia="zh-CN"/>
        </w:rPr>
      </w:pPr>
      <w:r>
        <w:rPr>
          <w:rFonts w:eastAsia="STKaiti" w:hAnsi="STKaiti" w:hint="eastAsia"/>
          <w:iCs/>
          <w:noProof/>
          <w:sz w:val="20"/>
          <w:lang w:val="en-US" w:eastAsia="zh-CN"/>
        </w:rPr>
        <w:t>电子出版物</w:t>
      </w:r>
    </w:p>
    <w:p w14:paraId="46F1B74F" w14:textId="61DD9DD3" w:rsidR="00D5024B" w:rsidRPr="002F5199" w:rsidRDefault="00E626FB" w:rsidP="00E626FB">
      <w:pPr>
        <w:spacing w:before="0"/>
        <w:jc w:val="right"/>
        <w:rPr>
          <w:sz w:val="20"/>
          <w:lang w:val="en-US" w:eastAsia="zh-CN"/>
        </w:rPr>
      </w:pPr>
      <w:r>
        <w:rPr>
          <w:rFonts w:hint="eastAsia"/>
          <w:noProof/>
          <w:sz w:val="20"/>
          <w:lang w:val="en-US" w:eastAsia="zh-CN"/>
        </w:rPr>
        <w:t>202</w:t>
      </w:r>
      <w:r w:rsidR="00B60517">
        <w:rPr>
          <w:noProof/>
          <w:sz w:val="20"/>
          <w:lang w:val="en-US" w:eastAsia="zh-CN"/>
        </w:rPr>
        <w:t>5</w:t>
      </w:r>
      <w:r>
        <w:rPr>
          <w:rFonts w:hint="eastAsia"/>
          <w:noProof/>
          <w:sz w:val="20"/>
          <w:lang w:val="en-US" w:eastAsia="zh-CN"/>
        </w:rPr>
        <w:t>年，日内瓦</w:t>
      </w:r>
    </w:p>
    <w:p w14:paraId="42123E6C" w14:textId="77777777" w:rsidR="00D5024B" w:rsidRDefault="00D5024B" w:rsidP="005839A0">
      <w:pPr>
        <w:spacing w:before="0"/>
        <w:jc w:val="center"/>
        <w:rPr>
          <w:sz w:val="22"/>
          <w:lang w:val="en-US" w:eastAsia="zh-CN"/>
        </w:rPr>
      </w:pPr>
    </w:p>
    <w:p w14:paraId="50F17E37" w14:textId="14F9757B" w:rsidR="00D5024B" w:rsidRPr="00470E28" w:rsidRDefault="00962BF3" w:rsidP="00D5024B">
      <w:pPr>
        <w:jc w:val="center"/>
        <w:rPr>
          <w:sz w:val="20"/>
          <w:lang w:val="en-US" w:eastAsia="zh-CN"/>
        </w:rPr>
      </w:pPr>
      <w:r>
        <w:rPr>
          <w:rFonts w:hint="eastAsia"/>
          <w:noProof/>
          <w:sz w:val="20"/>
          <w:lang w:val="en-US" w:eastAsia="zh-CN"/>
        </w:rPr>
        <w:sym w:font="Symbol" w:char="F0E3"/>
      </w:r>
      <w:r>
        <w:rPr>
          <w:rFonts w:hint="eastAsia"/>
          <w:noProof/>
          <w:sz w:val="20"/>
          <w:lang w:val="en-US" w:eastAsia="zh-CN"/>
        </w:rPr>
        <w:t xml:space="preserve"> </w:t>
      </w:r>
      <w:r>
        <w:rPr>
          <w:rFonts w:hint="eastAsia"/>
          <w:noProof/>
          <w:sz w:val="20"/>
          <w:lang w:val="en-US" w:eastAsia="zh-CN"/>
        </w:rPr>
        <w:t>国际电联</w:t>
      </w:r>
      <w:r>
        <w:rPr>
          <w:rFonts w:hint="eastAsia"/>
          <w:noProof/>
          <w:sz w:val="20"/>
          <w:lang w:val="en-US" w:eastAsia="zh-CN"/>
        </w:rPr>
        <w:t xml:space="preserve"> 202</w:t>
      </w:r>
      <w:r w:rsidR="00B60517">
        <w:rPr>
          <w:noProof/>
          <w:sz w:val="20"/>
          <w:lang w:val="en-US" w:eastAsia="zh-CN"/>
        </w:rPr>
        <w:t>5</w:t>
      </w:r>
    </w:p>
    <w:p w14:paraId="5B83DAAC" w14:textId="77777777" w:rsidR="007565CC" w:rsidRDefault="00ED0D47" w:rsidP="00534C73">
      <w:pPr>
        <w:spacing w:before="160"/>
        <w:ind w:firstLineChars="200" w:firstLine="360"/>
        <w:jc w:val="center"/>
        <w:rPr>
          <w:i/>
          <w:sz w:val="20"/>
          <w:lang w:val="en-US" w:eastAsia="zh-CN"/>
        </w:rPr>
        <w:sectPr w:rsidR="007565CC" w:rsidSect="002058CE">
          <w:headerReference w:type="even" r:id="rId13"/>
          <w:headerReference w:type="default" r:id="rId14"/>
          <w:pgSz w:w="11907" w:h="16834" w:code="9"/>
          <w:pgMar w:top="1418" w:right="1134" w:bottom="1134" w:left="1134" w:header="720" w:footer="482" w:gutter="0"/>
          <w:paperSrc w:first="15" w:other="15"/>
          <w:pgNumType w:fmt="lowerRoman" w:start="2"/>
          <w:cols w:space="720"/>
        </w:sectPr>
      </w:pPr>
      <w:r>
        <w:rPr>
          <w:rFonts w:hint="eastAsia"/>
          <w:noProof/>
          <w:sz w:val="18"/>
          <w:szCs w:val="18"/>
          <w:lang w:eastAsia="zh-CN"/>
        </w:rPr>
        <w:t>版权所有。未经国际电联书面许可，不得以任何手段翻印本出版物的任何部分。</w:t>
      </w:r>
    </w:p>
    <w:p w14:paraId="6C68D864" w14:textId="5CDD25E2" w:rsidR="00B874C6" w:rsidRPr="00B874C6" w:rsidRDefault="00B874C6" w:rsidP="00A936CB">
      <w:pPr>
        <w:pStyle w:val="RecNo"/>
        <w:spacing w:before="0"/>
        <w:rPr>
          <w:lang w:val="en-US" w:eastAsia="zh-CN"/>
        </w:rPr>
      </w:pPr>
      <w:bookmarkStart w:id="4" w:name="irecnoe"/>
      <w:bookmarkEnd w:id="4"/>
      <w:r w:rsidRPr="00BF487A">
        <w:rPr>
          <w:rStyle w:val="href"/>
          <w:lang w:val="en-US" w:eastAsia="zh-CN"/>
        </w:rPr>
        <w:lastRenderedPageBreak/>
        <w:t>ITU-</w:t>
      </w:r>
      <w:proofErr w:type="gramStart"/>
      <w:r w:rsidRPr="00BF487A">
        <w:rPr>
          <w:rStyle w:val="href"/>
          <w:lang w:val="en-US" w:eastAsia="zh-CN"/>
        </w:rPr>
        <w:t xml:space="preserve">R  </w:t>
      </w:r>
      <w:r w:rsidR="00F93A0E">
        <w:rPr>
          <w:rStyle w:val="href"/>
          <w:lang w:val="en-US" w:eastAsia="zh-CN"/>
        </w:rPr>
        <w:t>B</w:t>
      </w:r>
      <w:r w:rsidR="00D2152F">
        <w:rPr>
          <w:rStyle w:val="href"/>
          <w:lang w:val="en-US" w:eastAsia="zh-CN"/>
        </w:rPr>
        <w:t>T</w:t>
      </w:r>
      <w:r w:rsidRPr="00BF487A">
        <w:rPr>
          <w:rStyle w:val="href"/>
          <w:lang w:val="en-US" w:eastAsia="zh-CN"/>
        </w:rPr>
        <w:t>.</w:t>
      </w:r>
      <w:proofErr w:type="gramEnd"/>
      <w:r w:rsidR="00DF6D02">
        <w:rPr>
          <w:rStyle w:val="href"/>
          <w:rFonts w:hint="eastAsia"/>
          <w:lang w:val="en-US" w:eastAsia="zh-CN"/>
        </w:rPr>
        <w:t>1666</w:t>
      </w:r>
      <w:r w:rsidR="00534C73">
        <w:rPr>
          <w:rStyle w:val="href"/>
          <w:lang w:val="en-US" w:eastAsia="zh-CN"/>
        </w:rPr>
        <w:t>-</w:t>
      </w:r>
      <w:r w:rsidR="00DF6D02">
        <w:rPr>
          <w:rStyle w:val="href"/>
          <w:rFonts w:hint="eastAsia"/>
          <w:lang w:val="en-US" w:eastAsia="zh-CN"/>
        </w:rPr>
        <w:t>1</w:t>
      </w:r>
      <w:r w:rsidR="00F66F3B">
        <w:rPr>
          <w:rStyle w:val="href"/>
          <w:rFonts w:hint="eastAsia"/>
          <w:lang w:val="en-US" w:eastAsia="zh-CN"/>
        </w:rPr>
        <w:t>建议书</w:t>
      </w:r>
    </w:p>
    <w:p w14:paraId="50A4B5A4" w14:textId="77777777" w:rsidR="00DF6D02" w:rsidRDefault="00DF6D02" w:rsidP="00DF6D02">
      <w:pPr>
        <w:pStyle w:val="Rectitle"/>
        <w:rPr>
          <w:lang w:eastAsia="zh-CN"/>
        </w:rPr>
      </w:pPr>
      <w:r w:rsidRPr="003A0A0D">
        <w:rPr>
          <w:rFonts w:hint="eastAsia"/>
          <w:bCs/>
          <w:lang w:val="zh-CN" w:eastAsia="zh-CN"/>
        </w:rPr>
        <w:t>用户对在</w:t>
      </w:r>
      <w:proofErr w:type="gramStart"/>
      <w:r w:rsidRPr="003A0A0D">
        <w:rPr>
          <w:rFonts w:hint="eastAsia"/>
          <w:bCs/>
          <w:lang w:val="zh-CN" w:eastAsia="zh-CN"/>
        </w:rPr>
        <w:t>影院级</w:t>
      </w:r>
      <w:proofErr w:type="gramEnd"/>
      <w:r w:rsidRPr="003A0A0D">
        <w:rPr>
          <w:rFonts w:hint="eastAsia"/>
          <w:bCs/>
          <w:lang w:val="zh-CN" w:eastAsia="zh-CN"/>
        </w:rPr>
        <w:t>环境下播放的电视应用的要求</w:t>
      </w:r>
    </w:p>
    <w:p w14:paraId="59D93370" w14:textId="26011F46" w:rsidR="00DF6D02" w:rsidRDefault="00C431DE" w:rsidP="00DF6D02">
      <w:pPr>
        <w:pStyle w:val="Recdate"/>
        <w:rPr>
          <w:lang w:eastAsia="zh-CN"/>
        </w:rPr>
      </w:pPr>
      <w:r>
        <w:rPr>
          <w:rFonts w:hint="eastAsia"/>
          <w:lang w:val="zh-CN" w:eastAsia="zh-CN"/>
        </w:rPr>
        <w:t>（</w:t>
      </w:r>
      <w:r w:rsidR="00DF6D02">
        <w:rPr>
          <w:lang w:val="zh-CN" w:eastAsia="zh-CN"/>
        </w:rPr>
        <w:t>2003-2025</w:t>
      </w:r>
      <w:r w:rsidR="00DF6D02">
        <w:rPr>
          <w:rFonts w:hint="eastAsia"/>
          <w:lang w:val="zh-CN" w:eastAsia="zh-CN"/>
        </w:rPr>
        <w:t>年</w:t>
      </w:r>
      <w:r>
        <w:rPr>
          <w:rFonts w:hint="eastAsia"/>
          <w:lang w:val="zh-CN" w:eastAsia="zh-CN"/>
        </w:rPr>
        <w:t>）</w:t>
      </w:r>
    </w:p>
    <w:p w14:paraId="7C9727E0" w14:textId="77777777" w:rsidR="00DF6D02" w:rsidRDefault="00DF6D02" w:rsidP="00DF6D02">
      <w:pPr>
        <w:pStyle w:val="Normalaftertitle"/>
        <w:rPr>
          <w:lang w:eastAsia="zh-CN"/>
        </w:rPr>
      </w:pPr>
      <w:r>
        <w:rPr>
          <w:lang w:val="zh-CN" w:eastAsia="zh-CN"/>
        </w:rPr>
        <w:t>国际电联无线电通信全会，</w:t>
      </w:r>
    </w:p>
    <w:p w14:paraId="4DE1B48F" w14:textId="77777777" w:rsidR="00DF6D02" w:rsidRPr="00C16A49" w:rsidRDefault="00DF6D02" w:rsidP="00DF6D02">
      <w:pPr>
        <w:pStyle w:val="Call"/>
        <w:rPr>
          <w:rFonts w:ascii="STKaiti" w:eastAsia="STKaiti" w:hAnsi="STKaiti"/>
          <w:i w:val="0"/>
          <w:lang w:eastAsia="zh-CN"/>
        </w:rPr>
      </w:pPr>
      <w:r w:rsidRPr="00C16A49">
        <w:rPr>
          <w:rFonts w:ascii="STKaiti" w:eastAsia="STKaiti" w:hAnsi="STKaiti"/>
          <w:i w:val="0"/>
          <w:lang w:val="zh-CN" w:eastAsia="zh-CN"/>
        </w:rPr>
        <w:t>考虑到</w:t>
      </w:r>
    </w:p>
    <w:p w14:paraId="66D8B946" w14:textId="77777777" w:rsidR="00DF6D02" w:rsidRDefault="00DF6D02" w:rsidP="00DF6D02">
      <w:pPr>
        <w:rPr>
          <w:lang w:eastAsia="zh-CN"/>
        </w:rPr>
      </w:pPr>
      <w:r>
        <w:rPr>
          <w:i/>
          <w:iCs/>
          <w:lang w:val="zh-CN" w:eastAsia="zh-CN"/>
        </w:rPr>
        <w:t>a)</w:t>
      </w:r>
      <w:r>
        <w:rPr>
          <w:i/>
          <w:iCs/>
          <w:lang w:val="zh-CN" w:eastAsia="zh-CN"/>
        </w:rPr>
        <w:tab/>
      </w:r>
      <w:r>
        <w:rPr>
          <w:lang w:val="zh-CN" w:eastAsia="zh-CN"/>
        </w:rPr>
        <w:t>制定一个统一或兼容的节目录制、主控、交</w:t>
      </w:r>
      <w:r>
        <w:rPr>
          <w:rFonts w:hint="eastAsia"/>
          <w:lang w:val="zh-CN" w:eastAsia="zh-CN"/>
        </w:rPr>
        <w:t>换</w:t>
      </w:r>
      <w:r>
        <w:rPr>
          <w:lang w:val="zh-CN" w:eastAsia="zh-CN"/>
        </w:rPr>
        <w:t>、</w:t>
      </w:r>
      <w:r>
        <w:rPr>
          <w:rFonts w:hint="eastAsia"/>
          <w:lang w:val="zh-CN" w:eastAsia="zh-CN"/>
        </w:rPr>
        <w:t>交付</w:t>
      </w:r>
      <w:r>
        <w:rPr>
          <w:lang w:val="zh-CN" w:eastAsia="zh-CN"/>
        </w:rPr>
        <w:t>和播放技术标准等级，并与为其它应用而制定的节目录制、主控、交</w:t>
      </w:r>
      <w:r>
        <w:rPr>
          <w:rFonts w:hint="eastAsia"/>
          <w:lang w:val="zh-CN" w:eastAsia="zh-CN"/>
        </w:rPr>
        <w:t>换</w:t>
      </w:r>
      <w:r>
        <w:rPr>
          <w:lang w:val="zh-CN" w:eastAsia="zh-CN"/>
        </w:rPr>
        <w:t>和交付相</w:t>
      </w:r>
      <w:r>
        <w:rPr>
          <w:rFonts w:hint="eastAsia"/>
          <w:lang w:val="zh-CN" w:eastAsia="zh-CN"/>
        </w:rPr>
        <w:t>互</w:t>
      </w:r>
      <w:r>
        <w:rPr>
          <w:lang w:val="zh-CN" w:eastAsia="zh-CN"/>
        </w:rPr>
        <w:t>协调可能是有益的，因为这可以方便节目的国际交流；</w:t>
      </w:r>
    </w:p>
    <w:p w14:paraId="23489EC7" w14:textId="77777777" w:rsidR="00DF6D02" w:rsidRDefault="00DF6D02" w:rsidP="00DF6D02">
      <w:pPr>
        <w:rPr>
          <w:lang w:eastAsia="zh-CN"/>
        </w:rPr>
      </w:pPr>
      <w:r>
        <w:rPr>
          <w:i/>
          <w:iCs/>
          <w:lang w:val="zh-CN" w:eastAsia="zh-CN"/>
        </w:rPr>
        <w:t>b)</w:t>
      </w:r>
      <w:r>
        <w:rPr>
          <w:i/>
          <w:iCs/>
          <w:lang w:val="zh-CN" w:eastAsia="zh-CN"/>
        </w:rPr>
        <w:tab/>
      </w:r>
      <w:r>
        <w:rPr>
          <w:lang w:val="zh-CN" w:eastAsia="zh-CN"/>
        </w:rPr>
        <w:t>影院经营者在其影院内呈现各类节目（如戏剧、</w:t>
      </w:r>
      <w:r>
        <w:rPr>
          <w:rFonts w:hint="eastAsia"/>
          <w:lang w:val="zh-CN" w:eastAsia="zh-CN"/>
        </w:rPr>
        <w:t>节目</w:t>
      </w:r>
      <w:r>
        <w:rPr>
          <w:lang w:val="zh-CN" w:eastAsia="zh-CN"/>
        </w:rPr>
        <w:t>、体育赛事、音乐会、文化活动等）已</w:t>
      </w:r>
      <w:r>
        <w:rPr>
          <w:rFonts w:hint="eastAsia"/>
          <w:lang w:val="zh-CN" w:eastAsia="zh-CN"/>
        </w:rPr>
        <w:t>创造</w:t>
      </w:r>
      <w:r>
        <w:rPr>
          <w:lang w:val="zh-CN" w:eastAsia="zh-CN"/>
        </w:rPr>
        <w:t>了新的商机，对影院经营者及</w:t>
      </w:r>
      <w:r>
        <w:rPr>
          <w:rFonts w:hint="eastAsia"/>
          <w:lang w:val="zh-CN" w:eastAsia="zh-CN"/>
        </w:rPr>
        <w:t>观</w:t>
      </w:r>
      <w:r>
        <w:rPr>
          <w:lang w:val="zh-CN" w:eastAsia="zh-CN"/>
        </w:rPr>
        <w:t>众均具有吸引力；</w:t>
      </w:r>
    </w:p>
    <w:p w14:paraId="340004CC" w14:textId="77777777" w:rsidR="00DF6D02" w:rsidRDefault="00DF6D02" w:rsidP="00DF6D02">
      <w:pPr>
        <w:rPr>
          <w:lang w:eastAsia="zh-CN"/>
        </w:rPr>
      </w:pPr>
      <w:r>
        <w:rPr>
          <w:i/>
          <w:iCs/>
          <w:lang w:val="zh-CN" w:eastAsia="zh-CN"/>
        </w:rPr>
        <w:t>c)</w:t>
      </w:r>
      <w:r>
        <w:rPr>
          <w:i/>
          <w:iCs/>
          <w:lang w:val="zh-CN" w:eastAsia="zh-CN"/>
        </w:rPr>
        <w:tab/>
      </w:r>
      <w:r>
        <w:rPr>
          <w:lang w:val="zh-CN" w:eastAsia="zh-CN"/>
        </w:rPr>
        <w:t>有必要鼓励开发可完全互</w:t>
      </w:r>
      <w:r>
        <w:rPr>
          <w:rFonts w:hint="eastAsia"/>
          <w:lang w:val="zh-CN" w:eastAsia="zh-CN"/>
        </w:rPr>
        <w:t>操</w:t>
      </w:r>
      <w:r>
        <w:rPr>
          <w:lang w:val="zh-CN" w:eastAsia="zh-CN"/>
        </w:rPr>
        <w:t>作</w:t>
      </w:r>
      <w:r>
        <w:rPr>
          <w:rFonts w:hint="eastAsia"/>
          <w:lang w:val="zh-CN" w:eastAsia="zh-CN"/>
        </w:rPr>
        <w:t>、</w:t>
      </w:r>
      <w:r>
        <w:rPr>
          <w:lang w:val="zh-CN" w:eastAsia="zh-CN"/>
        </w:rPr>
        <w:t>具有竞争性且成本相对较低的产品；</w:t>
      </w:r>
    </w:p>
    <w:p w14:paraId="7FC4CB0A" w14:textId="77777777" w:rsidR="00DF6D02" w:rsidRDefault="00DF6D02" w:rsidP="00DF6D02">
      <w:pPr>
        <w:rPr>
          <w:lang w:eastAsia="zh-CN"/>
        </w:rPr>
      </w:pPr>
      <w:r>
        <w:rPr>
          <w:i/>
          <w:iCs/>
          <w:lang w:val="zh-CN" w:eastAsia="zh-CN"/>
        </w:rPr>
        <w:t>d)</w:t>
      </w:r>
      <w:r>
        <w:rPr>
          <w:i/>
          <w:iCs/>
          <w:lang w:val="zh-CN" w:eastAsia="zh-CN"/>
        </w:rPr>
        <w:tab/>
      </w:r>
      <w:r>
        <w:rPr>
          <w:lang w:val="zh-CN" w:eastAsia="zh-CN"/>
        </w:rPr>
        <w:t>电视节目，包括高清电视（</w:t>
      </w:r>
      <w:r>
        <w:rPr>
          <w:lang w:val="zh-CN" w:eastAsia="zh-CN"/>
        </w:rPr>
        <w:t>HDTV</w:t>
      </w:r>
      <w:r>
        <w:rPr>
          <w:lang w:val="zh-CN" w:eastAsia="zh-CN"/>
        </w:rPr>
        <w:t>）、超高清电视（</w:t>
      </w:r>
      <w:r>
        <w:rPr>
          <w:lang w:val="zh-CN" w:eastAsia="zh-CN"/>
        </w:rPr>
        <w:t>UHDTV</w:t>
      </w:r>
      <w:r>
        <w:rPr>
          <w:lang w:val="zh-CN" w:eastAsia="zh-CN"/>
        </w:rPr>
        <w:t>）和高动态范围电视（</w:t>
      </w:r>
      <w:r>
        <w:rPr>
          <w:lang w:val="zh-CN" w:eastAsia="zh-CN"/>
        </w:rPr>
        <w:t>HDR-TV</w:t>
      </w:r>
      <w:r>
        <w:rPr>
          <w:lang w:val="zh-CN" w:eastAsia="zh-CN"/>
        </w:rPr>
        <w:t>）节目，将利用卫星、有线、光纤、地面广播或录制媒介的实时和非实时传送，分发给影院的观众；</w:t>
      </w:r>
    </w:p>
    <w:p w14:paraId="3BAE4308" w14:textId="77777777" w:rsidR="00DF6D02" w:rsidRDefault="00DF6D02" w:rsidP="00DF6D02">
      <w:pPr>
        <w:rPr>
          <w:lang w:eastAsia="zh-CN"/>
        </w:rPr>
      </w:pPr>
      <w:r>
        <w:rPr>
          <w:i/>
          <w:iCs/>
          <w:lang w:val="zh-CN" w:eastAsia="zh-CN"/>
        </w:rPr>
        <w:t>e)</w:t>
      </w:r>
      <w:r>
        <w:rPr>
          <w:i/>
          <w:iCs/>
          <w:lang w:val="zh-CN" w:eastAsia="zh-CN"/>
        </w:rPr>
        <w:tab/>
      </w:r>
      <w:r>
        <w:rPr>
          <w:lang w:val="zh-CN" w:eastAsia="zh-CN"/>
        </w:rPr>
        <w:t>必须采用开放性的技术标准分配和播放将在</w:t>
      </w:r>
      <w:proofErr w:type="gramStart"/>
      <w:r>
        <w:rPr>
          <w:lang w:val="zh-CN" w:eastAsia="zh-CN"/>
        </w:rPr>
        <w:t>影院</w:t>
      </w:r>
      <w:r>
        <w:rPr>
          <w:rFonts w:hint="eastAsia"/>
          <w:lang w:val="zh-CN" w:eastAsia="zh-CN"/>
        </w:rPr>
        <w:t>级</w:t>
      </w:r>
      <w:proofErr w:type="gramEnd"/>
      <w:r>
        <w:rPr>
          <w:lang w:val="zh-CN" w:eastAsia="zh-CN"/>
        </w:rPr>
        <w:t>环境</w:t>
      </w:r>
      <w:r>
        <w:rPr>
          <w:rFonts w:hint="eastAsia"/>
          <w:lang w:val="zh-CN" w:eastAsia="zh-CN"/>
        </w:rPr>
        <w:t>下</w:t>
      </w:r>
      <w:r>
        <w:rPr>
          <w:lang w:val="zh-CN" w:eastAsia="zh-CN"/>
        </w:rPr>
        <w:t>播放的节目，</w:t>
      </w:r>
      <w:r>
        <w:rPr>
          <w:rFonts w:hint="eastAsia"/>
          <w:lang w:val="zh-CN" w:eastAsia="zh-CN"/>
        </w:rPr>
        <w:t>且</w:t>
      </w:r>
      <w:r>
        <w:rPr>
          <w:lang w:val="zh-CN" w:eastAsia="zh-CN"/>
        </w:rPr>
        <w:t>这些标准应考虑到现有标准，</w:t>
      </w:r>
    </w:p>
    <w:p w14:paraId="274E6240" w14:textId="77777777" w:rsidR="00DF6D02" w:rsidRPr="00C16A49" w:rsidRDefault="00DF6D02" w:rsidP="00DF6D02">
      <w:pPr>
        <w:pStyle w:val="Call"/>
        <w:rPr>
          <w:rFonts w:ascii="STKaiti" w:eastAsia="STKaiti" w:hAnsi="STKaiti"/>
          <w:i w:val="0"/>
          <w:lang w:val="zh-CN" w:eastAsia="zh-CN"/>
        </w:rPr>
      </w:pPr>
      <w:r w:rsidRPr="00C16A49">
        <w:rPr>
          <w:rFonts w:ascii="STKaiti" w:eastAsia="STKaiti" w:hAnsi="STKaiti"/>
          <w:i w:val="0"/>
          <w:lang w:val="zh-CN" w:eastAsia="zh-CN"/>
        </w:rPr>
        <w:t>建议</w:t>
      </w:r>
    </w:p>
    <w:p w14:paraId="051BEAA6" w14:textId="77777777" w:rsidR="00DF6D02" w:rsidRDefault="00DF6D02" w:rsidP="00DF6D02">
      <w:pPr>
        <w:keepNext/>
        <w:keepLines/>
        <w:ind w:firstLineChars="200" w:firstLine="480"/>
        <w:rPr>
          <w:lang w:eastAsia="zh-CN"/>
        </w:rPr>
      </w:pPr>
      <w:r>
        <w:rPr>
          <w:lang w:val="zh-CN" w:eastAsia="zh-CN"/>
        </w:rPr>
        <w:t>附件</w:t>
      </w:r>
      <w:r>
        <w:rPr>
          <w:lang w:val="zh-CN" w:eastAsia="zh-CN"/>
        </w:rPr>
        <w:t>1</w:t>
      </w:r>
      <w:r>
        <w:rPr>
          <w:lang w:val="zh-CN" w:eastAsia="zh-CN"/>
        </w:rPr>
        <w:t>中用户对电视节目</w:t>
      </w:r>
      <w:r>
        <w:rPr>
          <w:rFonts w:hint="eastAsia"/>
          <w:lang w:val="zh-CN" w:eastAsia="zh-CN"/>
        </w:rPr>
        <w:t>影院模式呈现</w:t>
      </w:r>
      <w:r>
        <w:rPr>
          <w:lang w:val="zh-CN" w:eastAsia="zh-CN"/>
        </w:rPr>
        <w:t>的要求</w:t>
      </w:r>
      <w:r>
        <w:rPr>
          <w:rFonts w:hint="eastAsia"/>
          <w:lang w:val="zh-CN" w:eastAsia="zh-CN"/>
        </w:rPr>
        <w:t>，</w:t>
      </w:r>
      <w:r>
        <w:rPr>
          <w:lang w:val="zh-CN" w:eastAsia="zh-CN"/>
        </w:rPr>
        <w:t>应在为</w:t>
      </w:r>
      <w:r>
        <w:rPr>
          <w:rFonts w:hint="eastAsia"/>
          <w:lang w:val="zh-CN" w:eastAsia="zh-CN"/>
        </w:rPr>
        <w:t>影院</w:t>
      </w:r>
      <w:r>
        <w:rPr>
          <w:lang w:val="zh-CN" w:eastAsia="zh-CN"/>
        </w:rPr>
        <w:t>环境</w:t>
      </w:r>
      <w:r>
        <w:rPr>
          <w:rFonts w:hint="eastAsia"/>
          <w:lang w:val="zh-CN" w:eastAsia="zh-CN"/>
        </w:rPr>
        <w:t>下</w:t>
      </w:r>
      <w:r>
        <w:rPr>
          <w:lang w:val="zh-CN" w:eastAsia="zh-CN"/>
        </w:rPr>
        <w:t>集体</w:t>
      </w:r>
      <w:r>
        <w:rPr>
          <w:rFonts w:hint="eastAsia"/>
          <w:lang w:val="zh-CN" w:eastAsia="zh-CN"/>
        </w:rPr>
        <w:t>观看而</w:t>
      </w:r>
      <w:r>
        <w:rPr>
          <w:lang w:val="zh-CN" w:eastAsia="zh-CN"/>
        </w:rPr>
        <w:t>设计的电视应用技术方法</w:t>
      </w:r>
      <w:r>
        <w:rPr>
          <w:rFonts w:hint="eastAsia"/>
          <w:lang w:val="zh-CN" w:eastAsia="zh-CN"/>
        </w:rPr>
        <w:t>确定</w:t>
      </w:r>
      <w:r>
        <w:rPr>
          <w:lang w:val="zh-CN" w:eastAsia="zh-CN"/>
        </w:rPr>
        <w:t>层次时得到考虑。</w:t>
      </w:r>
    </w:p>
    <w:p w14:paraId="1B059B07" w14:textId="77777777" w:rsidR="00DF6D02" w:rsidRDefault="00DF6D02" w:rsidP="00DF6D02">
      <w:pPr>
        <w:rPr>
          <w:lang w:eastAsia="zh-CN"/>
        </w:rPr>
      </w:pPr>
    </w:p>
    <w:p w14:paraId="41192247" w14:textId="77777777" w:rsidR="00DF6D02" w:rsidRDefault="00DF6D02" w:rsidP="00DF6D02">
      <w:pPr>
        <w:rPr>
          <w:lang w:eastAsia="zh-CN"/>
        </w:rPr>
      </w:pPr>
    </w:p>
    <w:p w14:paraId="750356B2" w14:textId="2547C72F" w:rsidR="00DF6D02" w:rsidRDefault="00DF6D02" w:rsidP="00C431DE">
      <w:pPr>
        <w:pStyle w:val="AnnexNoTitle"/>
        <w:outlineLvl w:val="0"/>
        <w:rPr>
          <w:lang w:eastAsia="zh-CN"/>
        </w:rPr>
      </w:pPr>
      <w:r>
        <w:rPr>
          <w:bCs/>
          <w:lang w:val="zh-CN" w:eastAsia="zh-CN"/>
        </w:rPr>
        <w:t>附件</w:t>
      </w:r>
      <w:r>
        <w:rPr>
          <w:bCs/>
          <w:lang w:val="zh-CN" w:eastAsia="zh-CN"/>
        </w:rPr>
        <w:t>1</w:t>
      </w:r>
      <w:r>
        <w:rPr>
          <w:bCs/>
          <w:lang w:val="zh-CN" w:eastAsia="zh-CN"/>
        </w:rPr>
        <w:br/>
      </w:r>
      <w:r>
        <w:rPr>
          <w:bCs/>
          <w:lang w:val="zh-CN" w:eastAsia="zh-CN"/>
        </w:rPr>
        <w:br/>
      </w:r>
      <w:r>
        <w:rPr>
          <w:bCs/>
          <w:lang w:val="zh-CN" w:eastAsia="zh-CN"/>
        </w:rPr>
        <w:t>用户对</w:t>
      </w:r>
      <w:proofErr w:type="gramStart"/>
      <w:r>
        <w:rPr>
          <w:rFonts w:hint="eastAsia"/>
          <w:bCs/>
          <w:lang w:val="zh-CN" w:eastAsia="zh-CN"/>
        </w:rPr>
        <w:t>影院级</w:t>
      </w:r>
      <w:r w:rsidRPr="006132DE">
        <w:rPr>
          <w:rFonts w:hint="eastAsia"/>
          <w:bCs/>
          <w:lang w:val="zh-CN" w:eastAsia="zh-CN"/>
        </w:rPr>
        <w:t>电视</w:t>
      </w:r>
      <w:proofErr w:type="gramEnd"/>
      <w:r w:rsidRPr="006132DE">
        <w:rPr>
          <w:rFonts w:hint="eastAsia"/>
          <w:bCs/>
          <w:lang w:val="zh-CN" w:eastAsia="zh-CN"/>
        </w:rPr>
        <w:t>播出</w:t>
      </w:r>
      <w:r>
        <w:rPr>
          <w:bCs/>
          <w:lang w:val="zh-CN" w:eastAsia="zh-CN"/>
        </w:rPr>
        <w:t>的要求</w:t>
      </w:r>
    </w:p>
    <w:p w14:paraId="1C21F2F6" w14:textId="77777777" w:rsidR="00DF6D02" w:rsidRDefault="00DF6D02" w:rsidP="00DF6D02">
      <w:pPr>
        <w:pStyle w:val="Headingi"/>
        <w:rPr>
          <w:lang w:eastAsia="zh-CN"/>
        </w:rPr>
      </w:pPr>
      <w:r w:rsidRPr="00C16A49">
        <w:rPr>
          <w:lang w:val="zh-CN" w:eastAsia="zh-CN"/>
        </w:rPr>
        <w:t>性能</w:t>
      </w:r>
    </w:p>
    <w:p w14:paraId="5D728A6D" w14:textId="36D27843" w:rsidR="00DF6D02" w:rsidRPr="00DF6D02" w:rsidRDefault="00DF6D02" w:rsidP="00DF6D02">
      <w:pPr>
        <w:pStyle w:val="enumlev1"/>
        <w:rPr>
          <w:lang w:eastAsia="zh-CN"/>
        </w:rPr>
      </w:pPr>
      <w:r w:rsidRPr="008D1D40">
        <w:rPr>
          <w:lang w:eastAsia="zh-CN"/>
        </w:rPr>
        <w:t>–</w:t>
      </w:r>
      <w:r w:rsidRPr="008D1D40">
        <w:rPr>
          <w:lang w:eastAsia="zh-CN"/>
        </w:rPr>
        <w:tab/>
      </w:r>
      <w:r w:rsidRPr="00DF6D02">
        <w:rPr>
          <w:lang w:eastAsia="zh-CN"/>
        </w:rPr>
        <w:t>应制定具体性能水平的技术规范。</w:t>
      </w:r>
    </w:p>
    <w:p w14:paraId="0E35673F" w14:textId="097196DA" w:rsidR="00DF6D02" w:rsidRPr="00DF6D02" w:rsidRDefault="00DF6D02" w:rsidP="00DF6D02">
      <w:pPr>
        <w:pStyle w:val="enumlev1"/>
        <w:rPr>
          <w:lang w:eastAsia="zh-CN"/>
        </w:rPr>
      </w:pPr>
      <w:r w:rsidRPr="008D1D40">
        <w:rPr>
          <w:lang w:eastAsia="zh-CN"/>
        </w:rPr>
        <w:t>–</w:t>
      </w:r>
      <w:r w:rsidRPr="008D1D40">
        <w:rPr>
          <w:lang w:eastAsia="zh-CN"/>
        </w:rPr>
        <w:tab/>
      </w:r>
      <w:r w:rsidRPr="00DF6D02">
        <w:rPr>
          <w:rFonts w:hint="eastAsia"/>
          <w:lang w:eastAsia="zh-CN"/>
        </w:rPr>
        <w:t>影院级电视播出</w:t>
      </w:r>
      <w:r w:rsidRPr="00DF6D02">
        <w:rPr>
          <w:lang w:eastAsia="zh-CN"/>
        </w:rPr>
        <w:t>应能基于一系列应用提供</w:t>
      </w:r>
      <w:r w:rsidRPr="00DF6D02">
        <w:rPr>
          <w:rFonts w:hint="eastAsia"/>
          <w:lang w:eastAsia="zh-CN"/>
        </w:rPr>
        <w:t>一组</w:t>
      </w:r>
      <w:r w:rsidRPr="00DF6D02">
        <w:rPr>
          <w:lang w:eastAsia="zh-CN"/>
        </w:rPr>
        <w:t>主观的图像和声音质量，例如从广告到体育赛事</w:t>
      </w:r>
      <w:r w:rsidRPr="00DF6D02">
        <w:rPr>
          <w:rFonts w:hint="eastAsia"/>
          <w:lang w:eastAsia="zh-CN"/>
        </w:rPr>
        <w:t>再</w:t>
      </w:r>
      <w:r w:rsidRPr="00DF6D02">
        <w:rPr>
          <w:lang w:eastAsia="zh-CN"/>
        </w:rPr>
        <w:t>到最高质量的戏剧、</w:t>
      </w:r>
      <w:r w:rsidRPr="00DF6D02">
        <w:rPr>
          <w:rFonts w:hint="eastAsia"/>
          <w:lang w:eastAsia="zh-CN"/>
        </w:rPr>
        <w:t>节目</w:t>
      </w:r>
      <w:r w:rsidRPr="00DF6D02">
        <w:rPr>
          <w:lang w:eastAsia="zh-CN"/>
        </w:rPr>
        <w:t>等。</w:t>
      </w:r>
    </w:p>
    <w:p w14:paraId="31C681BA" w14:textId="2A7177D1" w:rsidR="00DF6D02" w:rsidRPr="00DF6D02" w:rsidRDefault="00DF6D02" w:rsidP="00DF6D02">
      <w:pPr>
        <w:pStyle w:val="enumlev1"/>
        <w:rPr>
          <w:lang w:eastAsia="zh-CN"/>
        </w:rPr>
      </w:pPr>
      <w:r w:rsidRPr="008D1D40">
        <w:rPr>
          <w:lang w:eastAsia="zh-CN"/>
        </w:rPr>
        <w:t>–</w:t>
      </w:r>
      <w:r w:rsidRPr="008D1D40">
        <w:rPr>
          <w:lang w:eastAsia="zh-CN"/>
        </w:rPr>
        <w:tab/>
      </w:r>
      <w:r w:rsidRPr="00DF6D02">
        <w:rPr>
          <w:lang w:eastAsia="zh-CN"/>
        </w:rPr>
        <w:t>对于电视系统最高性能的应用而言，主观总体画面和声音质量应达到或超过观众目前在</w:t>
      </w:r>
      <w:r w:rsidRPr="00DF6D02">
        <w:rPr>
          <w:rFonts w:hint="eastAsia"/>
          <w:lang w:eastAsia="zh-CN"/>
        </w:rPr>
        <w:t>影院</w:t>
      </w:r>
      <w:r w:rsidRPr="00DF6D02">
        <w:rPr>
          <w:lang w:eastAsia="zh-CN"/>
        </w:rPr>
        <w:t>环境</w:t>
      </w:r>
      <w:r w:rsidRPr="00DF6D02">
        <w:rPr>
          <w:rFonts w:hint="eastAsia"/>
          <w:lang w:eastAsia="zh-CN"/>
        </w:rPr>
        <w:t>下</w:t>
      </w:r>
      <w:r w:rsidRPr="00DF6D02">
        <w:rPr>
          <w:lang w:eastAsia="zh-CN"/>
        </w:rPr>
        <w:t>享受的质量。</w:t>
      </w:r>
    </w:p>
    <w:p w14:paraId="276B8BFF" w14:textId="77777777" w:rsidR="00DF6D02" w:rsidRDefault="00DF6D02" w:rsidP="00DF6D02">
      <w:pPr>
        <w:pStyle w:val="Headingi"/>
        <w:rPr>
          <w:lang w:eastAsia="zh-CN"/>
        </w:rPr>
      </w:pPr>
      <w:r w:rsidRPr="00C16A49">
        <w:rPr>
          <w:lang w:val="zh-CN" w:eastAsia="zh-CN"/>
        </w:rPr>
        <w:t>互操作性</w:t>
      </w:r>
    </w:p>
    <w:p w14:paraId="63E67DCA" w14:textId="631A2140" w:rsidR="00DF6D02" w:rsidRPr="00DF6D02" w:rsidRDefault="00DF6D02" w:rsidP="00DF6D02">
      <w:pPr>
        <w:pStyle w:val="enumlev1"/>
        <w:rPr>
          <w:lang w:eastAsia="zh-CN"/>
        </w:rPr>
      </w:pPr>
      <w:r w:rsidRPr="008D1D40">
        <w:rPr>
          <w:lang w:eastAsia="zh-CN"/>
        </w:rPr>
        <w:t>–</w:t>
      </w:r>
      <w:r w:rsidRPr="008D1D40">
        <w:rPr>
          <w:lang w:eastAsia="zh-CN"/>
        </w:rPr>
        <w:tab/>
      </w:r>
      <w:r w:rsidRPr="00DF6D02">
        <w:rPr>
          <w:lang w:eastAsia="zh-CN"/>
        </w:rPr>
        <w:t>内容应能在不同</w:t>
      </w:r>
      <w:r w:rsidRPr="00DF6D02">
        <w:rPr>
          <w:rFonts w:hint="eastAsia"/>
          <w:lang w:eastAsia="zh-CN"/>
        </w:rPr>
        <w:t>制作和不同播放与</w:t>
      </w:r>
      <w:r w:rsidRPr="00DF6D02">
        <w:rPr>
          <w:lang w:eastAsia="zh-CN"/>
        </w:rPr>
        <w:t>投影设备上以统一的</w:t>
      </w:r>
      <w:r w:rsidRPr="00DF6D02">
        <w:rPr>
          <w:rFonts w:hint="eastAsia"/>
          <w:lang w:eastAsia="zh-CN"/>
        </w:rPr>
        <w:t>形式</w:t>
      </w:r>
      <w:r w:rsidRPr="00DF6D02">
        <w:rPr>
          <w:lang w:eastAsia="zh-CN"/>
        </w:rPr>
        <w:t>播放。</w:t>
      </w:r>
    </w:p>
    <w:p w14:paraId="1C74AB84" w14:textId="12BCFEE9" w:rsidR="00DF6D02" w:rsidRPr="00DF6D02" w:rsidRDefault="00DF6D02" w:rsidP="00DF6D02">
      <w:pPr>
        <w:pStyle w:val="enumlev1"/>
        <w:rPr>
          <w:lang w:eastAsia="zh-CN"/>
        </w:rPr>
      </w:pPr>
      <w:r w:rsidRPr="008D1D40">
        <w:rPr>
          <w:lang w:eastAsia="zh-CN"/>
        </w:rPr>
        <w:t>–</w:t>
      </w:r>
      <w:r w:rsidRPr="008D1D40">
        <w:rPr>
          <w:lang w:eastAsia="zh-CN"/>
        </w:rPr>
        <w:tab/>
      </w:r>
      <w:r w:rsidRPr="00DF6D02">
        <w:rPr>
          <w:lang w:eastAsia="zh-CN"/>
        </w:rPr>
        <w:t>图像和声音数字</w:t>
      </w:r>
      <w:r w:rsidRPr="00DF6D02">
        <w:rPr>
          <w:rFonts w:hint="eastAsia"/>
          <w:lang w:eastAsia="zh-CN"/>
        </w:rPr>
        <w:t>呈</w:t>
      </w:r>
      <w:r w:rsidRPr="00DF6D02">
        <w:rPr>
          <w:lang w:eastAsia="zh-CN"/>
        </w:rPr>
        <w:t>现、编码、加密、存储和播出应符合全球适用的开放技术标准。</w:t>
      </w:r>
    </w:p>
    <w:p w14:paraId="42E4A777" w14:textId="55561909" w:rsidR="00DF6D02" w:rsidRPr="00DF6D02" w:rsidRDefault="00DF6D02" w:rsidP="00DF6D02">
      <w:pPr>
        <w:pStyle w:val="enumlev1"/>
        <w:rPr>
          <w:lang w:eastAsia="zh-CN"/>
        </w:rPr>
      </w:pPr>
      <w:r w:rsidRPr="008D1D40">
        <w:rPr>
          <w:lang w:eastAsia="zh-CN"/>
        </w:rPr>
        <w:t>–</w:t>
      </w:r>
      <w:r w:rsidRPr="008D1D40">
        <w:rPr>
          <w:lang w:eastAsia="zh-CN"/>
        </w:rPr>
        <w:tab/>
      </w:r>
      <w:r w:rsidRPr="00DF6D02">
        <w:rPr>
          <w:lang w:eastAsia="zh-CN"/>
        </w:rPr>
        <w:t>伴随电视节目的元数据还应符合全球适用的开放技术标准。</w:t>
      </w:r>
    </w:p>
    <w:p w14:paraId="58F96921" w14:textId="05772CAA" w:rsidR="00DF6D02" w:rsidRDefault="00DF6D02" w:rsidP="00DF6D02">
      <w:pPr>
        <w:pStyle w:val="enumlev1"/>
        <w:rPr>
          <w:lang w:eastAsia="zh-CN"/>
        </w:rPr>
      </w:pPr>
      <w:r w:rsidRPr="008D1D40">
        <w:rPr>
          <w:lang w:eastAsia="zh-CN"/>
        </w:rPr>
        <w:lastRenderedPageBreak/>
        <w:t>–</w:t>
      </w:r>
      <w:r w:rsidRPr="008D1D40">
        <w:rPr>
          <w:lang w:eastAsia="zh-CN"/>
        </w:rPr>
        <w:tab/>
      </w:r>
      <w:r w:rsidRPr="00DF6D02">
        <w:rPr>
          <w:lang w:eastAsia="zh-CN"/>
        </w:rPr>
        <w:t>为电</w:t>
      </w:r>
      <w:r>
        <w:rPr>
          <w:lang w:val="zh-CN" w:eastAsia="zh-CN"/>
        </w:rPr>
        <w:t>视</w:t>
      </w:r>
      <w:r>
        <w:rPr>
          <w:rFonts w:hint="eastAsia"/>
          <w:lang w:val="zh-CN" w:eastAsia="zh-CN"/>
        </w:rPr>
        <w:t>内容的</w:t>
      </w:r>
      <w:r>
        <w:rPr>
          <w:lang w:val="zh-CN" w:eastAsia="zh-CN"/>
        </w:rPr>
        <w:t>传送</w:t>
      </w:r>
      <w:r>
        <w:rPr>
          <w:rFonts w:hint="eastAsia"/>
          <w:lang w:val="zh-CN" w:eastAsia="zh-CN"/>
        </w:rPr>
        <w:t>和呈现</w:t>
      </w:r>
      <w:r>
        <w:rPr>
          <w:lang w:val="zh-CN" w:eastAsia="zh-CN"/>
        </w:rPr>
        <w:t>开发的技术设备</w:t>
      </w:r>
      <w:r>
        <w:rPr>
          <w:rFonts w:hint="eastAsia"/>
          <w:lang w:val="zh-CN" w:eastAsia="zh-CN"/>
        </w:rPr>
        <w:t>，</w:t>
      </w:r>
      <w:r>
        <w:rPr>
          <w:lang w:val="zh-CN" w:eastAsia="zh-CN"/>
        </w:rPr>
        <w:t>应能在各不同供货商系统之间实现充分的互</w:t>
      </w:r>
      <w:r>
        <w:rPr>
          <w:rFonts w:hint="eastAsia"/>
          <w:lang w:val="zh-CN" w:eastAsia="zh-CN"/>
        </w:rPr>
        <w:t>操</w:t>
      </w:r>
      <w:r>
        <w:rPr>
          <w:lang w:val="zh-CN" w:eastAsia="zh-CN"/>
        </w:rPr>
        <w:t>作。</w:t>
      </w:r>
    </w:p>
    <w:p w14:paraId="7342FC37" w14:textId="77777777" w:rsidR="00DF6D02" w:rsidRDefault="00DF6D02" w:rsidP="00DF6D02">
      <w:pPr>
        <w:pStyle w:val="Headingi"/>
        <w:rPr>
          <w:lang w:eastAsia="zh-CN"/>
        </w:rPr>
      </w:pPr>
      <w:r>
        <w:rPr>
          <w:rFonts w:hint="eastAsia"/>
          <w:lang w:val="zh-CN" w:eastAsia="zh-CN"/>
        </w:rPr>
        <w:t>传</w:t>
      </w:r>
      <w:r w:rsidRPr="00C16A49">
        <w:rPr>
          <w:lang w:val="zh-CN" w:eastAsia="zh-CN"/>
        </w:rPr>
        <w:t>送方法和验证</w:t>
      </w:r>
    </w:p>
    <w:p w14:paraId="6BD2B307" w14:textId="3366ABDA" w:rsidR="00DF6D02" w:rsidRPr="00DF6D02" w:rsidRDefault="00DF6D02" w:rsidP="00DF6D02">
      <w:pPr>
        <w:pStyle w:val="enumlev1"/>
        <w:rPr>
          <w:lang w:eastAsia="zh-CN"/>
        </w:rPr>
      </w:pPr>
      <w:r w:rsidRPr="008D1D40">
        <w:rPr>
          <w:lang w:eastAsia="zh-CN"/>
        </w:rPr>
        <w:t>–</w:t>
      </w:r>
      <w:r w:rsidRPr="008D1D40">
        <w:rPr>
          <w:lang w:eastAsia="zh-CN"/>
        </w:rPr>
        <w:tab/>
      </w:r>
      <w:r w:rsidRPr="00DF6D02">
        <w:rPr>
          <w:lang w:eastAsia="zh-CN"/>
        </w:rPr>
        <w:t>电视系统应考虑到有线、光纤、广播和卫星行业使用的实时传送接口以及电信业使用的非实时传送接口。</w:t>
      </w:r>
    </w:p>
    <w:p w14:paraId="0D2B06DC" w14:textId="7929A4D0" w:rsidR="00DF6D02" w:rsidRDefault="00DF6D02" w:rsidP="00DF6D02">
      <w:pPr>
        <w:pStyle w:val="enumlev1"/>
        <w:rPr>
          <w:lang w:eastAsia="zh-CN"/>
        </w:rPr>
      </w:pPr>
      <w:r w:rsidRPr="008D1D40">
        <w:rPr>
          <w:lang w:eastAsia="zh-CN"/>
        </w:rPr>
        <w:t>–</w:t>
      </w:r>
      <w:r w:rsidRPr="008D1D40">
        <w:rPr>
          <w:lang w:eastAsia="zh-CN"/>
        </w:rPr>
        <w:tab/>
      </w:r>
      <w:r w:rsidRPr="00DF6D02">
        <w:rPr>
          <w:lang w:eastAsia="zh-CN"/>
        </w:rPr>
        <w:t>旨在在影院环境下放映的内容的发行母版</w:t>
      </w:r>
      <w:r w:rsidRPr="00DF6D02">
        <w:rPr>
          <w:rFonts w:hint="eastAsia"/>
          <w:lang w:eastAsia="zh-CN"/>
        </w:rPr>
        <w:t>，</w:t>
      </w:r>
      <w:r w:rsidRPr="00DF6D02">
        <w:rPr>
          <w:lang w:eastAsia="zh-CN"/>
        </w:rPr>
        <w:t>应</w:t>
      </w:r>
      <w:r w:rsidRPr="00DF6D02">
        <w:rPr>
          <w:rFonts w:hint="eastAsia"/>
          <w:lang w:eastAsia="zh-CN"/>
        </w:rPr>
        <w:t>能够</w:t>
      </w:r>
      <w:r w:rsidRPr="00DF6D02">
        <w:rPr>
          <w:lang w:eastAsia="zh-CN"/>
        </w:rPr>
        <w:t>通过发行商可能选择的各种发行媒体</w:t>
      </w:r>
      <w:r>
        <w:rPr>
          <w:lang w:val="zh-CN" w:eastAsia="zh-CN"/>
        </w:rPr>
        <w:t>（如物理媒</w:t>
      </w:r>
      <w:r>
        <w:rPr>
          <w:rFonts w:hint="eastAsia"/>
          <w:lang w:val="zh-CN" w:eastAsia="zh-CN"/>
        </w:rPr>
        <w:t>介</w:t>
      </w:r>
      <w:r>
        <w:rPr>
          <w:lang w:val="zh-CN" w:eastAsia="zh-CN"/>
        </w:rPr>
        <w:t>、地面、卫星、电缆或光纤传输）提供。</w:t>
      </w:r>
    </w:p>
    <w:p w14:paraId="46B2EE61" w14:textId="77777777" w:rsidR="00DF6D02" w:rsidRDefault="00DF6D02" w:rsidP="00DF6D02">
      <w:pPr>
        <w:pStyle w:val="Headingi"/>
        <w:rPr>
          <w:lang w:eastAsia="zh-CN"/>
        </w:rPr>
      </w:pPr>
      <w:r w:rsidRPr="00C16A49">
        <w:rPr>
          <w:lang w:val="zh-CN" w:eastAsia="zh-CN"/>
        </w:rPr>
        <w:t>信号格式</w:t>
      </w:r>
    </w:p>
    <w:p w14:paraId="596FCB84" w14:textId="638AF7CA" w:rsidR="00DF6D02" w:rsidRDefault="00DF6D02" w:rsidP="00DF6D02">
      <w:pPr>
        <w:pStyle w:val="enumlev1"/>
        <w:rPr>
          <w:lang w:eastAsia="zh-CN"/>
        </w:rPr>
      </w:pPr>
      <w:r w:rsidRPr="008D1D40">
        <w:rPr>
          <w:lang w:eastAsia="zh-CN"/>
        </w:rPr>
        <w:t>–</w:t>
      </w:r>
      <w:r w:rsidRPr="008D1D40">
        <w:rPr>
          <w:lang w:eastAsia="zh-CN"/>
        </w:rPr>
        <w:tab/>
      </w:r>
      <w:r w:rsidRPr="00DF6D02">
        <w:rPr>
          <w:lang w:eastAsia="zh-CN"/>
        </w:rPr>
        <w:t>电视</w:t>
      </w:r>
      <w:r>
        <w:rPr>
          <w:lang w:val="zh-CN" w:eastAsia="zh-CN"/>
        </w:rPr>
        <w:t>采用的技术系统和格式应有助于影院环境</w:t>
      </w:r>
      <w:r>
        <w:rPr>
          <w:rFonts w:hint="eastAsia"/>
          <w:lang w:val="zh-CN" w:eastAsia="zh-CN"/>
        </w:rPr>
        <w:t>下的</w:t>
      </w:r>
      <w:r>
        <w:rPr>
          <w:lang w:val="zh-CN" w:eastAsia="zh-CN"/>
        </w:rPr>
        <w:t>界面和</w:t>
      </w:r>
      <w:r>
        <w:rPr>
          <w:rFonts w:hint="eastAsia"/>
          <w:lang w:val="zh-CN" w:eastAsia="zh-CN"/>
        </w:rPr>
        <w:t>呈现</w:t>
      </w:r>
      <w:r>
        <w:rPr>
          <w:lang w:val="zh-CN" w:eastAsia="zh-CN"/>
        </w:rPr>
        <w:t>。</w:t>
      </w:r>
    </w:p>
    <w:p w14:paraId="30DF5D59" w14:textId="77777777" w:rsidR="00DF6D02" w:rsidRDefault="00DF6D02" w:rsidP="00DF6D02">
      <w:pPr>
        <w:pStyle w:val="Headingi"/>
        <w:rPr>
          <w:lang w:eastAsia="zh-CN"/>
        </w:rPr>
      </w:pPr>
      <w:r w:rsidRPr="00C16A49">
        <w:rPr>
          <w:lang w:val="zh-CN" w:eastAsia="zh-CN"/>
        </w:rPr>
        <w:t>安全</w:t>
      </w:r>
    </w:p>
    <w:p w14:paraId="040CE35F" w14:textId="4FE9290A" w:rsidR="00DF6D02" w:rsidRDefault="00DF6D02" w:rsidP="00DF6D02">
      <w:pPr>
        <w:pStyle w:val="enumlev1"/>
        <w:rPr>
          <w:lang w:eastAsia="zh-CN"/>
        </w:rPr>
      </w:pPr>
      <w:r w:rsidRPr="008D1D40">
        <w:rPr>
          <w:lang w:eastAsia="zh-CN"/>
        </w:rPr>
        <w:t>–</w:t>
      </w:r>
      <w:r w:rsidRPr="008D1D40">
        <w:rPr>
          <w:lang w:eastAsia="zh-CN"/>
        </w:rPr>
        <w:tab/>
      </w:r>
      <w:r>
        <w:rPr>
          <w:lang w:val="zh-CN" w:eastAsia="zh-CN"/>
        </w:rPr>
        <w:t>实施有效</w:t>
      </w:r>
      <w:r>
        <w:rPr>
          <w:rFonts w:hint="eastAsia"/>
          <w:lang w:val="zh-CN" w:eastAsia="zh-CN"/>
        </w:rPr>
        <w:t>且</w:t>
      </w:r>
      <w:r>
        <w:rPr>
          <w:lang w:val="zh-CN" w:eastAsia="zh-CN"/>
        </w:rPr>
        <w:t>安全的</w:t>
      </w:r>
      <w:r>
        <w:rPr>
          <w:rFonts w:hint="eastAsia"/>
          <w:lang w:val="zh-CN" w:eastAsia="zh-CN"/>
        </w:rPr>
        <w:t>有</w:t>
      </w:r>
      <w:r>
        <w:rPr>
          <w:lang w:val="zh-CN" w:eastAsia="zh-CN"/>
        </w:rPr>
        <w:t>条件接收</w:t>
      </w:r>
      <w:r>
        <w:rPr>
          <w:rFonts w:hint="eastAsia"/>
          <w:lang w:val="zh-CN" w:eastAsia="zh-CN"/>
        </w:rPr>
        <w:t>以及有关</w:t>
      </w:r>
      <w:r>
        <w:rPr>
          <w:lang w:val="zh-CN" w:eastAsia="zh-CN"/>
        </w:rPr>
        <w:t>版权保护</w:t>
      </w:r>
      <w:r>
        <w:rPr>
          <w:rFonts w:hint="eastAsia"/>
          <w:lang w:val="zh-CN" w:eastAsia="zh-CN"/>
        </w:rPr>
        <w:t>方</w:t>
      </w:r>
      <w:r>
        <w:rPr>
          <w:lang w:val="zh-CN" w:eastAsia="zh-CN"/>
        </w:rPr>
        <w:t>法的规定</w:t>
      </w:r>
      <w:r>
        <w:rPr>
          <w:rFonts w:hint="eastAsia"/>
          <w:lang w:val="zh-CN" w:eastAsia="zh-CN"/>
        </w:rPr>
        <w:t>，在</w:t>
      </w:r>
      <w:r>
        <w:rPr>
          <w:lang w:val="zh-CN" w:eastAsia="zh-CN"/>
        </w:rPr>
        <w:t>必要时应符合全球适用的开放技术标准。</w:t>
      </w:r>
    </w:p>
    <w:p w14:paraId="7D7B6449" w14:textId="77777777" w:rsidR="00DF6D02" w:rsidRDefault="00DF6D02" w:rsidP="00DF6D02">
      <w:pPr>
        <w:pStyle w:val="Headingi"/>
        <w:rPr>
          <w:lang w:eastAsia="zh-CN"/>
        </w:rPr>
      </w:pPr>
      <w:r w:rsidRPr="00C16A49">
        <w:rPr>
          <w:lang w:val="zh-CN" w:eastAsia="zh-CN"/>
        </w:rPr>
        <w:t>遥控监测</w:t>
      </w:r>
    </w:p>
    <w:p w14:paraId="01C34E3E" w14:textId="574DAEC7" w:rsidR="00DF6D02" w:rsidRDefault="00DF6D02" w:rsidP="00DF6D02">
      <w:pPr>
        <w:pStyle w:val="enumlev1"/>
        <w:rPr>
          <w:lang w:eastAsia="zh-CN"/>
        </w:rPr>
      </w:pPr>
      <w:r w:rsidRPr="008D1D40">
        <w:rPr>
          <w:lang w:eastAsia="zh-CN"/>
        </w:rPr>
        <w:t>–</w:t>
      </w:r>
      <w:r w:rsidRPr="008D1D40">
        <w:rPr>
          <w:lang w:eastAsia="zh-CN"/>
        </w:rPr>
        <w:tab/>
      </w:r>
      <w:r>
        <w:rPr>
          <w:lang w:val="zh-CN" w:eastAsia="zh-CN"/>
        </w:rPr>
        <w:t>对设备性能和状态报告的自动和远程监测</w:t>
      </w:r>
      <w:r>
        <w:rPr>
          <w:rFonts w:hint="eastAsia"/>
          <w:lang w:val="zh-CN" w:eastAsia="zh-CN"/>
        </w:rPr>
        <w:t>，</w:t>
      </w:r>
      <w:r>
        <w:rPr>
          <w:lang w:val="zh-CN" w:eastAsia="zh-CN"/>
        </w:rPr>
        <w:t>应符合与安全网络兼容的行业标准。</w:t>
      </w:r>
    </w:p>
    <w:p w14:paraId="3C9D4E9B" w14:textId="77777777" w:rsidR="00DF6D02" w:rsidRDefault="00DF6D02" w:rsidP="00DF6D02">
      <w:pPr>
        <w:pStyle w:val="Headingi"/>
        <w:rPr>
          <w:lang w:eastAsia="zh-CN"/>
        </w:rPr>
      </w:pPr>
      <w:r w:rsidRPr="00C16A49">
        <w:rPr>
          <w:lang w:val="zh-CN" w:eastAsia="zh-CN"/>
        </w:rPr>
        <w:t>内容打包</w:t>
      </w:r>
      <w:r w:rsidRPr="00C16A49">
        <w:rPr>
          <w:lang w:val="zh-CN" w:eastAsia="zh-CN"/>
        </w:rPr>
        <w:t>/</w:t>
      </w:r>
      <w:r>
        <w:rPr>
          <w:rFonts w:hint="eastAsia"/>
          <w:lang w:val="zh-CN" w:eastAsia="zh-CN"/>
        </w:rPr>
        <w:t>交</w:t>
      </w:r>
      <w:r w:rsidRPr="00C16A49">
        <w:rPr>
          <w:lang w:val="zh-CN" w:eastAsia="zh-CN"/>
        </w:rPr>
        <w:t>换</w:t>
      </w:r>
    </w:p>
    <w:p w14:paraId="79DD5EFC" w14:textId="007DC4A7" w:rsidR="00DF6D02" w:rsidRDefault="00DF6D02" w:rsidP="00DF6D02">
      <w:pPr>
        <w:pStyle w:val="enumlev1"/>
        <w:rPr>
          <w:lang w:eastAsia="zh-CN"/>
        </w:rPr>
      </w:pPr>
      <w:r w:rsidRPr="008D1D40">
        <w:rPr>
          <w:lang w:eastAsia="zh-CN"/>
        </w:rPr>
        <w:t>–</w:t>
      </w:r>
      <w:r w:rsidRPr="008D1D40">
        <w:rPr>
          <w:lang w:eastAsia="zh-CN"/>
        </w:rPr>
        <w:tab/>
      </w:r>
      <w:r>
        <w:rPr>
          <w:rFonts w:hint="eastAsia"/>
          <w:lang w:val="zh-CN" w:eastAsia="zh-CN"/>
        </w:rPr>
        <w:t>相关</w:t>
      </w:r>
      <w:r>
        <w:rPr>
          <w:lang w:val="zh-CN" w:eastAsia="zh-CN"/>
        </w:rPr>
        <w:t>制式应允许影院环境</w:t>
      </w:r>
      <w:r>
        <w:rPr>
          <w:rFonts w:hint="eastAsia"/>
          <w:lang w:val="zh-CN" w:eastAsia="zh-CN"/>
        </w:rPr>
        <w:t>下</w:t>
      </w:r>
      <w:r>
        <w:rPr>
          <w:lang w:val="zh-CN" w:eastAsia="zh-CN"/>
        </w:rPr>
        <w:t>的</w:t>
      </w:r>
      <w:r>
        <w:rPr>
          <w:rFonts w:hint="eastAsia"/>
          <w:lang w:val="zh-CN" w:eastAsia="zh-CN"/>
        </w:rPr>
        <w:t>经营者</w:t>
      </w:r>
      <w:r>
        <w:rPr>
          <w:lang w:val="zh-CN" w:eastAsia="zh-CN"/>
        </w:rPr>
        <w:t>自行决定所有内容的</w:t>
      </w:r>
      <w:r>
        <w:rPr>
          <w:rFonts w:hint="eastAsia"/>
          <w:lang w:val="zh-CN" w:eastAsia="zh-CN"/>
        </w:rPr>
        <w:t>呈现方式</w:t>
      </w:r>
      <w:r>
        <w:rPr>
          <w:lang w:val="zh-CN" w:eastAsia="zh-CN"/>
        </w:rPr>
        <w:t>，并应允许选择语言和评级版本（如适用）。</w:t>
      </w:r>
    </w:p>
    <w:p w14:paraId="3C91CFC0" w14:textId="77777777" w:rsidR="00DF6D02" w:rsidRDefault="00DF6D02" w:rsidP="00DF6D02">
      <w:pPr>
        <w:pStyle w:val="Headingi"/>
        <w:rPr>
          <w:lang w:eastAsia="zh-CN"/>
        </w:rPr>
      </w:pPr>
      <w:r w:rsidRPr="00C16A49">
        <w:rPr>
          <w:lang w:val="zh-CN" w:eastAsia="zh-CN"/>
        </w:rPr>
        <w:t>压缩</w:t>
      </w:r>
    </w:p>
    <w:p w14:paraId="40DBC94C" w14:textId="5F7C7597" w:rsidR="00DF6D02" w:rsidRDefault="00DF6D02" w:rsidP="00DF6D02">
      <w:pPr>
        <w:pStyle w:val="enumlev1"/>
        <w:rPr>
          <w:lang w:eastAsia="zh-CN"/>
        </w:rPr>
      </w:pPr>
      <w:r w:rsidRPr="008D1D40">
        <w:rPr>
          <w:lang w:eastAsia="zh-CN"/>
        </w:rPr>
        <w:t>–</w:t>
      </w:r>
      <w:r w:rsidRPr="008D1D40">
        <w:rPr>
          <w:lang w:eastAsia="zh-CN"/>
        </w:rPr>
        <w:tab/>
      </w:r>
      <w:r w:rsidRPr="006132DE">
        <w:rPr>
          <w:lang w:val="zh-CN" w:eastAsia="zh-CN"/>
        </w:rPr>
        <w:t>视频和音频解码器应支持广播解码。</w:t>
      </w:r>
    </w:p>
    <w:p w14:paraId="4AC64C90" w14:textId="77777777" w:rsidR="00DF6D02" w:rsidRDefault="00DF6D02" w:rsidP="00DF6D02">
      <w:pPr>
        <w:pStyle w:val="Reasons"/>
      </w:pPr>
    </w:p>
    <w:p w14:paraId="1CE9CA17" w14:textId="531CC2F2" w:rsidR="00F6371D" w:rsidRPr="00DF6D02" w:rsidRDefault="00F6371D" w:rsidP="00F6371D">
      <w:pPr>
        <w:pStyle w:val="Line"/>
        <w:rPr>
          <w:lang w:val="en-US" w:eastAsia="zh-CN"/>
        </w:rPr>
      </w:pPr>
    </w:p>
    <w:sectPr w:rsidR="00F6371D" w:rsidRPr="00DF6D02" w:rsidSect="007565CC">
      <w:footerReference w:type="default" r:id="rId15"/>
      <w:pgSz w:w="11907" w:h="16834" w:code="9"/>
      <w:pgMar w:top="1418" w:right="1134" w:bottom="1134" w:left="1134" w:header="720" w:footer="48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F6D38" w14:textId="77777777" w:rsidR="009E1759" w:rsidRDefault="009E1759">
      <w:r>
        <w:separator/>
      </w:r>
    </w:p>
  </w:endnote>
  <w:endnote w:type="continuationSeparator" w:id="0">
    <w:p w14:paraId="4BE78099" w14:textId="77777777" w:rsidR="009E1759" w:rsidRDefault="009E1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Next LT Pro Medium">
    <w:altName w:val="Calibri"/>
    <w:panose1 w:val="020B0604020202020204"/>
    <w:charset w:val="00"/>
    <w:family w:val="swiss"/>
    <w:notTrueType/>
    <w:pitch w:val="variable"/>
    <w:sig w:usb0="800000AF" w:usb1="5000204A" w:usb2="00000000" w:usb3="00000000" w:csb0="00000093" w:csb1="00000000"/>
  </w:font>
  <w:font w:name="AvenirNext LT Pro Regular">
    <w:altName w:val="Calibri"/>
    <w:panose1 w:val="020B0504020202020204"/>
    <w:charset w:val="00"/>
    <w:family w:val="swiss"/>
    <w:notTrueType/>
    <w:pitch w:val="variable"/>
    <w:sig w:usb0="800000AF" w:usb1="5000204A" w:usb2="00000000" w:usb3="00000000" w:csb0="00000093"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D85C" w14:textId="77777777" w:rsidR="00301DB3" w:rsidRDefault="00301DB3">
    <w:pPr>
      <w:pStyle w:val="Footer"/>
    </w:pPr>
    <w:r>
      <w:drawing>
        <wp:anchor distT="0" distB="0" distL="0" distR="0" simplePos="0" relativeHeight="251656192" behindDoc="0" locked="0" layoutInCell="1" allowOverlap="1" wp14:anchorId="6E64258C" wp14:editId="13015151">
          <wp:simplePos x="0" y="0"/>
          <wp:positionH relativeFrom="page">
            <wp:posOffset>6346209</wp:posOffset>
          </wp:positionH>
          <wp:positionV relativeFrom="page">
            <wp:posOffset>9501505</wp:posOffset>
          </wp:positionV>
          <wp:extent cx="738000" cy="813600"/>
          <wp:effectExtent l="0" t="0" r="0" b="0"/>
          <wp:wrapNone/>
          <wp:docPr id="1" name="image1.png" descr="International Telecommunication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International Telecommunication Union logo"/>
                  <pic:cNvPicPr/>
                </pic:nvPicPr>
                <pic:blipFill>
                  <a:blip r:embed="rId1" cstate="print"/>
                  <a:stretch>
                    <a:fillRect/>
                  </a:stretch>
                </pic:blipFill>
                <pic:spPr>
                  <a:xfrm>
                    <a:off x="0" y="0"/>
                    <a:ext cx="738000" cy="813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21B83" w14:textId="77777777" w:rsidR="00C15F3E" w:rsidRDefault="00C15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6573E" w14:textId="77777777" w:rsidR="009E1759" w:rsidRDefault="009E1759">
      <w:r>
        <w:separator/>
      </w:r>
    </w:p>
  </w:footnote>
  <w:footnote w:type="continuationSeparator" w:id="0">
    <w:p w14:paraId="2CC7B9DB" w14:textId="77777777" w:rsidR="009E1759" w:rsidRDefault="009E17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21AB" w14:textId="77777777" w:rsidR="001B164E" w:rsidRDefault="001B164E">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490" w:type="dxa"/>
      <w:tblInd w:w="-3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3"/>
      <w:gridCol w:w="5917"/>
    </w:tblGrid>
    <w:tr w:rsidR="005B0371" w:rsidRPr="00A239D1" w14:paraId="5E228402" w14:textId="77777777" w:rsidTr="0019307B">
      <w:tc>
        <w:tcPr>
          <w:tcW w:w="4634" w:type="dxa"/>
          <w:vAlign w:val="center"/>
        </w:tcPr>
        <w:p w14:paraId="0667B24A" w14:textId="77777777" w:rsidR="00EE47C4" w:rsidRPr="005B0371" w:rsidRDefault="00425BC7" w:rsidP="00B9169E">
          <w:pPr>
            <w:pStyle w:val="Header"/>
            <w:jc w:val="left"/>
            <w:rPr>
              <w:rFonts w:ascii="Arial Black" w:hAnsi="Arial Black" w:cs="Arial"/>
              <w:color w:val="FFFFFF" w:themeColor="background1"/>
              <w:sz w:val="32"/>
              <w:szCs w:val="32"/>
            </w:rPr>
          </w:pPr>
          <w:bookmarkStart w:id="1" w:name="_Hlk196744307"/>
          <w:r w:rsidRPr="005B0371">
            <w:rPr>
              <w:rFonts w:ascii="Arial Black" w:hAnsi="Arial Black" w:cs="Arial"/>
              <w:color w:val="FFFFFF" w:themeColor="background1"/>
              <w:sz w:val="32"/>
              <w:szCs w:val="32"/>
            </w:rPr>
            <w:t xml:space="preserve"> </w:t>
          </w:r>
        </w:p>
      </w:tc>
      <w:tc>
        <w:tcPr>
          <w:tcW w:w="5998" w:type="dxa"/>
          <w:vAlign w:val="center"/>
        </w:tcPr>
        <w:p w14:paraId="532F7183" w14:textId="77777777" w:rsidR="00EE47C4" w:rsidRPr="00A6505A" w:rsidRDefault="00A6505A" w:rsidP="00744F8B">
          <w:pPr>
            <w:pStyle w:val="Header"/>
            <w:jc w:val="right"/>
            <w:rPr>
              <w:rFonts w:ascii="SimHei" w:eastAsia="SimHei" w:hAnsi="SimHei"/>
              <w:b/>
              <w:spacing w:val="4"/>
              <w:szCs w:val="24"/>
            </w:rPr>
          </w:pPr>
          <w:r w:rsidRPr="00A6505A">
            <w:rPr>
              <w:rFonts w:ascii="SimHei" w:eastAsia="SimHei" w:hAnsi="SimHei" w:cs="Microsoft YaHei" w:hint="eastAsia"/>
              <w:b/>
              <w:spacing w:val="4"/>
              <w:szCs w:val="24"/>
              <w:lang w:eastAsia="zh-CN"/>
            </w:rPr>
            <w:t>国际电信联盟</w:t>
          </w:r>
        </w:p>
      </w:tc>
    </w:tr>
    <w:tr w:rsidR="005B0371" w:rsidRPr="00A239D1" w14:paraId="7F8359EF" w14:textId="77777777" w:rsidTr="0019307B">
      <w:tc>
        <w:tcPr>
          <w:tcW w:w="4634" w:type="dxa"/>
          <w:vAlign w:val="center"/>
        </w:tcPr>
        <w:p w14:paraId="6D2F1D43" w14:textId="77777777" w:rsidR="00EE47C4" w:rsidRPr="003F7AA8" w:rsidRDefault="003F7AA8" w:rsidP="00744F8B">
          <w:pPr>
            <w:pStyle w:val="Header"/>
            <w:jc w:val="left"/>
            <w:rPr>
              <w:rFonts w:ascii="SimHei" w:eastAsia="SimHei" w:hAnsi="SimHei"/>
              <w:spacing w:val="4"/>
              <w:sz w:val="21"/>
              <w:szCs w:val="21"/>
            </w:rPr>
          </w:pPr>
          <w:r w:rsidRPr="003F7AA8">
            <w:rPr>
              <w:rFonts w:ascii="SimHei" w:eastAsia="SimHei" w:hAnsi="SimHei" w:cs="Microsoft YaHei" w:hint="eastAsia"/>
              <w:spacing w:val="4"/>
              <w:szCs w:val="24"/>
              <w:lang w:eastAsia="zh-CN"/>
            </w:rPr>
            <w:t>建议书</w:t>
          </w:r>
        </w:p>
      </w:tc>
      <w:tc>
        <w:tcPr>
          <w:tcW w:w="5998" w:type="dxa"/>
          <w:vAlign w:val="center"/>
        </w:tcPr>
        <w:p w14:paraId="438279B1" w14:textId="77777777" w:rsidR="00EE47C4" w:rsidRPr="00A6505A" w:rsidRDefault="00A6505A" w:rsidP="00744F8B">
          <w:pPr>
            <w:pStyle w:val="Header"/>
            <w:jc w:val="right"/>
            <w:rPr>
              <w:rFonts w:ascii="SimHei" w:eastAsia="SimHei" w:hAnsi="SimHei"/>
              <w:spacing w:val="4"/>
              <w:szCs w:val="24"/>
            </w:rPr>
          </w:pPr>
          <w:r w:rsidRPr="00A6505A">
            <w:rPr>
              <w:rFonts w:ascii="SimHei" w:eastAsia="SimHei" w:hAnsi="SimHei" w:cs="Microsoft YaHei" w:hint="eastAsia"/>
              <w:spacing w:val="4"/>
              <w:szCs w:val="24"/>
              <w:lang w:eastAsia="zh-CN"/>
            </w:rPr>
            <w:t>无线电通信部</w:t>
          </w:r>
          <w:r w:rsidR="0022016C">
            <w:rPr>
              <w:rFonts w:ascii="SimHei" w:eastAsia="SimHei" w:hAnsi="SimHei" w:cs="Microsoft YaHei" w:hint="eastAsia"/>
              <w:spacing w:val="4"/>
              <w:szCs w:val="24"/>
              <w:lang w:eastAsia="zh-CN"/>
            </w:rPr>
            <w:t>门</w:t>
          </w:r>
        </w:p>
      </w:tc>
    </w:tr>
  </w:tbl>
  <w:p w14:paraId="6D1E0F78" w14:textId="77777777" w:rsidR="00EE47C4" w:rsidRDefault="00F7325C" w:rsidP="004A6FEB">
    <w:pPr>
      <w:pStyle w:val="Header"/>
    </w:pPr>
    <w:r>
      <w:rPr>
        <w:rFonts w:ascii="Arial Black" w:hAnsi="Arial Black" w:cs="Arial"/>
        <w:noProof/>
        <w:sz w:val="32"/>
        <w:szCs w:val="32"/>
      </w:rPr>
      <w:drawing>
        <wp:anchor distT="0" distB="0" distL="114300" distR="114300" simplePos="0" relativeHeight="251660288" behindDoc="0" locked="0" layoutInCell="1" allowOverlap="1" wp14:anchorId="3CA4A2E1" wp14:editId="13095BC5">
          <wp:simplePos x="0" y="0"/>
          <wp:positionH relativeFrom="column">
            <wp:posOffset>-243205</wp:posOffset>
          </wp:positionH>
          <wp:positionV relativeFrom="paragraph">
            <wp:posOffset>-567690</wp:posOffset>
          </wp:positionV>
          <wp:extent cx="1809750" cy="391427"/>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3914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507D4">
      <w:rPr>
        <w:rFonts w:ascii="Arial" w:hAnsi="Arial" w:cs="Arial"/>
        <w:noProof/>
      </w:rPr>
      <mc:AlternateContent>
        <mc:Choice Requires="wps">
          <w:drawing>
            <wp:anchor distT="0" distB="0" distL="114300" distR="114300" simplePos="0" relativeHeight="251658240" behindDoc="0" locked="0" layoutInCell="1" allowOverlap="1" wp14:anchorId="691259B9" wp14:editId="00090127">
              <wp:simplePos x="0" y="0"/>
              <wp:positionH relativeFrom="column">
                <wp:posOffset>-106045</wp:posOffset>
              </wp:positionH>
              <wp:positionV relativeFrom="paragraph">
                <wp:posOffset>164465</wp:posOffset>
              </wp:positionV>
              <wp:extent cx="301625" cy="172085"/>
              <wp:effectExtent l="17780" t="12065" r="23495" b="1587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1625" cy="172085"/>
                      </a:xfrm>
                      <a:prstGeom prst="triangle">
                        <a:avLst>
                          <a:gd name="adj" fmla="val 50000"/>
                        </a:avLst>
                      </a:prstGeom>
                      <a:solidFill>
                        <a:schemeClr val="bg1">
                          <a:lumMod val="100000"/>
                          <a:lumOff val="0"/>
                        </a:schemeClr>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EF711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1026" type="#_x0000_t5" style="position:absolute;margin-left:-8.35pt;margin-top:12.95pt;width:23.75pt;height:13.5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" fillcolor="white [3212]" strokecolor="#f8f8f8"/>
          </w:pict>
        </mc:Fallback>
      </mc:AlternateContent>
    </w:r>
  </w:p>
  <w:bookmarkEnd w:id="1"/>
  <w:p w14:paraId="3544734B" w14:textId="77777777" w:rsidR="004A6FEB" w:rsidRDefault="00A507D4" w:rsidP="004A6FEB">
    <w:pPr>
      <w:pStyle w:val="Header"/>
      <w:ind w:right="360"/>
      <w:jc w:val="both"/>
    </w:pPr>
    <w:r>
      <w:rPr>
        <w:noProof/>
      </w:rPr>
      <mc:AlternateContent>
        <mc:Choice Requires="wpg">
          <w:drawing>
            <wp:anchor distT="0" distB="0" distL="114300" distR="114300" simplePos="0" relativeHeight="251659264" behindDoc="0" locked="0" layoutInCell="1" allowOverlap="1" wp14:anchorId="747DDAB4" wp14:editId="1B3C2BAC">
              <wp:simplePos x="0" y="0"/>
              <wp:positionH relativeFrom="page">
                <wp:posOffset>0</wp:posOffset>
              </wp:positionH>
              <wp:positionV relativeFrom="page">
                <wp:posOffset>1196340</wp:posOffset>
              </wp:positionV>
              <wp:extent cx="7560310" cy="236220"/>
              <wp:effectExtent l="9525" t="5715" r="12065" b="5715"/>
              <wp:wrapNone/>
              <wp:docPr id="2" name="docshapegroup6" descr="Header separato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36220"/>
                        <a:chOff x="0" y="1884"/>
                        <a:chExt cx="11906" cy="372"/>
                      </a:xfrm>
                    </wpg:grpSpPr>
                    <wps:wsp>
                      <wps:cNvPr id="3" name="docshape7" descr="Header separator line"/>
                      <wps:cNvSpPr>
                        <a:spLocks noChangeArrowheads="1"/>
                      </wps:cNvSpPr>
                      <wps:spPr bwMode="auto">
                        <a:xfrm>
                          <a:off x="0" y="1944"/>
                          <a:ext cx="11906" cy="312"/>
                        </a:xfrm>
                        <a:prstGeom prst="rect">
                          <a:avLst/>
                        </a:prstGeom>
                        <a:solidFill>
                          <a:srgbClr val="009CD6"/>
                        </a:solidFill>
                        <a:ln w="9525">
                          <a:solidFill>
                            <a:srgbClr val="009CD6"/>
                          </a:solidFill>
                          <a:miter lim="800000"/>
                          <a:headEnd/>
                          <a:tailEnd/>
                        </a:ln>
                      </wps:spPr>
                      <wps:bodyPr rot="0" vert="horz" wrap="square" lIns="91440" tIns="45720" rIns="91440" bIns="45720" anchor="t" anchorCtr="0" upright="1">
                        <a:noAutofit/>
                      </wps:bodyPr>
                    </wps:wsp>
                    <wps:wsp>
                      <wps:cNvPr id="4" name="docshape8" descr="Header separator line"/>
                      <wps:cNvSpPr>
                        <a:spLocks/>
                      </wps:cNvSpPr>
                      <wps:spPr bwMode="auto">
                        <a:xfrm>
                          <a:off x="1109" y="1884"/>
                          <a:ext cx="627" cy="314"/>
                        </a:xfrm>
                        <a:custGeom>
                          <a:avLst/>
                          <a:gdLst>
                            <a:gd name="T0" fmla="+- 0 1736 1109"/>
                            <a:gd name="T1" fmla="*/ T0 w 627"/>
                            <a:gd name="T2" fmla="+- 0 1884 1884"/>
                            <a:gd name="T3" fmla="*/ 1884 h 314"/>
                            <a:gd name="T4" fmla="+- 0 1109 1109"/>
                            <a:gd name="T5" fmla="*/ T4 w 627"/>
                            <a:gd name="T6" fmla="+- 0 1884 1884"/>
                            <a:gd name="T7" fmla="*/ 1884 h 314"/>
                            <a:gd name="T8" fmla="+- 0 1423 1109"/>
                            <a:gd name="T9" fmla="*/ T8 w 627"/>
                            <a:gd name="T10" fmla="+- 0 2197 1884"/>
                            <a:gd name="T11" fmla="*/ 2197 h 314"/>
                            <a:gd name="T12" fmla="+- 0 1736 1109"/>
                            <a:gd name="T13" fmla="*/ T12 w 627"/>
                            <a:gd name="T14" fmla="+- 0 1884 1884"/>
                            <a:gd name="T15" fmla="*/ 18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chemeClr val="bg1">
                            <a:lumMod val="100000"/>
                            <a:lumOff val="0"/>
                          </a:schemeClr>
                        </a:solidFill>
                        <a:ln>
                          <a:noFill/>
                        </a:ln>
                        <a:extLst>
                          <a:ext uri="{91240B29-F687-4F45-9708-019B960494DF}">
                            <a14:hiddenLine xmlns:a14="http://schemas.microsoft.com/office/drawing/2010/main" w="9525">
                              <a:solidFill>
                                <a:srgbClr val="009CD6"/>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47500B" id="docshapegroup6" o:spid="_x0000_s1026" alt="Header separator line" style="position:absolute;margin-left:0;margin-top:94.2pt;width:595.3pt;height:18.6pt;z-index:251659264;mso-position-horizontal-relative:page;mso-position-vertical-relative:page" coordorigin=",1884" coordsize="11906,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">
              <v:rect id="docshape7" o:spid="_x0000_s1027" alt="Header separator line" style="position:absolute;top:1944;width:11906;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" fillcolor="#009cd6" strokecolor="#009cd6"/>
              <v:shape id="docshape8" o:spid="_x0000_s1028" alt="Header separator line" style="position:absolute;left:1109;top:18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" path="m627,l,,314,313,627,xe" fillcolor="white [3212]" stroked="f" strokecolor="#009cd6">
                <v:path arrowok="t" o:connecttype="custom" o:connectlocs="627,1884;0,1884;314,2197;627,1884"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5A197" w14:textId="29AB84AD" w:rsidR="001B164E" w:rsidRPr="00D72623" w:rsidRDefault="00D72623" w:rsidP="00D72623">
    <w:pPr>
      <w:pStyle w:val="Header"/>
      <w:jc w:val="left"/>
      <w:rPr>
        <w:lang w:val="en-US"/>
      </w:rPr>
    </w:pPr>
    <w:r>
      <w:rPr>
        <w:rStyle w:val="PageNumber"/>
        <w:b/>
        <w:bCs/>
      </w:rPr>
      <w:fldChar w:fldCharType="begin"/>
    </w:r>
    <w:r>
      <w:rPr>
        <w:rStyle w:val="PageNumber"/>
        <w:b/>
        <w:bCs/>
        <w:lang w:val="en-US"/>
      </w:rPr>
      <w:instrText xml:space="preserve"> PAGE </w:instrText>
    </w:r>
    <w:r>
      <w:rPr>
        <w:rStyle w:val="PageNumber"/>
        <w:b/>
        <w:bCs/>
      </w:rPr>
      <w:fldChar w:fldCharType="separate"/>
    </w:r>
    <w:r>
      <w:rPr>
        <w:rStyle w:val="PageNumber"/>
        <w:b/>
        <w:bCs/>
      </w:rPr>
      <w:t>ii</w:t>
    </w:r>
    <w:r>
      <w:rPr>
        <w:rStyle w:val="PageNumber"/>
        <w:b/>
        <w:bCs/>
      </w:rPr>
      <w:fldChar w:fldCharType="end"/>
    </w:r>
    <w:r>
      <w:rPr>
        <w:lang w:val="en-US"/>
      </w:rPr>
      <w:tab/>
    </w:r>
    <w:r>
      <w:rPr>
        <w:b/>
        <w:bCs/>
      </w:rPr>
      <w:fldChar w:fldCharType="begin"/>
    </w:r>
    <w:r>
      <w:rPr>
        <w:b/>
        <w:bCs/>
        <w:lang w:val="en-US"/>
      </w:rPr>
      <w:instrText>styleref href</w:instrText>
    </w:r>
    <w:r>
      <w:rPr>
        <w:b/>
        <w:bCs/>
      </w:rPr>
      <w:fldChar w:fldCharType="separate"/>
    </w:r>
    <w:r w:rsidR="00D81FFE">
      <w:rPr>
        <w:rFonts w:hint="eastAsia"/>
        <w:b/>
        <w:bCs/>
        <w:noProof/>
        <w:lang w:val="en-US"/>
      </w:rPr>
      <w:t>ITU-R  BT.1666-1</w:t>
    </w:r>
    <w:r w:rsidR="00D81FFE">
      <w:rPr>
        <w:rFonts w:hint="eastAsia"/>
        <w:b/>
        <w:bCs/>
        <w:noProof/>
        <w:lang w:val="en-US"/>
      </w:rPr>
      <w:t>建议书</w:t>
    </w:r>
    <w:r>
      <w:rPr>
        <w:b/>
        <w:bCs/>
      </w:rPr>
      <w:fldChar w:fldCharType="end"/>
    </w:r>
    <w:r w:rsidR="00942220">
      <w:rPr>
        <w:b/>
        <w:bC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E658" w14:textId="196B686B" w:rsidR="001B164E" w:rsidRDefault="001B164E">
    <w:pPr>
      <w:pStyle w:val="Header"/>
    </w:pPr>
    <w:r>
      <w:tab/>
    </w:r>
    <w:r w:rsidR="006C37D5">
      <w:rPr>
        <w:b/>
        <w:bCs/>
      </w:rPr>
      <w:fldChar w:fldCharType="begin"/>
    </w:r>
    <w:r>
      <w:rPr>
        <w:b/>
        <w:bCs/>
      </w:rPr>
      <w:instrText>styleref href</w:instrText>
    </w:r>
    <w:r w:rsidR="006C37D5">
      <w:rPr>
        <w:b/>
        <w:bCs/>
      </w:rPr>
      <w:fldChar w:fldCharType="separate"/>
    </w:r>
    <w:r w:rsidR="00D81FFE">
      <w:rPr>
        <w:rFonts w:hint="eastAsia"/>
        <w:b/>
        <w:bCs/>
        <w:noProof/>
      </w:rPr>
      <w:t>ITU-R  BT.1666-1</w:t>
    </w:r>
    <w:r w:rsidR="00D81FFE">
      <w:rPr>
        <w:rFonts w:hint="eastAsia"/>
        <w:b/>
        <w:bCs/>
        <w:noProof/>
      </w:rPr>
      <w:t>建议书</w:t>
    </w:r>
    <w:r w:rsidR="006C37D5">
      <w:rPr>
        <w:b/>
        <w:bCs/>
      </w:rPr>
      <w:fldChar w:fldCharType="end"/>
    </w:r>
    <w:r>
      <w:tab/>
    </w:r>
    <w:r w:rsidR="006C37D5">
      <w:rPr>
        <w:rStyle w:val="PageNumber"/>
        <w:b/>
        <w:bCs/>
      </w:rPr>
      <w:fldChar w:fldCharType="begin"/>
    </w:r>
    <w:r>
      <w:rPr>
        <w:rStyle w:val="PageNumber"/>
        <w:b/>
        <w:bCs/>
      </w:rPr>
      <w:instrText xml:space="preserve"> PAGE </w:instrText>
    </w:r>
    <w:r w:rsidR="006C37D5">
      <w:rPr>
        <w:rStyle w:val="PageNumber"/>
        <w:b/>
        <w:bCs/>
      </w:rPr>
      <w:fldChar w:fldCharType="separate"/>
    </w:r>
    <w:r w:rsidR="00C84DB7">
      <w:rPr>
        <w:rStyle w:val="PageNumber"/>
        <w:b/>
        <w:bCs/>
        <w:noProof/>
      </w:rPr>
      <w:t>1</w:t>
    </w:r>
    <w:r w:rsidR="006C37D5">
      <w:rPr>
        <w:rStyle w:val="PageNumbe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E0741"/>
    <w:multiLevelType w:val="hybridMultilevel"/>
    <w:tmpl w:val="73506790"/>
    <w:lvl w:ilvl="0" w:tplc="9FA02DF4">
      <w:numFmt w:val="bullet"/>
      <w:lvlText w:val="–"/>
      <w:lvlJc w:val="left"/>
      <w:pPr>
        <w:tabs>
          <w:tab w:val="num" w:pos="795"/>
        </w:tabs>
        <w:ind w:left="795" w:hanging="795"/>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63697FC3"/>
    <w:multiLevelType w:val="hybridMultilevel"/>
    <w:tmpl w:val="3C028B24"/>
    <w:lvl w:ilvl="0" w:tplc="FF66807A">
      <w:start w:val="5"/>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2661027">
    <w:abstractNumId w:val="0"/>
  </w:num>
  <w:num w:numId="2" w16cid:durableId="206333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hideSpellingErrors/>
  <w:hideGrammaticalErrors/>
  <w:activeWritingStyle w:appName="MSWord" w:lang="en-US" w:vendorID="64" w:dllVersion="5" w:nlCheck="1" w:checkStyle="0"/>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fr-CH" w:vendorID="64" w:dllVersion="6" w:nlCheck="1" w:checkStyle="0"/>
  <w:activeWritingStyle w:appName="MSWord" w:lang="es-ES_tradnl" w:vendorID="64" w:dllVersion="6" w:nlCheck="1" w:checkStyle="1"/>
  <w:activeWritingStyle w:appName="MSWord" w:lang="fr-FR" w:vendorID="64" w:dllVersion="0" w:nlCheck="1" w:checkStyle="0"/>
  <w:activeWritingStyle w:appName="MSWord" w:lang="en-US" w:vendorID="64" w:dllVersion="0" w:nlCheck="1" w:checkStyle="0"/>
  <w:activeWritingStyle w:appName="MSWord" w:lang="fr-CH"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CH" w:vendorID="64" w:dllVersion="409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18433">
      <o:colormru v:ext="edit" colors="#d62a47,#f8f8f8"/>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06"/>
    <w:rsid w:val="00013002"/>
    <w:rsid w:val="00030106"/>
    <w:rsid w:val="00036EE3"/>
    <w:rsid w:val="00045431"/>
    <w:rsid w:val="00072484"/>
    <w:rsid w:val="00095530"/>
    <w:rsid w:val="00096612"/>
    <w:rsid w:val="000B1B2B"/>
    <w:rsid w:val="000B7683"/>
    <w:rsid w:val="000D0677"/>
    <w:rsid w:val="000D78C5"/>
    <w:rsid w:val="000E0548"/>
    <w:rsid w:val="000E6A6E"/>
    <w:rsid w:val="00102934"/>
    <w:rsid w:val="00147110"/>
    <w:rsid w:val="001477C8"/>
    <w:rsid w:val="001511A6"/>
    <w:rsid w:val="00171C4D"/>
    <w:rsid w:val="0017562F"/>
    <w:rsid w:val="0019307B"/>
    <w:rsid w:val="001A5D68"/>
    <w:rsid w:val="001B0927"/>
    <w:rsid w:val="001B164E"/>
    <w:rsid w:val="001B4D9E"/>
    <w:rsid w:val="001B7886"/>
    <w:rsid w:val="001F38BB"/>
    <w:rsid w:val="002058CE"/>
    <w:rsid w:val="002165F1"/>
    <w:rsid w:val="0022016C"/>
    <w:rsid w:val="00233211"/>
    <w:rsid w:val="00260B24"/>
    <w:rsid w:val="0027411A"/>
    <w:rsid w:val="00276D21"/>
    <w:rsid w:val="00296D7F"/>
    <w:rsid w:val="002A5D45"/>
    <w:rsid w:val="002B3CF6"/>
    <w:rsid w:val="002B3E59"/>
    <w:rsid w:val="002C768A"/>
    <w:rsid w:val="002D0BD7"/>
    <w:rsid w:val="002D76C4"/>
    <w:rsid w:val="002F5199"/>
    <w:rsid w:val="00301DB3"/>
    <w:rsid w:val="0030218D"/>
    <w:rsid w:val="00305119"/>
    <w:rsid w:val="003157F1"/>
    <w:rsid w:val="00356B5D"/>
    <w:rsid w:val="00357707"/>
    <w:rsid w:val="0036627C"/>
    <w:rsid w:val="003B2C99"/>
    <w:rsid w:val="003E05E3"/>
    <w:rsid w:val="003E5516"/>
    <w:rsid w:val="003F4B75"/>
    <w:rsid w:val="003F7AA8"/>
    <w:rsid w:val="00420DFD"/>
    <w:rsid w:val="00425BC7"/>
    <w:rsid w:val="004368C6"/>
    <w:rsid w:val="00437A76"/>
    <w:rsid w:val="0045493D"/>
    <w:rsid w:val="004604B2"/>
    <w:rsid w:val="00470E28"/>
    <w:rsid w:val="0047379B"/>
    <w:rsid w:val="00474170"/>
    <w:rsid w:val="00477729"/>
    <w:rsid w:val="004842E2"/>
    <w:rsid w:val="00486EB3"/>
    <w:rsid w:val="004934C5"/>
    <w:rsid w:val="004A4308"/>
    <w:rsid w:val="004A6FEB"/>
    <w:rsid w:val="004B6435"/>
    <w:rsid w:val="004E61FF"/>
    <w:rsid w:val="00503364"/>
    <w:rsid w:val="00534C73"/>
    <w:rsid w:val="005373E0"/>
    <w:rsid w:val="00556548"/>
    <w:rsid w:val="00571B1C"/>
    <w:rsid w:val="00576D47"/>
    <w:rsid w:val="005839A0"/>
    <w:rsid w:val="00586EF8"/>
    <w:rsid w:val="005B0371"/>
    <w:rsid w:val="005B218E"/>
    <w:rsid w:val="005B49AB"/>
    <w:rsid w:val="005B50E7"/>
    <w:rsid w:val="005C4BAB"/>
    <w:rsid w:val="005E12A5"/>
    <w:rsid w:val="005E69F0"/>
    <w:rsid w:val="005E7B4F"/>
    <w:rsid w:val="005F003B"/>
    <w:rsid w:val="005F2E73"/>
    <w:rsid w:val="00601882"/>
    <w:rsid w:val="00607D68"/>
    <w:rsid w:val="00613212"/>
    <w:rsid w:val="006149B1"/>
    <w:rsid w:val="00640332"/>
    <w:rsid w:val="00672069"/>
    <w:rsid w:val="0068080B"/>
    <w:rsid w:val="00680D2B"/>
    <w:rsid w:val="00681B32"/>
    <w:rsid w:val="00697887"/>
    <w:rsid w:val="006B00F9"/>
    <w:rsid w:val="006B1D2B"/>
    <w:rsid w:val="006C37D5"/>
    <w:rsid w:val="006E1131"/>
    <w:rsid w:val="006E2037"/>
    <w:rsid w:val="006E6199"/>
    <w:rsid w:val="00712870"/>
    <w:rsid w:val="00714AC0"/>
    <w:rsid w:val="007363A0"/>
    <w:rsid w:val="0074147D"/>
    <w:rsid w:val="00743D85"/>
    <w:rsid w:val="00744F8B"/>
    <w:rsid w:val="00753CF4"/>
    <w:rsid w:val="007565CC"/>
    <w:rsid w:val="00763B9A"/>
    <w:rsid w:val="00784D02"/>
    <w:rsid w:val="00787C16"/>
    <w:rsid w:val="007A6AA8"/>
    <w:rsid w:val="007B1357"/>
    <w:rsid w:val="007B3343"/>
    <w:rsid w:val="007E27E3"/>
    <w:rsid w:val="007F5EA7"/>
    <w:rsid w:val="008310C9"/>
    <w:rsid w:val="008335F0"/>
    <w:rsid w:val="00834306"/>
    <w:rsid w:val="00853CC5"/>
    <w:rsid w:val="00873860"/>
    <w:rsid w:val="00877E6E"/>
    <w:rsid w:val="008B083A"/>
    <w:rsid w:val="008C251A"/>
    <w:rsid w:val="008C7848"/>
    <w:rsid w:val="00906589"/>
    <w:rsid w:val="00906AD6"/>
    <w:rsid w:val="009132E6"/>
    <w:rsid w:val="00917AF2"/>
    <w:rsid w:val="0092418A"/>
    <w:rsid w:val="00934ED7"/>
    <w:rsid w:val="00940D16"/>
    <w:rsid w:val="00942220"/>
    <w:rsid w:val="00950882"/>
    <w:rsid w:val="009543C3"/>
    <w:rsid w:val="00962BF3"/>
    <w:rsid w:val="00966E1B"/>
    <w:rsid w:val="00972F51"/>
    <w:rsid w:val="00984A02"/>
    <w:rsid w:val="00991223"/>
    <w:rsid w:val="009947C0"/>
    <w:rsid w:val="009A4039"/>
    <w:rsid w:val="009A41F9"/>
    <w:rsid w:val="009D4BBD"/>
    <w:rsid w:val="009E1759"/>
    <w:rsid w:val="009F2D2C"/>
    <w:rsid w:val="009F5580"/>
    <w:rsid w:val="00A03C0E"/>
    <w:rsid w:val="00A239D1"/>
    <w:rsid w:val="00A31928"/>
    <w:rsid w:val="00A35B27"/>
    <w:rsid w:val="00A507D4"/>
    <w:rsid w:val="00A511E2"/>
    <w:rsid w:val="00A5147A"/>
    <w:rsid w:val="00A610CF"/>
    <w:rsid w:val="00A62A14"/>
    <w:rsid w:val="00A6505A"/>
    <w:rsid w:val="00A6617B"/>
    <w:rsid w:val="00A710B3"/>
    <w:rsid w:val="00A71FE5"/>
    <w:rsid w:val="00A74B43"/>
    <w:rsid w:val="00A7534B"/>
    <w:rsid w:val="00A76007"/>
    <w:rsid w:val="00A82345"/>
    <w:rsid w:val="00A86DD2"/>
    <w:rsid w:val="00A936CB"/>
    <w:rsid w:val="00A971A1"/>
    <w:rsid w:val="00AA147C"/>
    <w:rsid w:val="00AA3AD8"/>
    <w:rsid w:val="00AB0DC8"/>
    <w:rsid w:val="00AB405C"/>
    <w:rsid w:val="00AC015D"/>
    <w:rsid w:val="00AC0AFF"/>
    <w:rsid w:val="00AC5887"/>
    <w:rsid w:val="00AE698D"/>
    <w:rsid w:val="00AF0286"/>
    <w:rsid w:val="00AF4F61"/>
    <w:rsid w:val="00AF5326"/>
    <w:rsid w:val="00B00E4F"/>
    <w:rsid w:val="00B019A2"/>
    <w:rsid w:val="00B0286E"/>
    <w:rsid w:val="00B033C8"/>
    <w:rsid w:val="00B11188"/>
    <w:rsid w:val="00B33425"/>
    <w:rsid w:val="00B42334"/>
    <w:rsid w:val="00B44E24"/>
    <w:rsid w:val="00B54ECC"/>
    <w:rsid w:val="00B60517"/>
    <w:rsid w:val="00B60AC0"/>
    <w:rsid w:val="00B714F3"/>
    <w:rsid w:val="00B75A52"/>
    <w:rsid w:val="00B85277"/>
    <w:rsid w:val="00B874C6"/>
    <w:rsid w:val="00B87B6B"/>
    <w:rsid w:val="00B9169E"/>
    <w:rsid w:val="00BC5D77"/>
    <w:rsid w:val="00BD4283"/>
    <w:rsid w:val="00BD6AF4"/>
    <w:rsid w:val="00BF487A"/>
    <w:rsid w:val="00BF5544"/>
    <w:rsid w:val="00BF67D2"/>
    <w:rsid w:val="00C15F3E"/>
    <w:rsid w:val="00C35BA7"/>
    <w:rsid w:val="00C431DE"/>
    <w:rsid w:val="00C43FA7"/>
    <w:rsid w:val="00C46BD9"/>
    <w:rsid w:val="00C55258"/>
    <w:rsid w:val="00C73560"/>
    <w:rsid w:val="00C84DB7"/>
    <w:rsid w:val="00C87A35"/>
    <w:rsid w:val="00C87A63"/>
    <w:rsid w:val="00CA6522"/>
    <w:rsid w:val="00CB0F14"/>
    <w:rsid w:val="00CC01C7"/>
    <w:rsid w:val="00CD659B"/>
    <w:rsid w:val="00CE08AF"/>
    <w:rsid w:val="00CE0A43"/>
    <w:rsid w:val="00D00118"/>
    <w:rsid w:val="00D14CF2"/>
    <w:rsid w:val="00D16749"/>
    <w:rsid w:val="00D2152F"/>
    <w:rsid w:val="00D44073"/>
    <w:rsid w:val="00D5024B"/>
    <w:rsid w:val="00D61962"/>
    <w:rsid w:val="00D6360E"/>
    <w:rsid w:val="00D72623"/>
    <w:rsid w:val="00D81FFE"/>
    <w:rsid w:val="00D83556"/>
    <w:rsid w:val="00DE5556"/>
    <w:rsid w:val="00DF4176"/>
    <w:rsid w:val="00DF6D02"/>
    <w:rsid w:val="00E0095C"/>
    <w:rsid w:val="00E17240"/>
    <w:rsid w:val="00E26694"/>
    <w:rsid w:val="00E626FB"/>
    <w:rsid w:val="00E74595"/>
    <w:rsid w:val="00E77485"/>
    <w:rsid w:val="00EA3ABA"/>
    <w:rsid w:val="00EB1CB6"/>
    <w:rsid w:val="00EB7C57"/>
    <w:rsid w:val="00ED0D47"/>
    <w:rsid w:val="00ED2695"/>
    <w:rsid w:val="00EE04BA"/>
    <w:rsid w:val="00EE47C4"/>
    <w:rsid w:val="00EF2D52"/>
    <w:rsid w:val="00F30C9B"/>
    <w:rsid w:val="00F354B1"/>
    <w:rsid w:val="00F354D7"/>
    <w:rsid w:val="00F35AE5"/>
    <w:rsid w:val="00F53B11"/>
    <w:rsid w:val="00F6343F"/>
    <w:rsid w:val="00F6371D"/>
    <w:rsid w:val="00F66F3B"/>
    <w:rsid w:val="00F72776"/>
    <w:rsid w:val="00F7325C"/>
    <w:rsid w:val="00F84165"/>
    <w:rsid w:val="00F92A40"/>
    <w:rsid w:val="00F93A0E"/>
    <w:rsid w:val="00FB0E4E"/>
    <w:rsid w:val="00FE79FE"/>
    <w:rsid w:val="00FF322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d62a47,#f8f8f8"/>
    </o:shapedefaults>
    <o:shapelayout v:ext="edit">
      <o:idmap v:ext="edit" data="1"/>
    </o:shapelayout>
  </w:shapeDefaults>
  <w:decimalSymbol w:val="."/>
  <w:listSeparator w:val=","/>
  <w14:docId w14:val="767E4A35"/>
  <w15:docId w15:val="{167D8B74-2A3D-4104-A11F-D3BEA373C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36CB"/>
    <w:pPr>
      <w:tabs>
        <w:tab w:val="left" w:pos="794"/>
        <w:tab w:val="left" w:pos="1191"/>
        <w:tab w:val="left" w:pos="1588"/>
        <w:tab w:val="left" w:pos="1985"/>
      </w:tabs>
      <w:overflowPunct w:val="0"/>
      <w:autoSpaceDE w:val="0"/>
      <w:autoSpaceDN w:val="0"/>
      <w:adjustRightInd w:val="0"/>
      <w:spacing w:before="120"/>
      <w:jc w:val="both"/>
      <w:textAlignment w:val="baseline"/>
    </w:pPr>
    <w:rPr>
      <w:sz w:val="24"/>
      <w:lang w:val="fr-FR" w:eastAsia="en-US"/>
    </w:rPr>
  </w:style>
  <w:style w:type="paragraph" w:styleId="Heading1">
    <w:name w:val="heading 1"/>
    <w:basedOn w:val="Normal"/>
    <w:next w:val="Normal"/>
    <w:qFormat/>
    <w:rsid w:val="00A936CB"/>
    <w:pPr>
      <w:keepNext/>
      <w:keepLines/>
      <w:spacing w:before="480"/>
      <w:ind w:left="794" w:hanging="794"/>
      <w:outlineLvl w:val="0"/>
    </w:pPr>
    <w:rPr>
      <w:b/>
    </w:rPr>
  </w:style>
  <w:style w:type="paragraph" w:styleId="Heading2">
    <w:name w:val="heading 2"/>
    <w:basedOn w:val="Heading1"/>
    <w:next w:val="Normal"/>
    <w:qFormat/>
    <w:rsid w:val="00A936CB"/>
    <w:pPr>
      <w:spacing w:before="320"/>
      <w:outlineLvl w:val="1"/>
    </w:pPr>
  </w:style>
  <w:style w:type="paragraph" w:styleId="Heading3">
    <w:name w:val="heading 3"/>
    <w:basedOn w:val="Heading1"/>
    <w:next w:val="Normal"/>
    <w:qFormat/>
    <w:rsid w:val="00A936CB"/>
    <w:pPr>
      <w:spacing w:before="200"/>
      <w:outlineLvl w:val="2"/>
    </w:pPr>
  </w:style>
  <w:style w:type="paragraph" w:styleId="Heading4">
    <w:name w:val="heading 4"/>
    <w:basedOn w:val="Heading3"/>
    <w:next w:val="Normal"/>
    <w:qFormat/>
    <w:rsid w:val="00A936CB"/>
    <w:pPr>
      <w:tabs>
        <w:tab w:val="clear" w:pos="794"/>
        <w:tab w:val="left" w:pos="992"/>
      </w:tabs>
      <w:ind w:left="992" w:hanging="992"/>
      <w:outlineLvl w:val="3"/>
    </w:pPr>
  </w:style>
  <w:style w:type="paragraph" w:styleId="Heading5">
    <w:name w:val="heading 5"/>
    <w:basedOn w:val="Heading4"/>
    <w:next w:val="Normal"/>
    <w:qFormat/>
    <w:rsid w:val="00A936CB"/>
    <w:pPr>
      <w:outlineLvl w:val="4"/>
    </w:pPr>
  </w:style>
  <w:style w:type="paragraph" w:styleId="Heading6">
    <w:name w:val="heading 6"/>
    <w:basedOn w:val="Heading4"/>
    <w:next w:val="Normal"/>
    <w:qFormat/>
    <w:rsid w:val="00A936CB"/>
    <w:pPr>
      <w:tabs>
        <w:tab w:val="clear" w:pos="992"/>
        <w:tab w:val="clear" w:pos="1191"/>
      </w:tabs>
      <w:ind w:left="1588" w:hanging="1588"/>
      <w:outlineLvl w:val="5"/>
    </w:pPr>
  </w:style>
  <w:style w:type="paragraph" w:styleId="Heading7">
    <w:name w:val="heading 7"/>
    <w:basedOn w:val="Heading6"/>
    <w:next w:val="Normal"/>
    <w:qFormat/>
    <w:rsid w:val="00A936CB"/>
    <w:pPr>
      <w:outlineLvl w:val="6"/>
    </w:pPr>
  </w:style>
  <w:style w:type="paragraph" w:styleId="Heading8">
    <w:name w:val="heading 8"/>
    <w:basedOn w:val="Heading6"/>
    <w:next w:val="Normal"/>
    <w:qFormat/>
    <w:rsid w:val="00A936CB"/>
    <w:pPr>
      <w:outlineLvl w:val="7"/>
    </w:pPr>
  </w:style>
  <w:style w:type="paragraph" w:styleId="Heading9">
    <w:name w:val="heading 9"/>
    <w:basedOn w:val="Heading6"/>
    <w:next w:val="Normal"/>
    <w:qFormat/>
    <w:rsid w:val="00A936CB"/>
    <w:pPr>
      <w:jc w:val="lef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936CB"/>
    <w:pPr>
      <w:tabs>
        <w:tab w:val="clear" w:pos="794"/>
        <w:tab w:val="clear" w:pos="1191"/>
        <w:tab w:val="clear" w:pos="1588"/>
        <w:tab w:val="clear" w:pos="1985"/>
        <w:tab w:val="center" w:pos="4848"/>
        <w:tab w:val="right" w:pos="9696"/>
      </w:tabs>
      <w:spacing w:before="0"/>
      <w:jc w:val="center"/>
    </w:pPr>
  </w:style>
  <w:style w:type="paragraph" w:styleId="Footer">
    <w:name w:val="footer"/>
    <w:basedOn w:val="Normal"/>
    <w:rsid w:val="00A936CB"/>
    <w:pPr>
      <w:tabs>
        <w:tab w:val="clear" w:pos="794"/>
        <w:tab w:val="clear" w:pos="1191"/>
        <w:tab w:val="clear" w:pos="1588"/>
        <w:tab w:val="clear" w:pos="1985"/>
      </w:tabs>
      <w:spacing w:before="0"/>
    </w:pPr>
    <w:rPr>
      <w:noProof/>
      <w:sz w:val="18"/>
    </w:rPr>
  </w:style>
  <w:style w:type="character" w:styleId="PageNumber">
    <w:name w:val="page number"/>
    <w:basedOn w:val="DefaultParagraphFont"/>
    <w:rsid w:val="00A936CB"/>
  </w:style>
  <w:style w:type="paragraph" w:customStyle="1" w:styleId="Headingb">
    <w:name w:val="Heading_b"/>
    <w:basedOn w:val="Heading3"/>
    <w:next w:val="Normal"/>
    <w:link w:val="HeadingbChar"/>
    <w:qFormat/>
    <w:rsid w:val="00A936CB"/>
    <w:pPr>
      <w:spacing w:before="160"/>
      <w:ind w:left="0" w:firstLine="0"/>
      <w:outlineLvl w:val="9"/>
    </w:pPr>
  </w:style>
  <w:style w:type="paragraph" w:customStyle="1" w:styleId="Headingi">
    <w:name w:val="Heading_i"/>
    <w:basedOn w:val="Heading3"/>
    <w:next w:val="Normal"/>
    <w:rsid w:val="00DF6D02"/>
    <w:pPr>
      <w:spacing w:before="160"/>
      <w:ind w:left="0" w:firstLine="0"/>
    </w:pPr>
    <w:rPr>
      <w:rFonts w:eastAsia="STKaiti"/>
      <w:b w:val="0"/>
    </w:rPr>
  </w:style>
  <w:style w:type="character" w:customStyle="1" w:styleId="href">
    <w:name w:val="href"/>
    <w:basedOn w:val="DefaultParagraphFont"/>
    <w:rsid w:val="00A936CB"/>
  </w:style>
  <w:style w:type="paragraph" w:customStyle="1" w:styleId="AnnexNoTitle">
    <w:name w:val="Annex_NoTitle"/>
    <w:basedOn w:val="Normal"/>
    <w:next w:val="Normalaftertitle"/>
    <w:rsid w:val="00A936CB"/>
    <w:pPr>
      <w:keepNext/>
      <w:keepLines/>
      <w:spacing w:before="480" w:after="80"/>
      <w:jc w:val="center"/>
    </w:pPr>
    <w:rPr>
      <w:b/>
      <w:sz w:val="28"/>
    </w:rPr>
  </w:style>
  <w:style w:type="paragraph" w:customStyle="1" w:styleId="Normalaftertitle">
    <w:name w:val="Normal_after_title"/>
    <w:basedOn w:val="Normal"/>
    <w:next w:val="Normal"/>
    <w:link w:val="NormalaftertitleChar"/>
    <w:qFormat/>
    <w:rsid w:val="00A936CB"/>
    <w:pPr>
      <w:spacing w:before="320"/>
    </w:pPr>
  </w:style>
  <w:style w:type="paragraph" w:customStyle="1" w:styleId="enumlev2">
    <w:name w:val="enumlev2"/>
    <w:basedOn w:val="enumlev1"/>
    <w:rsid w:val="00A936CB"/>
    <w:pPr>
      <w:ind w:left="1191" w:hanging="397"/>
    </w:pPr>
  </w:style>
  <w:style w:type="paragraph" w:customStyle="1" w:styleId="enumlev1">
    <w:name w:val="enumlev1"/>
    <w:basedOn w:val="Normal"/>
    <w:link w:val="enumlev1Char"/>
    <w:rsid w:val="00A936CB"/>
    <w:pPr>
      <w:spacing w:before="80"/>
      <w:ind w:left="794" w:hanging="794"/>
    </w:pPr>
  </w:style>
  <w:style w:type="paragraph" w:customStyle="1" w:styleId="enumlev3">
    <w:name w:val="enumlev3"/>
    <w:basedOn w:val="enumlev2"/>
    <w:rsid w:val="00A936CB"/>
    <w:pPr>
      <w:ind w:left="1588"/>
    </w:pPr>
  </w:style>
  <w:style w:type="paragraph" w:customStyle="1" w:styleId="Note">
    <w:name w:val="Note"/>
    <w:basedOn w:val="Normal"/>
    <w:rsid w:val="00A936CB"/>
    <w:pPr>
      <w:tabs>
        <w:tab w:val="clear" w:pos="794"/>
        <w:tab w:val="clear" w:pos="1191"/>
        <w:tab w:val="clear" w:pos="1588"/>
        <w:tab w:val="clear" w:pos="1985"/>
      </w:tabs>
      <w:spacing w:before="80"/>
    </w:pPr>
    <w:rPr>
      <w:sz w:val="22"/>
    </w:rPr>
  </w:style>
  <w:style w:type="paragraph" w:customStyle="1" w:styleId="RecNo">
    <w:name w:val="Rec_No"/>
    <w:basedOn w:val="Normal"/>
    <w:next w:val="Rectitle"/>
    <w:rsid w:val="00A936CB"/>
    <w:pPr>
      <w:keepNext/>
      <w:keepLines/>
      <w:tabs>
        <w:tab w:val="clear" w:pos="794"/>
        <w:tab w:val="clear" w:pos="1191"/>
        <w:tab w:val="clear" w:pos="1588"/>
        <w:tab w:val="clear" w:pos="1985"/>
      </w:tabs>
      <w:spacing w:before="480"/>
      <w:jc w:val="center"/>
    </w:pPr>
    <w:rPr>
      <w:sz w:val="28"/>
    </w:rPr>
  </w:style>
  <w:style w:type="paragraph" w:customStyle="1" w:styleId="Rectitle">
    <w:name w:val="Rec_title"/>
    <w:basedOn w:val="Normal"/>
    <w:next w:val="Recref"/>
    <w:link w:val="RectitleChar"/>
    <w:rsid w:val="00A936CB"/>
    <w:pPr>
      <w:keepNext/>
      <w:keepLines/>
      <w:spacing w:before="240"/>
      <w:jc w:val="center"/>
    </w:pPr>
    <w:rPr>
      <w:b/>
      <w:sz w:val="28"/>
    </w:rPr>
  </w:style>
  <w:style w:type="paragraph" w:customStyle="1" w:styleId="Recref">
    <w:name w:val="Rec_ref"/>
    <w:basedOn w:val="Normal"/>
    <w:next w:val="Recdate"/>
    <w:rsid w:val="00A936CB"/>
    <w:pPr>
      <w:jc w:val="center"/>
    </w:pPr>
  </w:style>
  <w:style w:type="paragraph" w:customStyle="1" w:styleId="Recdate">
    <w:name w:val="Rec_date"/>
    <w:basedOn w:val="Recref"/>
    <w:next w:val="Normalaftertitle"/>
    <w:rsid w:val="00A936CB"/>
    <w:pPr>
      <w:jc w:val="right"/>
    </w:pPr>
  </w:style>
  <w:style w:type="paragraph" w:customStyle="1" w:styleId="HeadingSum">
    <w:name w:val="Heading_Sum"/>
    <w:basedOn w:val="Headingb"/>
    <w:next w:val="Normal"/>
    <w:autoRedefine/>
    <w:rsid w:val="00A936CB"/>
    <w:pPr>
      <w:spacing w:before="240"/>
    </w:pPr>
    <w:rPr>
      <w:lang w:val="es-ES_tradnl"/>
    </w:rPr>
  </w:style>
  <w:style w:type="paragraph" w:customStyle="1" w:styleId="AppendixNoTitle">
    <w:name w:val="Appendix_NoTitle"/>
    <w:basedOn w:val="AnnexNoTitle"/>
    <w:next w:val="Normal"/>
    <w:rsid w:val="00A936CB"/>
  </w:style>
  <w:style w:type="paragraph" w:customStyle="1" w:styleId="Tablefin">
    <w:name w:val="Table_fin"/>
    <w:basedOn w:val="Normal"/>
    <w:next w:val="Normal"/>
    <w:rsid w:val="00A936CB"/>
    <w:pPr>
      <w:spacing w:before="0"/>
    </w:pPr>
    <w:rPr>
      <w:sz w:val="20"/>
      <w:lang w:val="en-GB"/>
    </w:rPr>
  </w:style>
  <w:style w:type="paragraph" w:customStyle="1" w:styleId="Tablehead">
    <w:name w:val="Table_head"/>
    <w:basedOn w:val="Normal"/>
    <w:next w:val="Normal"/>
    <w:link w:val="TableheadChar"/>
    <w:uiPriority w:val="99"/>
    <w:qFormat/>
    <w:rsid w:val="00A936CB"/>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ind w:left="284" w:right="-85" w:hanging="369"/>
    </w:pPr>
    <w:rPr>
      <w:sz w:val="22"/>
    </w:rPr>
  </w:style>
  <w:style w:type="paragraph" w:customStyle="1" w:styleId="TableNo">
    <w:name w:val="Table_No"/>
    <w:basedOn w:val="Normal"/>
    <w:next w:val="Normal"/>
    <w:rsid w:val="00A936CB"/>
    <w:pPr>
      <w:keepNext/>
      <w:spacing w:before="360" w:after="120"/>
      <w:jc w:val="center"/>
    </w:pPr>
  </w:style>
  <w:style w:type="paragraph" w:customStyle="1" w:styleId="Tabletext">
    <w:name w:val="Table_text"/>
    <w:basedOn w:val="Normal"/>
    <w:link w:val="TabletextChar"/>
    <w:qFormat/>
    <w:rsid w:val="00A936CB"/>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Equation">
    <w:name w:val="Equation"/>
    <w:basedOn w:val="Normal"/>
    <w:rsid w:val="00A936CB"/>
    <w:pPr>
      <w:tabs>
        <w:tab w:val="clear" w:pos="1191"/>
        <w:tab w:val="clear" w:pos="1588"/>
        <w:tab w:val="clear" w:pos="1985"/>
        <w:tab w:val="center" w:pos="4820"/>
        <w:tab w:val="right" w:pos="9639"/>
      </w:tabs>
    </w:pPr>
  </w:style>
  <w:style w:type="paragraph" w:customStyle="1" w:styleId="Equationlegend">
    <w:name w:val="Equation_legend"/>
    <w:basedOn w:val="NormalIndent"/>
    <w:rsid w:val="00A936CB"/>
    <w:pPr>
      <w:tabs>
        <w:tab w:val="clear" w:pos="794"/>
        <w:tab w:val="clear" w:pos="1191"/>
        <w:tab w:val="clear" w:pos="1588"/>
        <w:tab w:val="right" w:pos="1701"/>
      </w:tabs>
      <w:spacing w:before="80"/>
      <w:ind w:left="1985" w:hanging="1985"/>
    </w:pPr>
    <w:rPr>
      <w:lang w:val="en-US"/>
    </w:rPr>
  </w:style>
  <w:style w:type="paragraph" w:styleId="NormalIndent">
    <w:name w:val="Normal Indent"/>
    <w:basedOn w:val="Normal"/>
    <w:rsid w:val="00A936CB"/>
    <w:pPr>
      <w:ind w:left="794"/>
    </w:pPr>
  </w:style>
  <w:style w:type="paragraph" w:customStyle="1" w:styleId="Figurelegend">
    <w:name w:val="Figure_legend"/>
    <w:basedOn w:val="Normal"/>
    <w:rsid w:val="00A936CB"/>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A936CB"/>
    <w:pPr>
      <w:keepNext/>
      <w:keepLines/>
      <w:spacing w:before="480" w:after="80"/>
      <w:jc w:val="center"/>
    </w:pPr>
    <w:rPr>
      <w:caps/>
      <w:sz w:val="18"/>
    </w:rPr>
  </w:style>
  <w:style w:type="paragraph" w:customStyle="1" w:styleId="Figuretitle">
    <w:name w:val="Figure_title"/>
    <w:basedOn w:val="Normal"/>
    <w:next w:val="Figure"/>
    <w:rsid w:val="00A936CB"/>
    <w:pPr>
      <w:keepNext/>
      <w:spacing w:before="0" w:after="120"/>
      <w:jc w:val="center"/>
    </w:pPr>
    <w:rPr>
      <w:rFonts w:ascii="Times New Roman Bold" w:hAnsi="Times New Roman Bold"/>
      <w:b/>
      <w:sz w:val="18"/>
    </w:rPr>
  </w:style>
  <w:style w:type="paragraph" w:customStyle="1" w:styleId="Figure">
    <w:name w:val="Figure"/>
    <w:basedOn w:val="FigureNo"/>
    <w:next w:val="Normal"/>
    <w:rsid w:val="00A936CB"/>
    <w:pPr>
      <w:keepNext w:val="0"/>
      <w:spacing w:before="0" w:after="240"/>
    </w:pPr>
  </w:style>
  <w:style w:type="paragraph" w:customStyle="1" w:styleId="tocpart">
    <w:name w:val="tocpart"/>
    <w:basedOn w:val="Normal"/>
    <w:rsid w:val="00A936CB"/>
    <w:pPr>
      <w:tabs>
        <w:tab w:val="clear" w:pos="794"/>
        <w:tab w:val="clear" w:pos="1191"/>
        <w:tab w:val="clear" w:pos="1588"/>
        <w:tab w:val="clear" w:pos="1985"/>
        <w:tab w:val="left" w:pos="2693"/>
        <w:tab w:val="left" w:pos="8789"/>
        <w:tab w:val="right" w:pos="9639"/>
      </w:tabs>
      <w:ind w:left="2693" w:hanging="2693"/>
    </w:pPr>
  </w:style>
  <w:style w:type="paragraph" w:customStyle="1" w:styleId="ArtNo">
    <w:name w:val="Art_No"/>
    <w:basedOn w:val="Normal"/>
    <w:next w:val="Normal"/>
    <w:rsid w:val="00A936CB"/>
    <w:pPr>
      <w:keepNext/>
      <w:keepLines/>
      <w:spacing w:before="480"/>
      <w:jc w:val="center"/>
    </w:pPr>
    <w:rPr>
      <w:sz w:val="28"/>
    </w:rPr>
  </w:style>
  <w:style w:type="paragraph" w:customStyle="1" w:styleId="Arttitle">
    <w:name w:val="Art_title"/>
    <w:basedOn w:val="Normal"/>
    <w:next w:val="Normalaftertitle"/>
    <w:rsid w:val="00A936CB"/>
    <w:pPr>
      <w:keepNext/>
      <w:keepLines/>
      <w:spacing w:before="240"/>
      <w:jc w:val="center"/>
    </w:pPr>
    <w:rPr>
      <w:b/>
      <w:sz w:val="28"/>
    </w:rPr>
  </w:style>
  <w:style w:type="paragraph" w:customStyle="1" w:styleId="Blanc">
    <w:name w:val="Blanc"/>
    <w:basedOn w:val="Normal"/>
    <w:next w:val="Tabletext"/>
    <w:rsid w:val="00A936CB"/>
    <w:pPr>
      <w:keepNext/>
      <w:keepLines/>
      <w:tabs>
        <w:tab w:val="clear" w:pos="794"/>
        <w:tab w:val="clear" w:pos="1191"/>
        <w:tab w:val="clear" w:pos="1588"/>
        <w:tab w:val="clear" w:pos="1985"/>
      </w:tabs>
      <w:spacing w:before="0"/>
    </w:pPr>
    <w:rPr>
      <w:sz w:val="16"/>
      <w:lang w:val="en-GB"/>
    </w:rPr>
  </w:style>
  <w:style w:type="paragraph" w:customStyle="1" w:styleId="ASN1">
    <w:name w:val="ASN.1"/>
    <w:basedOn w:val="Normal"/>
    <w:next w:val="Normal"/>
    <w:rsid w:val="00A936CB"/>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Call">
    <w:name w:val="Call"/>
    <w:basedOn w:val="Normal"/>
    <w:next w:val="Normal"/>
    <w:link w:val="CallChar"/>
    <w:rsid w:val="00A936CB"/>
    <w:pPr>
      <w:keepNext/>
      <w:keepLines/>
      <w:spacing w:before="160"/>
      <w:ind w:left="794"/>
    </w:pPr>
    <w:rPr>
      <w:i/>
    </w:rPr>
  </w:style>
  <w:style w:type="paragraph" w:customStyle="1" w:styleId="ChapNo">
    <w:name w:val="Chap_No"/>
    <w:basedOn w:val="ArtNo"/>
    <w:next w:val="Chaptitle"/>
    <w:rsid w:val="00A936CB"/>
    <w:rPr>
      <w:b/>
    </w:rPr>
  </w:style>
  <w:style w:type="paragraph" w:customStyle="1" w:styleId="Chaptitle">
    <w:name w:val="Chap_title"/>
    <w:basedOn w:val="Arttitle"/>
    <w:next w:val="Normalaftertitle"/>
    <w:rsid w:val="00A936CB"/>
  </w:style>
  <w:style w:type="character" w:styleId="FootnoteReference">
    <w:name w:val="footnote reference"/>
    <w:basedOn w:val="DefaultParagraphFont"/>
    <w:qFormat/>
    <w:rsid w:val="00A936CB"/>
    <w:rPr>
      <w:position w:val="6"/>
      <w:sz w:val="18"/>
    </w:rPr>
  </w:style>
  <w:style w:type="paragraph" w:styleId="FootnoteText">
    <w:name w:val="footnote text"/>
    <w:basedOn w:val="Normal"/>
    <w:link w:val="FootnoteTextChar"/>
    <w:rsid w:val="00A936CB"/>
    <w:pPr>
      <w:keepLines/>
      <w:tabs>
        <w:tab w:val="left" w:pos="255"/>
      </w:tabs>
      <w:ind w:left="255" w:hanging="255"/>
    </w:pPr>
    <w:rPr>
      <w:sz w:val="22"/>
    </w:rPr>
  </w:style>
  <w:style w:type="paragraph" w:styleId="Index1">
    <w:name w:val="index 1"/>
    <w:basedOn w:val="Normal"/>
    <w:next w:val="Normal"/>
    <w:semiHidden/>
    <w:rsid w:val="00A936CB"/>
  </w:style>
  <w:style w:type="paragraph" w:styleId="Index2">
    <w:name w:val="index 2"/>
    <w:basedOn w:val="Normal"/>
    <w:next w:val="Normal"/>
    <w:semiHidden/>
    <w:rsid w:val="00A936CB"/>
    <w:pPr>
      <w:ind w:left="283"/>
    </w:pPr>
  </w:style>
  <w:style w:type="paragraph" w:styleId="Index3">
    <w:name w:val="index 3"/>
    <w:basedOn w:val="Normal"/>
    <w:next w:val="Normal"/>
    <w:semiHidden/>
    <w:rsid w:val="00A936CB"/>
    <w:pPr>
      <w:ind w:left="566"/>
    </w:pPr>
  </w:style>
  <w:style w:type="paragraph" w:styleId="IndexHeading">
    <w:name w:val="index heading"/>
    <w:basedOn w:val="Normal"/>
    <w:next w:val="Index1"/>
    <w:semiHidden/>
    <w:rsid w:val="00A936CB"/>
  </w:style>
  <w:style w:type="paragraph" w:customStyle="1" w:styleId="Line">
    <w:name w:val="Line"/>
    <w:basedOn w:val="Normal"/>
    <w:next w:val="Normal"/>
    <w:rsid w:val="00A936CB"/>
    <w:pPr>
      <w:pBdr>
        <w:top w:val="single" w:sz="6" w:space="1" w:color="auto"/>
      </w:pBdr>
      <w:tabs>
        <w:tab w:val="clear" w:pos="794"/>
        <w:tab w:val="clear" w:pos="1191"/>
        <w:tab w:val="clear" w:pos="1588"/>
        <w:tab w:val="clear" w:pos="1985"/>
      </w:tabs>
      <w:spacing w:before="240"/>
      <w:ind w:left="3997" w:right="3997"/>
      <w:jc w:val="center"/>
    </w:pPr>
    <w:rPr>
      <w:sz w:val="20"/>
      <w:lang w:val="en-GB"/>
    </w:rPr>
  </w:style>
  <w:style w:type="paragraph" w:customStyle="1" w:styleId="toctemp">
    <w:name w:val="toctemp"/>
    <w:basedOn w:val="Normal"/>
    <w:rsid w:val="00A936CB"/>
    <w:pPr>
      <w:tabs>
        <w:tab w:val="clear" w:pos="794"/>
        <w:tab w:val="clear" w:pos="1191"/>
        <w:tab w:val="clear" w:pos="1588"/>
        <w:tab w:val="clear" w:pos="1985"/>
        <w:tab w:val="left" w:pos="2693"/>
        <w:tab w:val="left" w:leader="dot" w:pos="8789"/>
        <w:tab w:val="right" w:pos="9639"/>
      </w:tabs>
      <w:ind w:left="2693" w:right="964" w:hanging="2693"/>
    </w:pPr>
  </w:style>
  <w:style w:type="paragraph" w:customStyle="1" w:styleId="PartNo">
    <w:name w:val="Part_No"/>
    <w:basedOn w:val="Normal"/>
    <w:next w:val="Normal"/>
    <w:rsid w:val="00A936CB"/>
  </w:style>
  <w:style w:type="paragraph" w:customStyle="1" w:styleId="Partref">
    <w:name w:val="Part_ref"/>
    <w:basedOn w:val="Normal"/>
    <w:next w:val="Normal"/>
    <w:rsid w:val="00A936CB"/>
    <w:pPr>
      <w:keepNext/>
      <w:keepLines/>
      <w:spacing w:after="280"/>
      <w:jc w:val="center"/>
    </w:pPr>
  </w:style>
  <w:style w:type="paragraph" w:customStyle="1" w:styleId="Parttitle">
    <w:name w:val="Part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Questiondate">
    <w:name w:val="Question_date"/>
    <w:basedOn w:val="Recdate"/>
    <w:next w:val="Normalaftertitle"/>
    <w:rsid w:val="00A936CB"/>
  </w:style>
  <w:style w:type="paragraph" w:customStyle="1" w:styleId="QuestionNo">
    <w:name w:val="Question_No"/>
    <w:basedOn w:val="RecNo"/>
    <w:next w:val="Normal"/>
    <w:rsid w:val="00A936CB"/>
  </w:style>
  <w:style w:type="paragraph" w:customStyle="1" w:styleId="Questionref">
    <w:name w:val="Question_ref"/>
    <w:basedOn w:val="Recref"/>
    <w:next w:val="Questiondate"/>
    <w:rsid w:val="00A936CB"/>
  </w:style>
  <w:style w:type="paragraph" w:customStyle="1" w:styleId="Questiontitle">
    <w:name w:val="Question_title"/>
    <w:basedOn w:val="Normal"/>
    <w:next w:val="Questionref"/>
    <w:rsid w:val="00A936CB"/>
  </w:style>
  <w:style w:type="paragraph" w:customStyle="1" w:styleId="Reftext">
    <w:name w:val="Ref_text"/>
    <w:basedOn w:val="Normal"/>
    <w:rsid w:val="00A936CB"/>
    <w:pPr>
      <w:ind w:left="794" w:hanging="794"/>
    </w:pPr>
    <w:rPr>
      <w:sz w:val="22"/>
    </w:rPr>
  </w:style>
  <w:style w:type="paragraph" w:customStyle="1" w:styleId="Reftitle">
    <w:name w:val="Ref_title"/>
    <w:basedOn w:val="Normal"/>
    <w:next w:val="Reftext"/>
    <w:rsid w:val="00A936CB"/>
    <w:pPr>
      <w:tabs>
        <w:tab w:val="clear" w:pos="794"/>
        <w:tab w:val="clear" w:pos="1191"/>
        <w:tab w:val="clear" w:pos="1588"/>
        <w:tab w:val="clear" w:pos="1985"/>
      </w:tabs>
      <w:spacing w:before="480"/>
      <w:jc w:val="center"/>
    </w:pPr>
    <w:rPr>
      <w:b/>
      <w:sz w:val="28"/>
    </w:rPr>
  </w:style>
  <w:style w:type="paragraph" w:customStyle="1" w:styleId="Repdate">
    <w:name w:val="Rep_date"/>
    <w:basedOn w:val="Recdate"/>
    <w:next w:val="Normal"/>
    <w:rsid w:val="00A936CB"/>
  </w:style>
  <w:style w:type="paragraph" w:customStyle="1" w:styleId="RepNo">
    <w:name w:val="Rep_No"/>
    <w:basedOn w:val="RecNo"/>
    <w:next w:val="Reptitle"/>
    <w:rsid w:val="00A936CB"/>
  </w:style>
  <w:style w:type="paragraph" w:customStyle="1" w:styleId="Reptitle">
    <w:name w:val="Rep_title"/>
    <w:basedOn w:val="Rectitle"/>
    <w:next w:val="Repref"/>
    <w:rsid w:val="00A936CB"/>
  </w:style>
  <w:style w:type="paragraph" w:customStyle="1" w:styleId="Repref">
    <w:name w:val="Rep_ref"/>
    <w:basedOn w:val="Recref"/>
    <w:next w:val="Repdate"/>
    <w:rsid w:val="00A936CB"/>
  </w:style>
  <w:style w:type="paragraph" w:customStyle="1" w:styleId="Resdate">
    <w:name w:val="Res_date"/>
    <w:basedOn w:val="Recdate"/>
    <w:next w:val="Normalaftertitle"/>
    <w:rsid w:val="00A936CB"/>
  </w:style>
  <w:style w:type="paragraph" w:customStyle="1" w:styleId="ResNo">
    <w:name w:val="Res_No"/>
    <w:basedOn w:val="RecNo"/>
    <w:next w:val="Restitle"/>
    <w:rsid w:val="00A936CB"/>
  </w:style>
  <w:style w:type="paragraph" w:customStyle="1" w:styleId="Restitle">
    <w:name w:val="Res_title"/>
    <w:basedOn w:val="Normal"/>
    <w:next w:val="Resref"/>
    <w:rsid w:val="00A936CB"/>
    <w:pPr>
      <w:spacing w:before="240"/>
      <w:jc w:val="center"/>
    </w:pPr>
    <w:rPr>
      <w:b/>
      <w:sz w:val="28"/>
    </w:rPr>
  </w:style>
  <w:style w:type="paragraph" w:customStyle="1" w:styleId="Resref">
    <w:name w:val="Res_ref"/>
    <w:basedOn w:val="Recref"/>
    <w:next w:val="Resdate"/>
    <w:rsid w:val="00A936CB"/>
  </w:style>
  <w:style w:type="paragraph" w:customStyle="1" w:styleId="SectionNo">
    <w:name w:val="Section_No"/>
    <w:basedOn w:val="Normal"/>
    <w:next w:val="Normal"/>
    <w:rsid w:val="00A936CB"/>
  </w:style>
  <w:style w:type="paragraph" w:customStyle="1" w:styleId="Sectiontitle">
    <w:name w:val="Section_title"/>
    <w:basedOn w:val="Normal"/>
    <w:next w:val="Normalaftertitle"/>
    <w:rsid w:val="00A936CB"/>
    <w:pPr>
      <w:keepNext/>
      <w:keepLines/>
      <w:tabs>
        <w:tab w:val="clear" w:pos="794"/>
        <w:tab w:val="clear" w:pos="1191"/>
        <w:tab w:val="clear" w:pos="1588"/>
        <w:tab w:val="clear" w:pos="1985"/>
      </w:tabs>
      <w:spacing w:before="280" w:after="40"/>
      <w:jc w:val="center"/>
    </w:pPr>
    <w:rPr>
      <w:b/>
      <w:sz w:val="28"/>
    </w:rPr>
  </w:style>
  <w:style w:type="paragraph" w:customStyle="1" w:styleId="toc0">
    <w:name w:val="toc 0"/>
    <w:basedOn w:val="Normal"/>
    <w:next w:val="TOC1"/>
    <w:rsid w:val="00A936CB"/>
    <w:pPr>
      <w:tabs>
        <w:tab w:val="clear" w:pos="794"/>
        <w:tab w:val="clear" w:pos="1191"/>
        <w:tab w:val="clear" w:pos="1588"/>
        <w:tab w:val="clear" w:pos="1985"/>
        <w:tab w:val="right" w:pos="9611"/>
      </w:tabs>
    </w:pPr>
    <w:rPr>
      <w:i/>
    </w:rPr>
  </w:style>
  <w:style w:type="paragraph" w:styleId="TOC1">
    <w:name w:val="toc 1"/>
    <w:basedOn w:val="Normal"/>
    <w:semiHidden/>
    <w:rsid w:val="00A936CB"/>
    <w:pPr>
      <w:keepLines/>
      <w:tabs>
        <w:tab w:val="clear" w:pos="794"/>
        <w:tab w:val="clear" w:pos="1191"/>
        <w:tab w:val="clear" w:pos="1588"/>
        <w:tab w:val="clear" w:pos="1985"/>
        <w:tab w:val="left" w:pos="567"/>
        <w:tab w:val="left" w:leader="dot" w:pos="8789"/>
        <w:tab w:val="right" w:pos="9611"/>
      </w:tabs>
      <w:spacing w:before="240"/>
      <w:ind w:left="567" w:right="851" w:hanging="567"/>
    </w:pPr>
    <w:rPr>
      <w:lang w:val="en-US"/>
    </w:rPr>
  </w:style>
  <w:style w:type="paragraph" w:styleId="TOC2">
    <w:name w:val="toc 2"/>
    <w:basedOn w:val="TOC1"/>
    <w:semiHidden/>
    <w:rsid w:val="00A936CB"/>
    <w:pPr>
      <w:tabs>
        <w:tab w:val="clear" w:pos="567"/>
        <w:tab w:val="left" w:pos="1276"/>
      </w:tabs>
      <w:spacing w:before="160"/>
      <w:ind w:left="1276" w:hanging="709"/>
    </w:pPr>
  </w:style>
  <w:style w:type="paragraph" w:styleId="TOC3">
    <w:name w:val="toc 3"/>
    <w:basedOn w:val="TOC2"/>
    <w:semiHidden/>
    <w:rsid w:val="00A936CB"/>
    <w:pPr>
      <w:tabs>
        <w:tab w:val="clear" w:pos="1276"/>
        <w:tab w:val="left" w:pos="2155"/>
      </w:tabs>
      <w:ind w:left="2155" w:hanging="879"/>
    </w:pPr>
  </w:style>
  <w:style w:type="paragraph" w:styleId="TOC4">
    <w:name w:val="toc 4"/>
    <w:basedOn w:val="TOC3"/>
    <w:semiHidden/>
    <w:rsid w:val="00A936CB"/>
    <w:pPr>
      <w:tabs>
        <w:tab w:val="left" w:pos="3261"/>
      </w:tabs>
      <w:spacing w:before="80"/>
      <w:ind w:left="3261" w:hanging="993"/>
    </w:pPr>
  </w:style>
  <w:style w:type="paragraph" w:styleId="TOC5">
    <w:name w:val="toc 5"/>
    <w:basedOn w:val="TOC4"/>
    <w:semiHidden/>
    <w:rsid w:val="00A936CB"/>
  </w:style>
  <w:style w:type="paragraph" w:styleId="TOC6">
    <w:name w:val="toc 6"/>
    <w:basedOn w:val="TOC4"/>
    <w:semiHidden/>
    <w:rsid w:val="00A936CB"/>
  </w:style>
  <w:style w:type="paragraph" w:styleId="TOC7">
    <w:name w:val="toc 7"/>
    <w:basedOn w:val="TOC4"/>
    <w:semiHidden/>
    <w:rsid w:val="00A936CB"/>
  </w:style>
  <w:style w:type="paragraph" w:styleId="TOC8">
    <w:name w:val="toc 8"/>
    <w:basedOn w:val="TOC4"/>
    <w:semiHidden/>
    <w:rsid w:val="00A936CB"/>
  </w:style>
  <w:style w:type="paragraph" w:customStyle="1" w:styleId="Annexref">
    <w:name w:val="Annex_ref"/>
    <w:basedOn w:val="Normal"/>
    <w:next w:val="Normalaftertitle"/>
    <w:rsid w:val="00A936CB"/>
    <w:pPr>
      <w:keepNext/>
      <w:keepLines/>
      <w:spacing w:after="280"/>
      <w:jc w:val="center"/>
    </w:pPr>
  </w:style>
  <w:style w:type="paragraph" w:customStyle="1" w:styleId="Appendixref">
    <w:name w:val="Appendix_ref"/>
    <w:basedOn w:val="Annexref"/>
    <w:next w:val="Normalaftertitle"/>
    <w:rsid w:val="00A936CB"/>
  </w:style>
  <w:style w:type="paragraph" w:customStyle="1" w:styleId="Tabletitle">
    <w:name w:val="Table_title"/>
    <w:basedOn w:val="Normal"/>
    <w:next w:val="Tablehead"/>
    <w:rsid w:val="00A936CB"/>
    <w:pPr>
      <w:keepNext/>
      <w:spacing w:before="0" w:after="120"/>
      <w:jc w:val="center"/>
    </w:pPr>
    <w:rPr>
      <w:b/>
    </w:rPr>
  </w:style>
  <w:style w:type="paragraph" w:customStyle="1" w:styleId="Summary">
    <w:name w:val="Summary"/>
    <w:basedOn w:val="Normal"/>
    <w:next w:val="Normalaftertitle"/>
    <w:autoRedefine/>
    <w:qFormat/>
    <w:rsid w:val="00A936CB"/>
    <w:pPr>
      <w:spacing w:after="480"/>
    </w:pPr>
    <w:rPr>
      <w:lang w:val="es-ES_tradnl"/>
    </w:rPr>
  </w:style>
  <w:style w:type="character" w:styleId="Hyperlink">
    <w:name w:val="Hyperlink"/>
    <w:aliases w:val="CEO_Hyperlink"/>
    <w:basedOn w:val="DefaultParagraphFont"/>
    <w:rsid w:val="00934ED7"/>
    <w:rPr>
      <w:color w:val="0000FF"/>
      <w:u w:val="single"/>
    </w:rPr>
  </w:style>
  <w:style w:type="paragraph" w:customStyle="1" w:styleId="TableLegendNote">
    <w:name w:val="Table_Legend_Note"/>
    <w:basedOn w:val="Tablelegend"/>
    <w:next w:val="Tablelegend"/>
    <w:rsid w:val="00A936CB"/>
    <w:pPr>
      <w:ind w:left="-85" w:firstLine="0"/>
    </w:pPr>
    <w:rPr>
      <w:lang w:val="en-US"/>
    </w:rPr>
  </w:style>
  <w:style w:type="character" w:customStyle="1" w:styleId="HeaderChar">
    <w:name w:val="Header Char"/>
    <w:basedOn w:val="DefaultParagraphFont"/>
    <w:link w:val="Header"/>
    <w:uiPriority w:val="99"/>
    <w:rsid w:val="00EE47C4"/>
    <w:rPr>
      <w:sz w:val="24"/>
      <w:lang w:val="fr-FR" w:eastAsia="en-US"/>
    </w:rPr>
  </w:style>
  <w:style w:type="table" w:styleId="TableGrid">
    <w:name w:val="Table Grid"/>
    <w:basedOn w:val="TableNormal"/>
    <w:uiPriority w:val="39"/>
    <w:rsid w:val="00EE47C4"/>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083A"/>
    <w:rPr>
      <w:color w:val="605E5C"/>
      <w:shd w:val="clear" w:color="auto" w:fill="E1DFDD"/>
    </w:rPr>
  </w:style>
  <w:style w:type="paragraph" w:customStyle="1" w:styleId="CoverNumber">
    <w:name w:val="Cover Number"/>
    <w:basedOn w:val="Normal"/>
    <w:qFormat/>
    <w:rsid w:val="00B42334"/>
    <w:pPr>
      <w:widowControl w:val="0"/>
      <w:tabs>
        <w:tab w:val="clear" w:pos="794"/>
        <w:tab w:val="clear" w:pos="1191"/>
        <w:tab w:val="clear" w:pos="1588"/>
        <w:tab w:val="clear" w:pos="1985"/>
      </w:tabs>
      <w:overflowPunct/>
      <w:adjustRightInd/>
      <w:spacing w:before="93"/>
      <w:ind w:left="284"/>
      <w:jc w:val="left"/>
      <w:textAlignment w:val="auto"/>
      <w:outlineLvl w:val="0"/>
    </w:pPr>
    <w:rPr>
      <w:rFonts w:ascii="Arial" w:eastAsia="AvenirNext LT Pro Medium" w:hAnsi="Arial" w:cs="AvenirNext LT Pro Medium"/>
      <w:b/>
      <w:bCs/>
      <w:spacing w:val="-10"/>
      <w:sz w:val="44"/>
      <w:szCs w:val="52"/>
      <w:lang w:val="en-US"/>
    </w:rPr>
  </w:style>
  <w:style w:type="paragraph" w:customStyle="1" w:styleId="CoverDate">
    <w:name w:val="Cover Date"/>
    <w:basedOn w:val="Normal"/>
    <w:qFormat/>
    <w:rsid w:val="00260B24"/>
    <w:pPr>
      <w:widowControl w:val="0"/>
      <w:tabs>
        <w:tab w:val="clear" w:pos="794"/>
        <w:tab w:val="clear" w:pos="1191"/>
        <w:tab w:val="clear" w:pos="1588"/>
        <w:tab w:val="clear" w:pos="1985"/>
      </w:tabs>
      <w:overflowPunct/>
      <w:adjustRightInd/>
      <w:spacing w:before="126"/>
      <w:ind w:left="284"/>
      <w:jc w:val="left"/>
      <w:textAlignment w:val="auto"/>
    </w:pPr>
    <w:rPr>
      <w:rFonts w:ascii="Arial" w:eastAsia="AvenirNext LT Pro Regular" w:hAnsi="Arial" w:cs="AvenirNext LT Pro Regular"/>
      <w:b/>
      <w:spacing w:val="-2"/>
      <w:sz w:val="36"/>
      <w:szCs w:val="22"/>
      <w:lang w:val="en-US"/>
    </w:rPr>
  </w:style>
  <w:style w:type="paragraph" w:customStyle="1" w:styleId="CoverSeries">
    <w:name w:val="Cover Series"/>
    <w:basedOn w:val="Normal"/>
    <w:qFormat/>
    <w:rsid w:val="00B42334"/>
    <w:pPr>
      <w:widowControl w:val="0"/>
      <w:tabs>
        <w:tab w:val="clear" w:pos="794"/>
        <w:tab w:val="clear" w:pos="1191"/>
        <w:tab w:val="clear" w:pos="1588"/>
        <w:tab w:val="clear" w:pos="1985"/>
      </w:tabs>
      <w:overflowPunct/>
      <w:adjustRightInd/>
      <w:spacing w:before="241" w:line="244" w:lineRule="auto"/>
      <w:ind w:left="284"/>
      <w:jc w:val="left"/>
      <w:textAlignment w:val="auto"/>
    </w:pPr>
    <w:rPr>
      <w:rFonts w:ascii="Arial" w:eastAsia="AvenirNext LT Pro Regular" w:hAnsi="Arial" w:cs="AvenirNext LT Pro Regular"/>
      <w:bCs/>
      <w:color w:val="1A1A1A"/>
      <w:spacing w:val="-4"/>
      <w:sz w:val="40"/>
      <w:szCs w:val="48"/>
      <w:lang w:val="en-US"/>
    </w:rPr>
  </w:style>
  <w:style w:type="paragraph" w:customStyle="1" w:styleId="CoverTitle">
    <w:name w:val="Cover Title"/>
    <w:basedOn w:val="Normal"/>
    <w:qFormat/>
    <w:rsid w:val="00B42334"/>
    <w:pPr>
      <w:widowControl w:val="0"/>
      <w:tabs>
        <w:tab w:val="clear" w:pos="794"/>
        <w:tab w:val="clear" w:pos="1191"/>
        <w:tab w:val="clear" w:pos="1588"/>
        <w:tab w:val="clear" w:pos="1985"/>
      </w:tabs>
      <w:overflowPunct/>
      <w:adjustRightInd/>
      <w:spacing w:before="338" w:line="244" w:lineRule="auto"/>
      <w:ind w:left="284" w:right="1002"/>
      <w:jc w:val="left"/>
      <w:textAlignment w:val="auto"/>
    </w:pPr>
    <w:rPr>
      <w:rFonts w:ascii="Arial" w:eastAsia="AvenirNext LT Pro Regular" w:hAnsi="Arial" w:cs="AvenirNext LT Pro Regular"/>
      <w:b/>
      <w:bCs/>
      <w:sz w:val="44"/>
      <w:szCs w:val="48"/>
      <w:lang w:val="en-US"/>
    </w:rPr>
  </w:style>
  <w:style w:type="character" w:customStyle="1" w:styleId="TableheadChar">
    <w:name w:val="Table_head Char"/>
    <w:basedOn w:val="DefaultParagraphFont"/>
    <w:link w:val="Tablehead"/>
    <w:uiPriority w:val="99"/>
    <w:qFormat/>
    <w:locked/>
    <w:rsid w:val="00A74B43"/>
    <w:rPr>
      <w:b/>
      <w:sz w:val="22"/>
      <w:lang w:val="fr-FR" w:eastAsia="en-US"/>
    </w:rPr>
  </w:style>
  <w:style w:type="character" w:customStyle="1" w:styleId="TabletextChar">
    <w:name w:val="Table_text Char"/>
    <w:basedOn w:val="DefaultParagraphFont"/>
    <w:link w:val="Tabletext"/>
    <w:qFormat/>
    <w:locked/>
    <w:rsid w:val="00A74B43"/>
    <w:rPr>
      <w:sz w:val="22"/>
      <w:lang w:val="fr-FR" w:eastAsia="en-US"/>
    </w:rPr>
  </w:style>
  <w:style w:type="character" w:customStyle="1" w:styleId="FootnoteTextChar">
    <w:name w:val="Footnote Text Char"/>
    <w:basedOn w:val="DefaultParagraphFont"/>
    <w:link w:val="FootnoteText"/>
    <w:rsid w:val="00534C73"/>
    <w:rPr>
      <w:sz w:val="22"/>
      <w:lang w:val="fr-FR" w:eastAsia="en-US"/>
    </w:rPr>
  </w:style>
  <w:style w:type="character" w:customStyle="1" w:styleId="HeadingbChar">
    <w:name w:val="Heading_b Char"/>
    <w:link w:val="Headingb"/>
    <w:locked/>
    <w:rsid w:val="00534C73"/>
    <w:rPr>
      <w:b/>
      <w:sz w:val="24"/>
      <w:lang w:val="fr-FR" w:eastAsia="en-US"/>
    </w:rPr>
  </w:style>
  <w:style w:type="character" w:customStyle="1" w:styleId="NormalaftertitleChar">
    <w:name w:val="Normal_after_title Char"/>
    <w:basedOn w:val="DefaultParagraphFont"/>
    <w:link w:val="Normalaftertitle"/>
    <w:rsid w:val="00534C73"/>
    <w:rPr>
      <w:sz w:val="24"/>
      <w:lang w:val="fr-FR" w:eastAsia="en-US"/>
    </w:rPr>
  </w:style>
  <w:style w:type="character" w:customStyle="1" w:styleId="apple-converted-space">
    <w:name w:val="apple-converted-space"/>
    <w:basedOn w:val="DefaultParagraphFont"/>
    <w:rsid w:val="00534C73"/>
  </w:style>
  <w:style w:type="character" w:customStyle="1" w:styleId="CallChar">
    <w:name w:val="Call Char"/>
    <w:link w:val="Call"/>
    <w:rsid w:val="00534C73"/>
    <w:rPr>
      <w:i/>
      <w:sz w:val="24"/>
      <w:lang w:val="fr-FR" w:eastAsia="en-US"/>
    </w:rPr>
  </w:style>
  <w:style w:type="paragraph" w:customStyle="1" w:styleId="Reasons">
    <w:name w:val="Reasons"/>
    <w:basedOn w:val="Normal"/>
    <w:qFormat/>
    <w:rsid w:val="00DF6D02"/>
    <w:pPr>
      <w:tabs>
        <w:tab w:val="clear" w:pos="794"/>
        <w:tab w:val="clear" w:pos="1191"/>
        <w:tab w:val="left" w:pos="1134"/>
      </w:tabs>
      <w:spacing w:after="120" w:line="280" w:lineRule="exact"/>
      <w:jc w:val="left"/>
    </w:pPr>
    <w:rPr>
      <w:sz w:val="21"/>
      <w:szCs w:val="10"/>
      <w:lang w:val="en-US" w:eastAsia="zh-CN"/>
    </w:rPr>
  </w:style>
  <w:style w:type="character" w:customStyle="1" w:styleId="enumlev1Char">
    <w:name w:val="enumlev1 Char"/>
    <w:basedOn w:val="DefaultParagraphFont"/>
    <w:link w:val="enumlev1"/>
    <w:locked/>
    <w:rsid w:val="00DF6D02"/>
    <w:rPr>
      <w:sz w:val="24"/>
      <w:lang w:val="fr-FR" w:eastAsia="en-US"/>
    </w:rPr>
  </w:style>
  <w:style w:type="character" w:customStyle="1" w:styleId="RectitleChar">
    <w:name w:val="Rec_title Char"/>
    <w:link w:val="Rectitle"/>
    <w:locked/>
    <w:rsid w:val="00DF6D02"/>
    <w:rPr>
      <w:b/>
      <w:sz w:val="28"/>
      <w:lang w:val="fr-FR" w:eastAsia="en-US"/>
    </w:rPr>
  </w:style>
  <w:style w:type="paragraph" w:styleId="ListParagraph">
    <w:name w:val="List Paragraph"/>
    <w:basedOn w:val="Normal"/>
    <w:uiPriority w:val="34"/>
    <w:qFormat/>
    <w:rsid w:val="00DF6D02"/>
    <w:pPr>
      <w:tabs>
        <w:tab w:val="clear" w:pos="794"/>
        <w:tab w:val="clear" w:pos="1191"/>
        <w:tab w:val="clear" w:pos="1588"/>
        <w:tab w:val="clear" w:pos="1985"/>
        <w:tab w:val="left" w:pos="1134"/>
        <w:tab w:val="left" w:pos="1871"/>
        <w:tab w:val="left" w:pos="2268"/>
      </w:tabs>
      <w:spacing w:after="120" w:line="280" w:lineRule="exact"/>
      <w:ind w:left="720"/>
      <w:contextualSpacing/>
      <w:jc w:val="left"/>
    </w:pPr>
    <w:rPr>
      <w:sz w:val="21"/>
      <w:szCs w:val="1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25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publ/R-REC/z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ITU-R/go/patents/z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jia\Desktop\2023-ITU-R-REC-BT-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7CD7A-DA3F-4BDC-A3B9-CE79B7591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2023-ITU-R-REC-BT-C.dotx</Template>
  <TotalTime>26</TotalTime>
  <Pages>4</Pages>
  <Words>1525</Words>
  <Characters>474</Characters>
  <Application>Microsoft Office Word</Application>
  <DocSecurity>0</DocSecurity>
  <Lines>3</Lines>
  <Paragraphs>3</Paragraphs>
  <ScaleCrop>false</ScaleCrop>
  <HeadingPairs>
    <vt:vector size="2" baseType="variant">
      <vt:variant>
        <vt:lpstr>Title</vt:lpstr>
      </vt:variant>
      <vt:variant>
        <vt:i4>1</vt:i4>
      </vt:variant>
    </vt:vector>
  </HeadingPairs>
  <TitlesOfParts>
    <vt:vector size="1" baseType="lpstr">
      <vt:lpstr>ITU-R BT.1666-1(02/2025)建议书 用户对在影院级环境下播放的电视应用的要求</vt:lpstr>
    </vt:vector>
  </TitlesOfParts>
  <Manager/>
  <Company>ITU</Company>
  <LinksUpToDate>false</LinksUpToDate>
  <CharactersWithSpaces>1996</CharactersWithSpaces>
  <SharedDoc>false</SharedDoc>
  <HLinks>
    <vt:vector size="12" baseType="variant">
      <vt:variant>
        <vt:i4>1966164</vt:i4>
      </vt:variant>
      <vt:variant>
        <vt:i4>3</vt:i4>
      </vt:variant>
      <vt:variant>
        <vt:i4>0</vt:i4>
      </vt:variant>
      <vt:variant>
        <vt:i4>5</vt:i4>
      </vt:variant>
      <vt:variant>
        <vt:lpwstr>http://www.itu.int/publ/R-REC/en</vt:lpwstr>
      </vt:variant>
      <vt:variant>
        <vt:lpwstr/>
      </vt:variant>
      <vt:variant>
        <vt:i4>3997742</vt:i4>
      </vt:variant>
      <vt:variant>
        <vt:i4>0</vt:i4>
      </vt:variant>
      <vt:variant>
        <vt:i4>0</vt:i4>
      </vt:variant>
      <vt:variant>
        <vt:i4>5</vt:i4>
      </vt:variant>
      <vt:variant>
        <vt:lpwstr>http://www.itu.int/ITU-R/go/patents/en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ITU-R BT.1666-1(02/2025)建议书 用户对在影院级环境下播放的电视应用的要求</dc:title>
  <dc:subject>BT系列：广播业务（电视）</dc:subject>
  <dc:creator>ITU</dc:creator>
  <cp:keywords>BT.1666-1</cp:keywords>
  <dc:description/>
  <cp:lastModifiedBy>Liu, Sanping</cp:lastModifiedBy>
  <cp:revision>7</cp:revision>
  <cp:lastPrinted>2025-04-29T07:11:00Z</cp:lastPrinted>
  <dcterms:created xsi:type="dcterms:W3CDTF">2025-04-28T14:04:00Z</dcterms:created>
  <dcterms:modified xsi:type="dcterms:W3CDTF">2025-04-29T07:24:00Z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Rec. </vt:lpwstr>
  </property>
  <property fmtid="{D5CDD505-2E9C-101B-9397-08002B2CF9AE}" pid="3" name="Header 1">
    <vt:lpwstr>Rap. </vt:lpwstr>
  </property>
  <property fmtid="{D5CDD505-2E9C-101B-9397-08002B2CF9AE}" pid="4" name="Header 2">
    <vt:lpwstr>Rep. </vt:lpwstr>
  </property>
  <property fmtid="{D5CDD505-2E9C-101B-9397-08002B2CF9AE}" pid="5" name="Header 3">
    <vt:lpwstr>I. </vt:lpwstr>
  </property>
  <property fmtid="{D5CDD505-2E9C-101B-9397-08002B2CF9AE}" pid="6" name="Header 4">
    <vt:lpwstr>Op. </vt:lpwstr>
  </property>
  <property fmtid="{D5CDD505-2E9C-101B-9397-08002B2CF9AE}" pid="7" name="Header 5">
    <vt:lpwstr>V. </vt:lpwstr>
  </property>
  <property fmtid="{D5CDD505-2E9C-101B-9397-08002B2CF9AE}" pid="8" name="Header 6">
    <vt:lpwstr>Ru. </vt:lpwstr>
  </property>
</Properties>
</file>