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0F15D3" w:rsidRDefault="00227CED" w:rsidP="000F15D3">
      <w:pPr>
        <w:rPr>
          <w:lang w:val="es-ES_tradnl"/>
        </w:rPr>
      </w:pPr>
      <w:bookmarkStart w:id="0" w:name="dbreak"/>
      <w:bookmarkEnd w:id="0"/>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p w:rsidR="00227CED" w:rsidRPr="000F15D3" w:rsidRDefault="00227CED" w:rsidP="000F15D3">
      <w:pPr>
        <w:rPr>
          <w:lang w:val="es-ES_tradnl"/>
        </w:rPr>
      </w:pPr>
    </w:p>
    <w:tbl>
      <w:tblPr>
        <w:tblW w:w="10089" w:type="dxa"/>
        <w:tblLook w:val="01E0"/>
      </w:tblPr>
      <w:tblGrid>
        <w:gridCol w:w="10089"/>
      </w:tblGrid>
      <w:tr w:rsidR="00227CED" w:rsidRPr="000F15D3" w:rsidTr="009E1F8B">
        <w:tc>
          <w:tcPr>
            <w:tcW w:w="10089" w:type="dxa"/>
          </w:tcPr>
          <w:p w:rsidR="00227CED" w:rsidRPr="000F15D3" w:rsidRDefault="00227CED" w:rsidP="000F15D3">
            <w:pPr>
              <w:spacing w:before="380" w:line="280" w:lineRule="exact"/>
              <w:jc w:val="right"/>
              <w:rPr>
                <w:rFonts w:ascii="Tahoma" w:hAnsi="Tahoma" w:cs="Tahoma"/>
                <w:b/>
                <w:bCs/>
                <w:iCs/>
                <w:color w:val="243285"/>
                <w:sz w:val="32"/>
                <w:szCs w:val="32"/>
                <w:lang w:val="es-ES_tradnl"/>
              </w:rPr>
            </w:pPr>
          </w:p>
          <w:p w:rsidR="00227CED" w:rsidRPr="000F15D3" w:rsidRDefault="00227CED" w:rsidP="000F15D3">
            <w:pPr>
              <w:spacing w:before="380" w:line="280" w:lineRule="exact"/>
              <w:jc w:val="right"/>
              <w:rPr>
                <w:rFonts w:ascii="Tahoma" w:hAnsi="Tahoma" w:cs="Tahoma"/>
                <w:b/>
                <w:bCs/>
                <w:iCs/>
                <w:color w:val="243285"/>
                <w:sz w:val="36"/>
                <w:szCs w:val="36"/>
                <w:lang w:val="es-ES_tradnl"/>
              </w:rPr>
            </w:pPr>
            <w:r w:rsidRPr="000F15D3">
              <w:rPr>
                <w:rFonts w:ascii="Tahoma" w:hAnsi="Tahoma" w:cs="Tahoma"/>
                <w:b/>
                <w:bCs/>
                <w:iCs/>
                <w:color w:val="243285"/>
                <w:sz w:val="36"/>
                <w:szCs w:val="36"/>
                <w:lang w:val="es-ES_tradnl"/>
              </w:rPr>
              <w:t>Recomendación  UIT-R  B</w:t>
            </w:r>
            <w:r w:rsidR="009E1F8B" w:rsidRPr="000F15D3">
              <w:rPr>
                <w:rFonts w:ascii="Tahoma" w:hAnsi="Tahoma" w:cs="Tahoma"/>
                <w:b/>
                <w:bCs/>
                <w:iCs/>
                <w:color w:val="243285"/>
                <w:sz w:val="36"/>
                <w:szCs w:val="36"/>
                <w:lang w:val="es-ES_tradnl"/>
              </w:rPr>
              <w:t>T</w:t>
            </w:r>
            <w:r w:rsidRPr="000F15D3">
              <w:rPr>
                <w:rFonts w:ascii="Tahoma" w:hAnsi="Tahoma" w:cs="Tahoma"/>
                <w:b/>
                <w:bCs/>
                <w:iCs/>
                <w:color w:val="243285"/>
                <w:sz w:val="36"/>
                <w:szCs w:val="36"/>
                <w:lang w:val="es-ES_tradnl"/>
              </w:rPr>
              <w:t>.</w:t>
            </w:r>
            <w:r w:rsidR="000A0530" w:rsidRPr="000F15D3">
              <w:rPr>
                <w:rFonts w:ascii="Tahoma" w:hAnsi="Tahoma" w:cs="Tahoma"/>
                <w:b/>
                <w:bCs/>
                <w:iCs/>
                <w:color w:val="243285"/>
                <w:sz w:val="36"/>
                <w:szCs w:val="36"/>
                <w:lang w:val="es-ES_tradnl"/>
              </w:rPr>
              <w:t>1562</w:t>
            </w:r>
          </w:p>
          <w:p w:rsidR="00227CED" w:rsidRPr="000F15D3" w:rsidRDefault="00227CED" w:rsidP="000F15D3">
            <w:pPr>
              <w:spacing w:before="80" w:line="280" w:lineRule="exact"/>
              <w:jc w:val="right"/>
              <w:rPr>
                <w:rFonts w:ascii="Tahoma" w:hAnsi="Tahoma" w:cs="Tahoma"/>
                <w:b/>
                <w:bCs/>
                <w:iCs/>
                <w:color w:val="243285"/>
                <w:szCs w:val="24"/>
                <w:lang w:val="es-ES_tradnl"/>
              </w:rPr>
            </w:pPr>
            <w:r w:rsidRPr="000F15D3">
              <w:rPr>
                <w:rFonts w:ascii="Tahoma" w:hAnsi="Tahoma" w:cs="Tahoma"/>
                <w:b/>
                <w:bCs/>
                <w:iCs/>
                <w:color w:val="243285"/>
                <w:szCs w:val="24"/>
                <w:lang w:val="es-ES_tradnl"/>
              </w:rPr>
              <w:t>(</w:t>
            </w:r>
            <w:r w:rsidR="009E1F8B" w:rsidRPr="000F15D3">
              <w:rPr>
                <w:rFonts w:ascii="Tahoma" w:hAnsi="Tahoma" w:cs="Tahoma"/>
                <w:b/>
                <w:bCs/>
                <w:iCs/>
                <w:color w:val="243285"/>
                <w:szCs w:val="24"/>
                <w:lang w:val="es-ES_tradnl"/>
              </w:rPr>
              <w:t>0</w:t>
            </w:r>
            <w:r w:rsidR="000A0530" w:rsidRPr="000F15D3">
              <w:rPr>
                <w:rFonts w:ascii="Tahoma" w:hAnsi="Tahoma" w:cs="Tahoma"/>
                <w:b/>
                <w:bCs/>
                <w:iCs/>
                <w:color w:val="243285"/>
                <w:szCs w:val="24"/>
                <w:lang w:val="es-ES_tradnl"/>
              </w:rPr>
              <w:t>4</w:t>
            </w:r>
            <w:r w:rsidRPr="000F15D3">
              <w:rPr>
                <w:rFonts w:ascii="Tahoma" w:hAnsi="Tahoma" w:cs="Tahoma"/>
                <w:b/>
                <w:bCs/>
                <w:iCs/>
                <w:color w:val="243285"/>
                <w:szCs w:val="24"/>
                <w:lang w:val="es-ES_tradnl"/>
              </w:rPr>
              <w:t>/</w:t>
            </w:r>
            <w:r w:rsidR="000A0530" w:rsidRPr="000F15D3">
              <w:rPr>
                <w:rFonts w:ascii="Tahoma" w:hAnsi="Tahoma" w:cs="Tahoma"/>
                <w:b/>
                <w:bCs/>
                <w:iCs/>
                <w:color w:val="243285"/>
                <w:szCs w:val="24"/>
                <w:lang w:val="es-ES_tradnl"/>
              </w:rPr>
              <w:t>2002</w:t>
            </w:r>
            <w:r w:rsidRPr="000F15D3">
              <w:rPr>
                <w:rFonts w:ascii="Tahoma" w:hAnsi="Tahoma" w:cs="Tahoma"/>
                <w:b/>
                <w:bCs/>
                <w:iCs/>
                <w:color w:val="243285"/>
                <w:szCs w:val="24"/>
                <w:lang w:val="es-ES_tradnl"/>
              </w:rPr>
              <w:t>)</w:t>
            </w:r>
          </w:p>
        </w:tc>
      </w:tr>
      <w:tr w:rsidR="00227CED" w:rsidRPr="000F15D3" w:rsidTr="009E1F8B">
        <w:tc>
          <w:tcPr>
            <w:tcW w:w="10089" w:type="dxa"/>
          </w:tcPr>
          <w:p w:rsidR="00227CED" w:rsidRPr="000F15D3" w:rsidRDefault="00227CED" w:rsidP="000F15D3">
            <w:pPr>
              <w:spacing w:before="80" w:line="500" w:lineRule="exact"/>
              <w:jc w:val="right"/>
              <w:rPr>
                <w:rFonts w:ascii="Tahoma" w:hAnsi="Tahoma" w:cs="Tahoma"/>
                <w:b/>
                <w:bCs/>
                <w:iCs/>
                <w:color w:val="243285"/>
                <w:sz w:val="44"/>
                <w:szCs w:val="44"/>
                <w:lang w:val="es-ES_tradnl"/>
              </w:rPr>
            </w:pPr>
          </w:p>
          <w:p w:rsidR="00227CED" w:rsidRPr="000F15D3" w:rsidRDefault="000A0530" w:rsidP="000F15D3">
            <w:pPr>
              <w:spacing w:before="80" w:line="500" w:lineRule="exact"/>
              <w:jc w:val="right"/>
              <w:rPr>
                <w:rFonts w:ascii="Tahoma" w:hAnsi="Tahoma" w:cs="Tahoma"/>
                <w:b/>
                <w:bCs/>
                <w:color w:val="243285"/>
                <w:sz w:val="44"/>
                <w:szCs w:val="44"/>
                <w:lang w:val="es-ES_tradnl"/>
              </w:rPr>
            </w:pPr>
            <w:r w:rsidRPr="000F15D3">
              <w:rPr>
                <w:rFonts w:ascii="Tahoma" w:hAnsi="Tahoma" w:cs="Tahoma"/>
                <w:b/>
                <w:bCs/>
                <w:color w:val="243285"/>
                <w:sz w:val="44"/>
                <w:szCs w:val="44"/>
                <w:lang w:val="es-ES_tradnl"/>
              </w:rPr>
              <w:t>Coherencia en el ajuste de las pantallas</w:t>
            </w:r>
            <w:r w:rsidR="00216094" w:rsidRPr="000F15D3">
              <w:rPr>
                <w:rFonts w:ascii="Tahoma" w:hAnsi="Tahoma" w:cs="Tahoma"/>
                <w:b/>
                <w:bCs/>
                <w:color w:val="243285"/>
                <w:sz w:val="44"/>
                <w:szCs w:val="44"/>
                <w:lang w:val="es-ES_tradnl"/>
              </w:rPr>
              <w:br/>
            </w:r>
            <w:r w:rsidRPr="000F15D3">
              <w:rPr>
                <w:rFonts w:ascii="Tahoma" w:hAnsi="Tahoma" w:cs="Tahoma"/>
                <w:b/>
                <w:bCs/>
                <w:color w:val="243285"/>
                <w:sz w:val="44"/>
                <w:szCs w:val="44"/>
                <w:lang w:val="es-ES_tradnl"/>
              </w:rPr>
              <w:t>en las salas de producción</w:t>
            </w:r>
            <w:r w:rsidR="00216094" w:rsidRPr="000F15D3">
              <w:rPr>
                <w:rFonts w:ascii="Tahoma" w:hAnsi="Tahoma" w:cs="Tahoma"/>
                <w:b/>
                <w:bCs/>
                <w:color w:val="243285"/>
                <w:sz w:val="44"/>
                <w:szCs w:val="44"/>
                <w:lang w:val="es-ES_tradnl"/>
              </w:rPr>
              <w:br/>
            </w:r>
            <w:r w:rsidRPr="000F15D3">
              <w:rPr>
                <w:rFonts w:ascii="Tahoma" w:hAnsi="Tahoma" w:cs="Tahoma"/>
                <w:b/>
                <w:bCs/>
                <w:color w:val="243285"/>
                <w:sz w:val="44"/>
                <w:szCs w:val="44"/>
                <w:lang w:val="es-ES_tradnl"/>
              </w:rPr>
              <w:t>y salas de control</w:t>
            </w:r>
          </w:p>
          <w:p w:rsidR="00227CED" w:rsidRPr="000F15D3" w:rsidRDefault="00227CED" w:rsidP="000F15D3">
            <w:pPr>
              <w:spacing w:before="80" w:line="500" w:lineRule="exact"/>
              <w:jc w:val="right"/>
              <w:rPr>
                <w:rFonts w:ascii="Tahoma" w:hAnsi="Tahoma" w:cs="Tahoma"/>
                <w:b/>
                <w:bCs/>
                <w:iCs/>
                <w:color w:val="243285"/>
                <w:sz w:val="44"/>
                <w:szCs w:val="44"/>
                <w:lang w:val="es-ES_tradnl"/>
              </w:rPr>
            </w:pPr>
          </w:p>
        </w:tc>
      </w:tr>
      <w:tr w:rsidR="00227CED" w:rsidRPr="000F15D3" w:rsidTr="009E1F8B">
        <w:tc>
          <w:tcPr>
            <w:tcW w:w="10089" w:type="dxa"/>
          </w:tcPr>
          <w:p w:rsidR="00227CED" w:rsidRPr="000F15D3" w:rsidRDefault="00227CED" w:rsidP="000F15D3">
            <w:pPr>
              <w:spacing w:before="80" w:line="280" w:lineRule="exact"/>
              <w:ind w:right="640"/>
              <w:rPr>
                <w:rFonts w:ascii="Tahoma" w:hAnsi="Tahoma" w:cs="Tahoma"/>
                <w:b/>
                <w:bCs/>
                <w:iCs/>
                <w:color w:val="243285"/>
                <w:sz w:val="32"/>
                <w:szCs w:val="32"/>
                <w:lang w:val="es-ES_tradnl"/>
              </w:rPr>
            </w:pPr>
          </w:p>
          <w:p w:rsidR="00227CED" w:rsidRPr="000F15D3" w:rsidRDefault="00227CED" w:rsidP="000F15D3">
            <w:pPr>
              <w:spacing w:before="80" w:line="280" w:lineRule="exact"/>
              <w:ind w:right="640"/>
              <w:rPr>
                <w:rFonts w:ascii="Tahoma" w:hAnsi="Tahoma" w:cs="Tahoma"/>
                <w:b/>
                <w:bCs/>
                <w:iCs/>
                <w:color w:val="243285"/>
                <w:sz w:val="32"/>
                <w:szCs w:val="32"/>
                <w:lang w:val="es-ES_tradnl"/>
              </w:rPr>
            </w:pPr>
          </w:p>
          <w:p w:rsidR="00227CED" w:rsidRPr="000F15D3" w:rsidRDefault="00227CED" w:rsidP="000F15D3">
            <w:pPr>
              <w:spacing w:before="80" w:after="180" w:line="360" w:lineRule="exact"/>
              <w:ind w:right="720"/>
              <w:rPr>
                <w:rFonts w:ascii="Tahoma" w:hAnsi="Tahoma" w:cs="Tahoma"/>
                <w:b/>
                <w:bCs/>
                <w:iCs/>
                <w:color w:val="243285"/>
                <w:sz w:val="36"/>
                <w:szCs w:val="36"/>
                <w:lang w:val="es-ES_tradnl"/>
              </w:rPr>
            </w:pPr>
          </w:p>
          <w:p w:rsidR="00227CED" w:rsidRPr="000F15D3" w:rsidRDefault="00227CED" w:rsidP="000F15D3">
            <w:pPr>
              <w:spacing w:before="80" w:after="180" w:line="360" w:lineRule="exact"/>
              <w:jc w:val="right"/>
              <w:rPr>
                <w:rFonts w:ascii="Tahoma" w:hAnsi="Tahoma" w:cs="Tahoma"/>
                <w:b/>
                <w:bCs/>
                <w:iCs/>
                <w:color w:val="243285"/>
                <w:sz w:val="36"/>
                <w:szCs w:val="36"/>
                <w:lang w:val="es-ES_tradnl"/>
              </w:rPr>
            </w:pPr>
            <w:r w:rsidRPr="000F15D3">
              <w:rPr>
                <w:rFonts w:ascii="Tahoma" w:hAnsi="Tahoma" w:cs="Tahoma"/>
                <w:b/>
                <w:bCs/>
                <w:iCs/>
                <w:color w:val="243285"/>
                <w:sz w:val="36"/>
                <w:szCs w:val="36"/>
                <w:lang w:val="es-ES_tradnl"/>
              </w:rPr>
              <w:t>Serie B</w:t>
            </w:r>
            <w:r w:rsidR="009E1F8B" w:rsidRPr="000F15D3">
              <w:rPr>
                <w:rFonts w:ascii="Tahoma" w:hAnsi="Tahoma" w:cs="Tahoma"/>
                <w:b/>
                <w:bCs/>
                <w:iCs/>
                <w:color w:val="243285"/>
                <w:sz w:val="36"/>
                <w:szCs w:val="36"/>
                <w:lang w:val="es-ES_tradnl"/>
              </w:rPr>
              <w:t>T</w:t>
            </w:r>
          </w:p>
          <w:p w:rsidR="00227CED" w:rsidRPr="000F15D3" w:rsidRDefault="009E1F8B" w:rsidP="000F15D3">
            <w:pPr>
              <w:spacing w:before="80" w:line="420" w:lineRule="exact"/>
              <w:jc w:val="right"/>
              <w:rPr>
                <w:rFonts w:ascii="Tahoma" w:hAnsi="Tahoma" w:cs="Tahoma"/>
                <w:b/>
                <w:bCs/>
                <w:iCs/>
                <w:color w:val="243285"/>
                <w:sz w:val="36"/>
                <w:szCs w:val="36"/>
                <w:lang w:val="es-ES_tradnl"/>
              </w:rPr>
            </w:pPr>
            <w:r w:rsidRPr="000F15D3">
              <w:rPr>
                <w:rFonts w:ascii="Tahoma" w:hAnsi="Tahoma" w:cs="Tahoma"/>
                <w:b/>
                <w:bCs/>
                <w:color w:val="000080"/>
                <w:sz w:val="36"/>
                <w:szCs w:val="36"/>
                <w:lang w:val="es-ES_tradnl"/>
              </w:rPr>
              <w:t>Servicio de radiodifusión (televisión)</w:t>
            </w:r>
          </w:p>
        </w:tc>
      </w:tr>
    </w:tbl>
    <w:p w:rsidR="00227CED" w:rsidRPr="000F15D3" w:rsidRDefault="00227CED" w:rsidP="000F15D3">
      <w:pPr>
        <w:spacing w:before="80"/>
        <w:rPr>
          <w:i/>
          <w:sz w:val="22"/>
          <w:lang w:val="es-ES_tradnl"/>
        </w:rPr>
      </w:pPr>
    </w:p>
    <w:p w:rsidR="00227CED" w:rsidRPr="000F15D3" w:rsidRDefault="00227CED" w:rsidP="000F15D3">
      <w:pPr>
        <w:spacing w:before="80"/>
        <w:rPr>
          <w:i/>
          <w:sz w:val="22"/>
          <w:lang w:val="es-ES_tradnl"/>
        </w:rPr>
      </w:pPr>
    </w:p>
    <w:p w:rsidR="00227CED" w:rsidRPr="000F15D3" w:rsidRDefault="00227CED" w:rsidP="000F15D3">
      <w:pPr>
        <w:spacing w:before="80"/>
        <w:rPr>
          <w:i/>
          <w:sz w:val="22"/>
          <w:lang w:val="es-ES_tradnl"/>
        </w:rPr>
      </w:pPr>
    </w:p>
    <w:p w:rsidR="00227CED" w:rsidRPr="000F15D3" w:rsidRDefault="00227CED" w:rsidP="000F15D3">
      <w:pPr>
        <w:spacing w:before="80"/>
        <w:rPr>
          <w:i/>
          <w:sz w:val="22"/>
          <w:lang w:val="es-ES_tradnl"/>
        </w:rPr>
      </w:pPr>
    </w:p>
    <w:p w:rsidR="00227CED" w:rsidRPr="000F15D3" w:rsidRDefault="00227CED" w:rsidP="000F15D3">
      <w:pPr>
        <w:spacing w:before="80"/>
        <w:rPr>
          <w:i/>
          <w:sz w:val="22"/>
          <w:lang w:val="es-ES_tradnl"/>
        </w:rPr>
      </w:pPr>
    </w:p>
    <w:p w:rsidR="00227CED" w:rsidRPr="000F15D3" w:rsidRDefault="00227CED" w:rsidP="000F15D3">
      <w:pPr>
        <w:spacing w:before="80"/>
        <w:rPr>
          <w:i/>
          <w:sz w:val="22"/>
          <w:lang w:val="es-ES_tradnl"/>
        </w:rPr>
      </w:pPr>
    </w:p>
    <w:p w:rsidR="00227CED" w:rsidRPr="000F15D3" w:rsidRDefault="00227CED" w:rsidP="000F15D3">
      <w:pPr>
        <w:pStyle w:val="Equation"/>
        <w:tabs>
          <w:tab w:val="clear" w:pos="4820"/>
          <w:tab w:val="clear" w:pos="9639"/>
          <w:tab w:val="left" w:pos="1191"/>
          <w:tab w:val="left" w:pos="1588"/>
          <w:tab w:val="left" w:pos="1985"/>
        </w:tabs>
        <w:rPr>
          <w:rFonts w:ascii="Palatino Linotype" w:hAnsi="Palatino Linotype"/>
          <w:lang w:val="es-ES_tradnl"/>
        </w:rPr>
        <w:sectPr w:rsidR="00227CED" w:rsidRPr="000F15D3"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0F15D3">
        <w:rPr>
          <w:bCs/>
          <w:sz w:val="24"/>
          <w:szCs w:val="24"/>
          <w:lang w:val="es-ES_tradnl"/>
        </w:rPr>
        <w:lastRenderedPageBreak/>
        <w:t>Prólogo</w:t>
      </w:r>
    </w:p>
    <w:p w:rsidR="00227CED" w:rsidRPr="000F15D3" w:rsidRDefault="00227CED" w:rsidP="000F15D3">
      <w:pPr>
        <w:spacing w:before="180"/>
        <w:rPr>
          <w:sz w:val="20"/>
          <w:lang w:val="es-ES_tradnl"/>
        </w:rPr>
      </w:pPr>
      <w:r w:rsidRPr="000F15D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0F15D3" w:rsidRDefault="00227CED" w:rsidP="000F15D3">
      <w:pPr>
        <w:rPr>
          <w:sz w:val="20"/>
          <w:lang w:val="es-ES_tradnl"/>
        </w:rPr>
      </w:pPr>
      <w:r w:rsidRPr="000F15D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227CED" w:rsidRPr="000F15D3" w:rsidRDefault="00227CED" w:rsidP="000F15D3">
      <w:pPr>
        <w:pStyle w:val="Heading1"/>
        <w:spacing w:before="340"/>
        <w:jc w:val="center"/>
        <w:rPr>
          <w:szCs w:val="24"/>
          <w:lang w:val="es-ES_tradnl"/>
        </w:rPr>
      </w:pPr>
      <w:r w:rsidRPr="000F15D3">
        <w:rPr>
          <w:lang w:val="es-ES_tradnl"/>
        </w:rPr>
        <w:t>Política sobre Derechos de Propiedad Intelectual</w:t>
      </w:r>
      <w:r w:rsidRPr="000F15D3">
        <w:rPr>
          <w:szCs w:val="24"/>
          <w:lang w:val="es-ES_tradnl"/>
        </w:rPr>
        <w:t xml:space="preserve"> (IPR)</w:t>
      </w:r>
    </w:p>
    <w:p w:rsidR="00227CED" w:rsidRPr="000F15D3" w:rsidRDefault="00227CED" w:rsidP="000F15D3">
      <w:pPr>
        <w:spacing w:before="180"/>
        <w:rPr>
          <w:sz w:val="20"/>
          <w:lang w:val="es-ES_tradnl"/>
        </w:rPr>
      </w:pPr>
      <w:r w:rsidRPr="000F15D3">
        <w:rPr>
          <w:sz w:val="20"/>
          <w:lang w:val="es-ES_tradnl"/>
        </w:rPr>
        <w:t>La política del UIT</w:t>
      </w:r>
      <w:r w:rsidRPr="000F15D3">
        <w:rPr>
          <w:sz w:val="20"/>
          <w:lang w:val="es-ES_tradnl"/>
        </w:rPr>
        <w:noBreakHyphen/>
        <w:t>R sobre Derechos de Propiedad Intelectual se describe en la Política Común de Patentes UIT</w:t>
      </w:r>
      <w:r w:rsidRPr="000F15D3">
        <w:rPr>
          <w:sz w:val="20"/>
          <w:lang w:val="es-ES_tradnl"/>
        </w:rPr>
        <w:noBreakHyphen/>
        <w:t>T/UIT</w:t>
      </w:r>
      <w:r w:rsidRPr="000F15D3">
        <w:rPr>
          <w:sz w:val="20"/>
          <w:lang w:val="es-ES_tradnl"/>
        </w:rPr>
        <w:noBreakHyphen/>
        <w:t>R/ISO/CEI a la que se hace referencia en el Anexo 1 a la Resolución UIT</w:t>
      </w:r>
      <w:r w:rsidRPr="000F15D3">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F15D3">
          <w:rPr>
            <w:rStyle w:val="Hyperlink"/>
            <w:sz w:val="20"/>
            <w:lang w:val="es-ES_tradnl"/>
          </w:rPr>
          <w:t>http://www.itu.int/ITU-R/go/patents/es</w:t>
        </w:r>
      </w:hyperlink>
      <w:r w:rsidRPr="000F15D3">
        <w:rPr>
          <w:sz w:val="20"/>
          <w:lang w:val="es-ES_tradnl"/>
        </w:rPr>
        <w:t>, donde también aparecen las Directrices para la implementación de la Política Común de Patentes UIT</w:t>
      </w:r>
      <w:r w:rsidRPr="000F15D3">
        <w:rPr>
          <w:sz w:val="20"/>
          <w:lang w:val="es-ES_tradnl"/>
        </w:rPr>
        <w:noBreakHyphen/>
        <w:t>T/UIT</w:t>
      </w:r>
      <w:r w:rsidRPr="000F15D3">
        <w:rPr>
          <w:sz w:val="20"/>
          <w:lang w:val="es-ES_tradnl"/>
        </w:rPr>
        <w:noBreakHyphen/>
        <w:t>R/ISO/CEI y la base de datos sobre información de patentes del UIT</w:t>
      </w:r>
      <w:r w:rsidRPr="000F15D3">
        <w:rPr>
          <w:sz w:val="20"/>
          <w:lang w:val="es-ES_tradnl"/>
        </w:rPr>
        <w:noBreakHyphen/>
        <w:t>R sobre este asunto.</w:t>
      </w:r>
    </w:p>
    <w:p w:rsidR="00227CED" w:rsidRPr="000F15D3" w:rsidRDefault="00227CED" w:rsidP="000F15D3">
      <w:pPr>
        <w:spacing w:before="0"/>
        <w:jc w:val="center"/>
        <w:rPr>
          <w:sz w:val="22"/>
          <w:lang w:val="es-ES_tradnl"/>
        </w:rPr>
      </w:pPr>
    </w:p>
    <w:p w:rsidR="00227CED" w:rsidRPr="000F15D3" w:rsidRDefault="00227CED" w:rsidP="000F15D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0F15D3" w:rsidTr="009E1F8B">
        <w:tc>
          <w:tcPr>
            <w:tcW w:w="9360" w:type="dxa"/>
            <w:gridSpan w:val="2"/>
          </w:tcPr>
          <w:p w:rsidR="00227CED" w:rsidRPr="000F15D3" w:rsidRDefault="00227CED" w:rsidP="000F15D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F15D3">
              <w:rPr>
                <w:sz w:val="22"/>
                <w:szCs w:val="22"/>
                <w:lang w:val="es-ES_tradnl"/>
              </w:rPr>
              <w:t xml:space="preserve">Series de las Recomendaciones UIT-R </w:t>
            </w:r>
          </w:p>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F15D3">
              <w:rPr>
                <w:b w:val="0"/>
                <w:sz w:val="18"/>
                <w:szCs w:val="18"/>
                <w:lang w:val="es-ES_tradnl"/>
              </w:rPr>
              <w:t xml:space="preserve">(También disponible en línea en </w:t>
            </w:r>
            <w:r w:rsidR="006818DE" w:rsidRPr="000F15D3">
              <w:rPr>
                <w:b w:val="0"/>
                <w:sz w:val="18"/>
                <w:szCs w:val="18"/>
                <w:lang w:val="es-ES_tradnl"/>
              </w:rPr>
              <w:t xml:space="preserve"> </w:t>
            </w:r>
            <w:hyperlink r:id="rId11" w:history="1">
              <w:hyperlink r:id="rId12" w:history="1">
                <w:r w:rsidR="006818DE" w:rsidRPr="000F15D3">
                  <w:rPr>
                    <w:rStyle w:val="Hyperlink"/>
                    <w:b w:val="0"/>
                    <w:bCs/>
                    <w:sz w:val="18"/>
                    <w:szCs w:val="18"/>
                    <w:lang w:val="es-ES_tradnl"/>
                  </w:rPr>
                  <w:t>http://www.itu.int/publ/R-REC/es</w:t>
                </w:r>
              </w:hyperlink>
              <w:r w:rsidRPr="000F15D3">
                <w:rPr>
                  <w:rStyle w:val="Hyperlink"/>
                  <w:b w:val="0"/>
                  <w:bCs/>
                  <w:sz w:val="18"/>
                  <w:szCs w:val="18"/>
                  <w:lang w:val="es-ES_tradnl"/>
                </w:rPr>
                <w:t>)</w:t>
              </w:r>
            </w:hyperlink>
          </w:p>
        </w:tc>
      </w:tr>
      <w:tr w:rsidR="00227CED" w:rsidRPr="000F15D3" w:rsidTr="009E1F8B">
        <w:tc>
          <w:tcPr>
            <w:tcW w:w="1140" w:type="dxa"/>
          </w:tcPr>
          <w:p w:rsidR="00227CED" w:rsidRPr="000F15D3" w:rsidRDefault="00227CED" w:rsidP="000F15D3">
            <w:pPr>
              <w:spacing w:before="180" w:after="100"/>
              <w:ind w:left="57"/>
              <w:rPr>
                <w:b/>
                <w:bCs/>
                <w:sz w:val="20"/>
                <w:lang w:val="es-ES_tradnl"/>
              </w:rPr>
            </w:pPr>
            <w:r w:rsidRPr="000F15D3">
              <w:rPr>
                <w:b/>
                <w:bCs/>
                <w:sz w:val="20"/>
                <w:lang w:val="es-ES_tradnl"/>
              </w:rPr>
              <w:t>Series</w:t>
            </w:r>
          </w:p>
        </w:tc>
        <w:tc>
          <w:tcPr>
            <w:tcW w:w="8220" w:type="dxa"/>
          </w:tcPr>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F15D3">
              <w:rPr>
                <w:bCs/>
                <w:sz w:val="20"/>
                <w:lang w:val="es-ES_tradnl"/>
              </w:rPr>
              <w:t>Título</w:t>
            </w:r>
          </w:p>
        </w:tc>
      </w:tr>
      <w:tr w:rsidR="00227CED" w:rsidRPr="000F15D3" w:rsidTr="009E1F8B">
        <w:tc>
          <w:tcPr>
            <w:tcW w:w="1140" w:type="dxa"/>
            <w:tcBorders>
              <w:bottom w:val="nil"/>
            </w:tcBorders>
          </w:tcPr>
          <w:p w:rsidR="00227CED" w:rsidRPr="000F15D3" w:rsidRDefault="00227CED" w:rsidP="000F15D3">
            <w:pPr>
              <w:spacing w:before="30" w:after="30"/>
              <w:ind w:left="57"/>
              <w:jc w:val="left"/>
              <w:rPr>
                <w:b/>
                <w:bCs/>
                <w:sz w:val="20"/>
                <w:lang w:val="es-ES_tradnl"/>
              </w:rPr>
            </w:pPr>
            <w:r w:rsidRPr="000F15D3">
              <w:rPr>
                <w:b/>
                <w:bCs/>
                <w:sz w:val="20"/>
                <w:lang w:val="es-ES_tradnl"/>
              </w:rPr>
              <w:t>BO</w:t>
            </w:r>
          </w:p>
        </w:tc>
        <w:tc>
          <w:tcPr>
            <w:tcW w:w="8220" w:type="dxa"/>
            <w:tcBorders>
              <w:bottom w:val="nil"/>
            </w:tcBorders>
          </w:tcPr>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F15D3">
              <w:rPr>
                <w:b w:val="0"/>
                <w:bCs/>
                <w:sz w:val="20"/>
                <w:lang w:val="es-ES_tradnl"/>
              </w:rPr>
              <w:t>Distribución por satélite</w:t>
            </w:r>
          </w:p>
        </w:tc>
      </w:tr>
      <w:tr w:rsidR="00227CED" w:rsidRPr="000F15D3" w:rsidTr="009E1F8B">
        <w:tc>
          <w:tcPr>
            <w:tcW w:w="1140" w:type="dxa"/>
            <w:tcBorders>
              <w:top w:val="nil"/>
              <w:bottom w:val="nil"/>
            </w:tcBorders>
            <w:shd w:val="clear" w:color="auto" w:fill="auto"/>
          </w:tcPr>
          <w:p w:rsidR="00227CED" w:rsidRPr="000F15D3" w:rsidRDefault="00227CED" w:rsidP="000F15D3">
            <w:pPr>
              <w:spacing w:before="30" w:after="30"/>
              <w:ind w:left="57"/>
              <w:jc w:val="left"/>
              <w:rPr>
                <w:rFonts w:hAnsi="Times New Roman Bold"/>
                <w:b/>
                <w:bCs/>
                <w:sz w:val="20"/>
                <w:lang w:val="es-ES_tradnl"/>
              </w:rPr>
            </w:pPr>
            <w:r w:rsidRPr="000F15D3">
              <w:rPr>
                <w:rFonts w:hAnsi="Times New Roman Bold"/>
                <w:b/>
                <w:bCs/>
                <w:sz w:val="20"/>
                <w:lang w:val="es-ES_tradnl"/>
              </w:rPr>
              <w:t>BR</w:t>
            </w:r>
          </w:p>
        </w:tc>
        <w:tc>
          <w:tcPr>
            <w:tcW w:w="8220" w:type="dxa"/>
            <w:tcBorders>
              <w:top w:val="nil"/>
              <w:bottom w:val="nil"/>
            </w:tcBorders>
            <w:shd w:val="clear" w:color="auto" w:fill="auto"/>
          </w:tcPr>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F15D3">
              <w:rPr>
                <w:b w:val="0"/>
                <w:sz w:val="20"/>
                <w:lang w:val="es-ES_tradnl"/>
              </w:rPr>
              <w:t>Registro para producci</w:t>
            </w:r>
            <w:r w:rsidR="009E1F8B" w:rsidRPr="000F15D3">
              <w:rPr>
                <w:b w:val="0"/>
                <w:sz w:val="20"/>
                <w:lang w:val="es-ES_tradnl"/>
              </w:rPr>
              <w:t>ón</w:t>
            </w:r>
            <w:r w:rsidRPr="000F15D3">
              <w:rPr>
                <w:b w:val="0"/>
                <w:sz w:val="20"/>
                <w:lang w:val="es-ES_tradnl"/>
              </w:rPr>
              <w:t>, archivo y reproducción; películas en televisión</w:t>
            </w:r>
          </w:p>
        </w:tc>
      </w:tr>
      <w:tr w:rsidR="00227CED" w:rsidRPr="000F15D3" w:rsidTr="009E1F8B">
        <w:tc>
          <w:tcPr>
            <w:tcW w:w="1140" w:type="dxa"/>
            <w:tcBorders>
              <w:top w:val="nil"/>
              <w:bottom w:val="nil"/>
            </w:tcBorders>
          </w:tcPr>
          <w:p w:rsidR="00227CED" w:rsidRPr="000F15D3" w:rsidRDefault="00227CED" w:rsidP="000F15D3">
            <w:pPr>
              <w:spacing w:before="30" w:after="30"/>
              <w:ind w:left="57"/>
              <w:jc w:val="left"/>
              <w:rPr>
                <w:b/>
                <w:bCs/>
                <w:sz w:val="20"/>
                <w:lang w:val="es-ES_tradnl"/>
              </w:rPr>
            </w:pPr>
            <w:r w:rsidRPr="000F15D3">
              <w:rPr>
                <w:b/>
                <w:bCs/>
                <w:sz w:val="20"/>
                <w:lang w:val="es-ES_tradnl"/>
              </w:rPr>
              <w:t>BS</w:t>
            </w:r>
          </w:p>
        </w:tc>
        <w:tc>
          <w:tcPr>
            <w:tcW w:w="8220" w:type="dxa"/>
            <w:tcBorders>
              <w:top w:val="nil"/>
              <w:bottom w:val="nil"/>
            </w:tcBorders>
          </w:tcPr>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F15D3">
              <w:rPr>
                <w:b w:val="0"/>
                <w:bCs/>
                <w:sz w:val="20"/>
                <w:lang w:val="es-ES_tradnl"/>
              </w:rPr>
              <w:t>Servicio de radiodifusión sonora</w:t>
            </w:r>
          </w:p>
        </w:tc>
      </w:tr>
      <w:tr w:rsidR="00227CED" w:rsidRPr="000F15D3" w:rsidTr="009E1F8B">
        <w:tc>
          <w:tcPr>
            <w:tcW w:w="1140" w:type="dxa"/>
            <w:tcBorders>
              <w:top w:val="nil"/>
              <w:bottom w:val="nil"/>
            </w:tcBorders>
            <w:shd w:val="clear" w:color="auto" w:fill="F3F3F3"/>
          </w:tcPr>
          <w:p w:rsidR="00227CED" w:rsidRPr="000F15D3" w:rsidRDefault="00227CED" w:rsidP="000F15D3">
            <w:pPr>
              <w:spacing w:before="30" w:after="30"/>
              <w:ind w:left="57"/>
              <w:jc w:val="left"/>
              <w:rPr>
                <w:rFonts w:ascii="Times New Roman Bold" w:hAnsi="Times New Roman Bold" w:cs="Times New Roman Bold"/>
                <w:b/>
                <w:bCs/>
                <w:color w:val="000080"/>
                <w:sz w:val="20"/>
                <w:lang w:val="es-ES_tradnl"/>
              </w:rPr>
            </w:pPr>
            <w:r w:rsidRPr="000F15D3">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0F15D3">
              <w:rPr>
                <w:rFonts w:ascii="Times New Roman Bold" w:hAnsi="Times New Roman Bold" w:cs="Times New Roman Bold"/>
                <w:bCs/>
                <w:color w:val="000080"/>
                <w:sz w:val="20"/>
                <w:lang w:val="es-ES_tradnl"/>
              </w:rPr>
              <w:t>Servicio de radiodifusión (televisión)</w:t>
            </w:r>
          </w:p>
        </w:tc>
      </w:tr>
      <w:tr w:rsidR="00227CED" w:rsidRPr="000F15D3" w:rsidTr="009E1F8B">
        <w:tc>
          <w:tcPr>
            <w:tcW w:w="1140" w:type="dxa"/>
            <w:tcBorders>
              <w:top w:val="nil"/>
              <w:bottom w:val="nil"/>
            </w:tcBorders>
            <w:shd w:val="clear" w:color="auto" w:fill="auto"/>
          </w:tcPr>
          <w:p w:rsidR="00227CED" w:rsidRPr="000F15D3" w:rsidRDefault="00227CED" w:rsidP="000F15D3">
            <w:pPr>
              <w:spacing w:before="30" w:after="30"/>
              <w:ind w:left="57"/>
              <w:jc w:val="left"/>
              <w:rPr>
                <w:b/>
                <w:bCs/>
                <w:sz w:val="20"/>
                <w:lang w:val="es-ES_tradnl"/>
              </w:rPr>
            </w:pPr>
            <w:r w:rsidRPr="000F15D3">
              <w:rPr>
                <w:b/>
                <w:bCs/>
                <w:sz w:val="20"/>
                <w:lang w:val="es-ES_tradnl"/>
              </w:rPr>
              <w:t>F</w:t>
            </w:r>
          </w:p>
        </w:tc>
        <w:tc>
          <w:tcPr>
            <w:tcW w:w="8220" w:type="dxa"/>
            <w:tcBorders>
              <w:top w:val="nil"/>
              <w:bottom w:val="nil"/>
            </w:tcBorders>
            <w:shd w:val="clear" w:color="auto" w:fill="auto"/>
          </w:tcPr>
          <w:p w:rsidR="00227CED" w:rsidRPr="000F15D3" w:rsidRDefault="00227CED" w:rsidP="000F15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F15D3">
              <w:rPr>
                <w:bCs/>
                <w:sz w:val="20"/>
                <w:lang w:val="es-ES_tradnl"/>
              </w:rPr>
              <w:t>Servicio fijo</w:t>
            </w:r>
          </w:p>
        </w:tc>
      </w:tr>
      <w:tr w:rsidR="00227CED" w:rsidRPr="000F15D3" w:rsidTr="009E1F8B">
        <w:tc>
          <w:tcPr>
            <w:tcW w:w="1140" w:type="dxa"/>
            <w:tcBorders>
              <w:top w:val="nil"/>
              <w:bottom w:val="nil"/>
            </w:tcBorders>
            <w:shd w:val="clear" w:color="auto" w:fill="auto"/>
          </w:tcPr>
          <w:p w:rsidR="00227CED" w:rsidRPr="000F15D3" w:rsidRDefault="00227CED" w:rsidP="000F15D3">
            <w:pPr>
              <w:spacing w:before="30" w:after="30"/>
              <w:ind w:left="57"/>
              <w:jc w:val="left"/>
              <w:rPr>
                <w:rFonts w:hAnsi="Times New Roman Bold"/>
                <w:b/>
                <w:bCs/>
                <w:sz w:val="20"/>
                <w:lang w:val="es-ES_tradnl"/>
              </w:rPr>
            </w:pPr>
            <w:r w:rsidRPr="000F15D3">
              <w:rPr>
                <w:rFonts w:hAnsi="Times New Roman Bold"/>
                <w:b/>
                <w:bCs/>
                <w:sz w:val="20"/>
                <w:lang w:val="es-ES_tradnl"/>
              </w:rPr>
              <w:t>M</w:t>
            </w:r>
          </w:p>
        </w:tc>
        <w:tc>
          <w:tcPr>
            <w:tcW w:w="8220" w:type="dxa"/>
            <w:tcBorders>
              <w:top w:val="nil"/>
              <w:bottom w:val="nil"/>
            </w:tcBorders>
            <w:shd w:val="clear" w:color="auto" w:fill="auto"/>
          </w:tcPr>
          <w:p w:rsidR="00227CED" w:rsidRPr="000F15D3" w:rsidRDefault="00227CED" w:rsidP="000F15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F15D3">
              <w:rPr>
                <w:rFonts w:hAnsi="Times New Roman Bold"/>
                <w:b w:val="0"/>
                <w:sz w:val="20"/>
                <w:lang w:val="es-ES_tradnl"/>
              </w:rPr>
              <w:t>Servicios m</w:t>
            </w:r>
            <w:r w:rsidRPr="000F15D3">
              <w:rPr>
                <w:rFonts w:hAnsi="Times New Roman Bold"/>
                <w:b w:val="0"/>
                <w:sz w:val="20"/>
                <w:lang w:val="es-ES_tradnl"/>
              </w:rPr>
              <w:t>ó</w:t>
            </w:r>
            <w:r w:rsidRPr="000F15D3">
              <w:rPr>
                <w:rFonts w:hAnsi="Times New Roman Bold"/>
                <w:b w:val="0"/>
                <w:sz w:val="20"/>
                <w:lang w:val="es-ES_tradnl"/>
              </w:rPr>
              <w:t>viles, de radiodeterminaci</w:t>
            </w:r>
            <w:r w:rsidRPr="000F15D3">
              <w:rPr>
                <w:rFonts w:hAnsi="Times New Roman Bold"/>
                <w:b w:val="0"/>
                <w:sz w:val="20"/>
                <w:lang w:val="es-ES_tradnl"/>
              </w:rPr>
              <w:t>ó</w:t>
            </w:r>
            <w:r w:rsidRPr="000F15D3">
              <w:rPr>
                <w:rFonts w:hAnsi="Times New Roman Bold"/>
                <w:b w:val="0"/>
                <w:sz w:val="20"/>
                <w:lang w:val="es-ES_tradnl"/>
              </w:rPr>
              <w:t>n, de aficionados y otros servicios por sat</w:t>
            </w:r>
            <w:r w:rsidRPr="000F15D3">
              <w:rPr>
                <w:rFonts w:hAnsi="Times New Roman Bold"/>
                <w:b w:val="0"/>
                <w:sz w:val="20"/>
                <w:lang w:val="es-ES_tradnl"/>
              </w:rPr>
              <w:t>é</w:t>
            </w:r>
            <w:r w:rsidRPr="000F15D3">
              <w:rPr>
                <w:rFonts w:hAnsi="Times New Roman Bold"/>
                <w:b w:val="0"/>
                <w:sz w:val="20"/>
                <w:lang w:val="es-ES_tradnl"/>
              </w:rPr>
              <w:t>lite conexos</w:t>
            </w:r>
          </w:p>
        </w:tc>
      </w:tr>
      <w:tr w:rsidR="00227CED" w:rsidRPr="000F15D3" w:rsidTr="009E1F8B">
        <w:tc>
          <w:tcPr>
            <w:tcW w:w="1140" w:type="dxa"/>
            <w:tcBorders>
              <w:top w:val="nil"/>
            </w:tcBorders>
          </w:tcPr>
          <w:p w:rsidR="00227CED" w:rsidRPr="000F15D3" w:rsidRDefault="00227CED" w:rsidP="000F15D3">
            <w:pPr>
              <w:spacing w:before="30" w:after="30"/>
              <w:ind w:left="57"/>
              <w:jc w:val="left"/>
              <w:rPr>
                <w:b/>
                <w:bCs/>
                <w:sz w:val="20"/>
                <w:lang w:val="es-ES_tradnl"/>
              </w:rPr>
            </w:pPr>
            <w:r w:rsidRPr="000F15D3">
              <w:rPr>
                <w:b/>
                <w:bCs/>
                <w:sz w:val="20"/>
                <w:lang w:val="es-ES_tradnl"/>
              </w:rPr>
              <w:t>P</w:t>
            </w:r>
          </w:p>
        </w:tc>
        <w:tc>
          <w:tcPr>
            <w:tcW w:w="8220" w:type="dxa"/>
            <w:tcBorders>
              <w:top w:val="nil"/>
            </w:tcBorders>
          </w:tcPr>
          <w:p w:rsidR="00227CED" w:rsidRPr="000F15D3" w:rsidRDefault="00227CED" w:rsidP="000F15D3">
            <w:pPr>
              <w:spacing w:before="30" w:after="30"/>
              <w:jc w:val="left"/>
              <w:rPr>
                <w:bCs/>
                <w:sz w:val="20"/>
                <w:lang w:val="es-ES_tradnl"/>
              </w:rPr>
            </w:pPr>
            <w:r w:rsidRPr="000F15D3">
              <w:rPr>
                <w:bCs/>
                <w:sz w:val="20"/>
                <w:lang w:val="es-ES_tradnl"/>
              </w:rPr>
              <w:t>Propagación de las ondas radioeléctricas</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RA</w:t>
            </w:r>
          </w:p>
        </w:tc>
        <w:tc>
          <w:tcPr>
            <w:tcW w:w="8220" w:type="dxa"/>
          </w:tcPr>
          <w:p w:rsidR="00227CED" w:rsidRPr="000F15D3" w:rsidRDefault="00227CED" w:rsidP="000F15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F15D3">
              <w:rPr>
                <w:bCs/>
                <w:sz w:val="20"/>
                <w:lang w:val="es-ES_tradnl"/>
              </w:rPr>
              <w:t>Radio astronomía</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RS</w:t>
            </w:r>
          </w:p>
        </w:tc>
        <w:tc>
          <w:tcPr>
            <w:tcW w:w="8220" w:type="dxa"/>
          </w:tcPr>
          <w:p w:rsidR="00227CED" w:rsidRPr="000F15D3" w:rsidRDefault="00227CED" w:rsidP="000F15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F15D3">
              <w:rPr>
                <w:bCs/>
                <w:sz w:val="20"/>
                <w:lang w:val="es-ES_tradnl"/>
              </w:rPr>
              <w:t>Sistemas de detección a distancia</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S</w:t>
            </w:r>
          </w:p>
        </w:tc>
        <w:tc>
          <w:tcPr>
            <w:tcW w:w="8220" w:type="dxa"/>
          </w:tcPr>
          <w:p w:rsidR="00227CED" w:rsidRPr="000F15D3" w:rsidRDefault="00227CED" w:rsidP="000F15D3">
            <w:pPr>
              <w:spacing w:before="30" w:after="30"/>
              <w:jc w:val="left"/>
              <w:rPr>
                <w:bCs/>
                <w:sz w:val="20"/>
                <w:lang w:val="es-ES_tradnl"/>
              </w:rPr>
            </w:pPr>
            <w:r w:rsidRPr="000F15D3">
              <w:rPr>
                <w:bCs/>
                <w:sz w:val="20"/>
                <w:lang w:val="es-ES_tradnl"/>
              </w:rPr>
              <w:t>Servicio fijo por satélite</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SA</w:t>
            </w:r>
          </w:p>
        </w:tc>
        <w:tc>
          <w:tcPr>
            <w:tcW w:w="8220" w:type="dxa"/>
          </w:tcPr>
          <w:p w:rsidR="00227CED" w:rsidRPr="000F15D3" w:rsidRDefault="00227CED" w:rsidP="000F15D3">
            <w:pPr>
              <w:spacing w:before="30" w:after="30"/>
              <w:jc w:val="left"/>
              <w:rPr>
                <w:bCs/>
                <w:sz w:val="20"/>
                <w:lang w:val="es-ES_tradnl"/>
              </w:rPr>
            </w:pPr>
            <w:r w:rsidRPr="000F15D3">
              <w:rPr>
                <w:bCs/>
                <w:sz w:val="20"/>
                <w:lang w:val="es-ES_tradnl"/>
              </w:rPr>
              <w:t>Aplicaciones espaciales y meteorología</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SF</w:t>
            </w:r>
          </w:p>
        </w:tc>
        <w:tc>
          <w:tcPr>
            <w:tcW w:w="8220" w:type="dxa"/>
          </w:tcPr>
          <w:p w:rsidR="00227CED" w:rsidRPr="000F15D3" w:rsidRDefault="00227CED" w:rsidP="000F15D3">
            <w:pPr>
              <w:spacing w:before="30" w:after="30"/>
              <w:jc w:val="left"/>
              <w:rPr>
                <w:bCs/>
                <w:sz w:val="20"/>
                <w:lang w:val="es-ES_tradnl"/>
              </w:rPr>
            </w:pPr>
            <w:r w:rsidRPr="000F15D3">
              <w:rPr>
                <w:bCs/>
                <w:sz w:val="20"/>
                <w:lang w:val="es-ES_tradnl"/>
              </w:rPr>
              <w:t>Compartición de frecuencias y coordinación entre los sistemas del servicio fijo por satélite y del servicio fijo</w:t>
            </w:r>
          </w:p>
        </w:tc>
      </w:tr>
      <w:tr w:rsidR="00227CED" w:rsidRPr="000F15D3" w:rsidTr="009E1F8B">
        <w:tc>
          <w:tcPr>
            <w:tcW w:w="1140" w:type="dxa"/>
            <w:shd w:val="clear" w:color="auto" w:fill="auto"/>
          </w:tcPr>
          <w:p w:rsidR="00227CED" w:rsidRPr="000F15D3" w:rsidRDefault="00227CED" w:rsidP="000F15D3">
            <w:pPr>
              <w:spacing w:before="30" w:after="30"/>
              <w:ind w:left="57"/>
              <w:jc w:val="left"/>
              <w:rPr>
                <w:b/>
                <w:bCs/>
                <w:sz w:val="20"/>
                <w:lang w:val="es-ES_tradnl"/>
              </w:rPr>
            </w:pPr>
            <w:r w:rsidRPr="000F15D3">
              <w:rPr>
                <w:b/>
                <w:bCs/>
                <w:sz w:val="20"/>
                <w:lang w:val="es-ES_tradnl"/>
              </w:rPr>
              <w:t>SM</w:t>
            </w:r>
          </w:p>
        </w:tc>
        <w:tc>
          <w:tcPr>
            <w:tcW w:w="8220" w:type="dxa"/>
            <w:shd w:val="clear" w:color="auto" w:fill="auto"/>
          </w:tcPr>
          <w:p w:rsidR="00227CED" w:rsidRPr="000F15D3" w:rsidRDefault="00227CED" w:rsidP="000F15D3">
            <w:pPr>
              <w:spacing w:before="30" w:after="30"/>
              <w:jc w:val="left"/>
              <w:rPr>
                <w:sz w:val="20"/>
                <w:lang w:val="es-ES_tradnl"/>
              </w:rPr>
            </w:pPr>
            <w:r w:rsidRPr="000F15D3">
              <w:rPr>
                <w:sz w:val="20"/>
                <w:lang w:val="es-ES_tradnl"/>
              </w:rPr>
              <w:t>Gestión del espectro</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SNG</w:t>
            </w:r>
          </w:p>
        </w:tc>
        <w:tc>
          <w:tcPr>
            <w:tcW w:w="8220" w:type="dxa"/>
          </w:tcPr>
          <w:p w:rsidR="00227CED" w:rsidRPr="000F15D3" w:rsidRDefault="00227CED" w:rsidP="000F15D3">
            <w:pPr>
              <w:spacing w:before="30" w:after="30"/>
              <w:jc w:val="left"/>
              <w:rPr>
                <w:bCs/>
                <w:sz w:val="20"/>
                <w:lang w:val="es-ES_tradnl"/>
              </w:rPr>
            </w:pPr>
            <w:r w:rsidRPr="000F15D3">
              <w:rPr>
                <w:bCs/>
                <w:sz w:val="20"/>
                <w:lang w:val="es-ES_tradnl"/>
              </w:rPr>
              <w:t>Periodismo electrónico por satélite</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TF</w:t>
            </w:r>
          </w:p>
        </w:tc>
        <w:tc>
          <w:tcPr>
            <w:tcW w:w="8220" w:type="dxa"/>
          </w:tcPr>
          <w:p w:rsidR="00227CED" w:rsidRPr="000F15D3" w:rsidRDefault="00227CED" w:rsidP="000F15D3">
            <w:pPr>
              <w:spacing w:before="30" w:after="30"/>
              <w:jc w:val="left"/>
              <w:rPr>
                <w:bCs/>
                <w:sz w:val="20"/>
                <w:lang w:val="es-ES_tradnl"/>
              </w:rPr>
            </w:pPr>
            <w:r w:rsidRPr="000F15D3">
              <w:rPr>
                <w:bCs/>
                <w:sz w:val="20"/>
                <w:lang w:val="es-ES_tradnl"/>
              </w:rPr>
              <w:t>Emisiones de frecuencias patrón y señales horarias</w:t>
            </w:r>
          </w:p>
        </w:tc>
      </w:tr>
      <w:tr w:rsidR="00227CED" w:rsidRPr="000F15D3" w:rsidTr="009E1F8B">
        <w:tc>
          <w:tcPr>
            <w:tcW w:w="1140" w:type="dxa"/>
          </w:tcPr>
          <w:p w:rsidR="00227CED" w:rsidRPr="000F15D3" w:rsidRDefault="00227CED" w:rsidP="000F15D3">
            <w:pPr>
              <w:spacing w:before="30" w:after="30"/>
              <w:ind w:left="57"/>
              <w:jc w:val="left"/>
              <w:rPr>
                <w:b/>
                <w:bCs/>
                <w:sz w:val="20"/>
                <w:lang w:val="es-ES_tradnl"/>
              </w:rPr>
            </w:pPr>
            <w:r w:rsidRPr="000F15D3">
              <w:rPr>
                <w:b/>
                <w:bCs/>
                <w:sz w:val="20"/>
                <w:lang w:val="es-ES_tradnl"/>
              </w:rPr>
              <w:t>V</w:t>
            </w:r>
          </w:p>
        </w:tc>
        <w:tc>
          <w:tcPr>
            <w:tcW w:w="8220" w:type="dxa"/>
          </w:tcPr>
          <w:p w:rsidR="00227CED" w:rsidRPr="000F15D3" w:rsidRDefault="00227CED" w:rsidP="000F15D3">
            <w:pPr>
              <w:spacing w:before="30" w:after="140"/>
              <w:jc w:val="left"/>
              <w:rPr>
                <w:bCs/>
                <w:sz w:val="20"/>
                <w:lang w:val="es-ES_tradnl"/>
              </w:rPr>
            </w:pPr>
            <w:r w:rsidRPr="000F15D3">
              <w:rPr>
                <w:bCs/>
                <w:sz w:val="20"/>
                <w:lang w:val="es-ES_tradnl"/>
              </w:rPr>
              <w:t>Vocabulario y cuestiones afines</w:t>
            </w:r>
          </w:p>
        </w:tc>
      </w:tr>
    </w:tbl>
    <w:p w:rsidR="00227CED" w:rsidRPr="000F15D3" w:rsidRDefault="00227CED" w:rsidP="000F15D3">
      <w:pPr>
        <w:spacing w:before="0" w:after="140"/>
        <w:jc w:val="center"/>
        <w:rPr>
          <w:sz w:val="20"/>
          <w:lang w:val="es-ES_tradnl"/>
        </w:rPr>
      </w:pPr>
    </w:p>
    <w:tbl>
      <w:tblPr>
        <w:tblpPr w:leftFromText="180" w:rightFromText="180" w:vertAnchor="text" w:tblpX="-5771" w:tblpY="-4031"/>
        <w:tblW w:w="0" w:type="auto"/>
        <w:tblLook w:val="0000"/>
      </w:tblPr>
      <w:tblGrid>
        <w:gridCol w:w="720"/>
      </w:tblGrid>
      <w:tr w:rsidR="00227CED" w:rsidRPr="000F15D3" w:rsidTr="009E1F8B">
        <w:tc>
          <w:tcPr>
            <w:tcW w:w="720" w:type="dxa"/>
          </w:tcPr>
          <w:p w:rsidR="00227CED" w:rsidRPr="000F15D3" w:rsidRDefault="00227CED" w:rsidP="000F15D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0F15D3" w:rsidTr="009E1F8B">
        <w:tc>
          <w:tcPr>
            <w:tcW w:w="9360" w:type="dxa"/>
          </w:tcPr>
          <w:p w:rsidR="00227CED" w:rsidRPr="000F15D3" w:rsidRDefault="00227CED" w:rsidP="000F15D3">
            <w:pPr>
              <w:spacing w:before="92" w:after="92"/>
              <w:jc w:val="left"/>
              <w:rPr>
                <w:i/>
                <w:iCs/>
                <w:sz w:val="20"/>
                <w:lang w:val="es-ES_tradnl"/>
              </w:rPr>
            </w:pPr>
            <w:r w:rsidRPr="000F15D3">
              <w:rPr>
                <w:b/>
                <w:bCs/>
                <w:i/>
                <w:iCs/>
                <w:sz w:val="20"/>
                <w:lang w:val="es-ES_tradnl"/>
              </w:rPr>
              <w:t xml:space="preserve">         Nota</w:t>
            </w:r>
            <w:r w:rsidRPr="000F15D3">
              <w:rPr>
                <w:i/>
                <w:iCs/>
                <w:sz w:val="20"/>
                <w:lang w:val="es-ES_tradnl"/>
              </w:rPr>
              <w:t xml:space="preserve">: Esta Recomendación UIT-R fue aprobada en inglés conforme al procedimiento detallado en la </w:t>
            </w:r>
            <w:r w:rsidRPr="000F15D3">
              <w:rPr>
                <w:i/>
                <w:iCs/>
                <w:sz w:val="20"/>
                <w:lang w:val="es-ES_tradnl"/>
              </w:rPr>
              <w:br/>
              <w:t xml:space="preserve">        Resolución UIT-R 1.</w:t>
            </w:r>
          </w:p>
        </w:tc>
      </w:tr>
    </w:tbl>
    <w:p w:rsidR="00227CED" w:rsidRPr="000F15D3" w:rsidRDefault="00227CED" w:rsidP="000F15D3">
      <w:pPr>
        <w:spacing w:before="0"/>
        <w:jc w:val="center"/>
        <w:rPr>
          <w:sz w:val="22"/>
          <w:lang w:val="es-ES_tradnl"/>
        </w:rPr>
      </w:pPr>
    </w:p>
    <w:p w:rsidR="00227CED" w:rsidRPr="000F15D3" w:rsidRDefault="00227CED" w:rsidP="000F15D3">
      <w:pPr>
        <w:spacing w:before="60"/>
        <w:jc w:val="right"/>
        <w:rPr>
          <w:i/>
          <w:iCs/>
          <w:sz w:val="20"/>
          <w:lang w:val="es-ES_tradnl"/>
        </w:rPr>
      </w:pPr>
      <w:r w:rsidRPr="000F15D3">
        <w:rPr>
          <w:i/>
          <w:iCs/>
          <w:sz w:val="20"/>
          <w:lang w:val="es-ES_tradnl"/>
        </w:rPr>
        <w:t>Publicación electrónica</w:t>
      </w:r>
    </w:p>
    <w:p w:rsidR="00227CED" w:rsidRPr="000F15D3" w:rsidRDefault="00227CED" w:rsidP="000F15D3">
      <w:pPr>
        <w:spacing w:before="0" w:after="40"/>
        <w:jc w:val="right"/>
        <w:rPr>
          <w:sz w:val="20"/>
          <w:lang w:val="es-ES_tradnl"/>
        </w:rPr>
      </w:pPr>
      <w:r w:rsidRPr="000F15D3">
        <w:rPr>
          <w:sz w:val="20"/>
          <w:lang w:val="es-ES_tradnl"/>
        </w:rPr>
        <w:t>Ginebra, 20</w:t>
      </w:r>
      <w:r w:rsidR="00930489" w:rsidRPr="000F15D3">
        <w:rPr>
          <w:sz w:val="20"/>
          <w:lang w:val="es-ES_tradnl"/>
        </w:rPr>
        <w:t>10</w:t>
      </w:r>
    </w:p>
    <w:p w:rsidR="00227CED" w:rsidRPr="000F15D3" w:rsidRDefault="00227CED" w:rsidP="000F15D3">
      <w:pPr>
        <w:spacing w:before="0"/>
        <w:jc w:val="center"/>
        <w:rPr>
          <w:sz w:val="22"/>
          <w:lang w:val="es-ES_tradnl"/>
        </w:rPr>
      </w:pPr>
    </w:p>
    <w:p w:rsidR="00227CED" w:rsidRPr="000F15D3" w:rsidRDefault="00227CED" w:rsidP="000F15D3">
      <w:pPr>
        <w:spacing w:before="0"/>
        <w:jc w:val="center"/>
        <w:rPr>
          <w:sz w:val="20"/>
          <w:lang w:val="es-ES_tradnl"/>
        </w:rPr>
      </w:pPr>
      <w:r w:rsidRPr="000F15D3">
        <w:rPr>
          <w:sz w:val="20"/>
          <w:lang w:val="es-ES_tradnl"/>
        </w:rPr>
        <w:sym w:font="Symbol" w:char="F0E3"/>
      </w:r>
      <w:r w:rsidRPr="000F15D3">
        <w:rPr>
          <w:sz w:val="20"/>
          <w:lang w:val="es-ES_tradnl"/>
        </w:rPr>
        <w:t xml:space="preserve"> UIT </w:t>
      </w:r>
      <w:bookmarkStart w:id="2" w:name="iiannee"/>
      <w:bookmarkEnd w:id="2"/>
      <w:r w:rsidRPr="000F15D3">
        <w:rPr>
          <w:sz w:val="20"/>
          <w:lang w:val="es-ES_tradnl"/>
        </w:rPr>
        <w:t>20</w:t>
      </w:r>
      <w:r w:rsidR="00930489" w:rsidRPr="000F15D3">
        <w:rPr>
          <w:sz w:val="20"/>
          <w:lang w:val="es-ES_tradnl"/>
        </w:rPr>
        <w:t>10</w:t>
      </w:r>
    </w:p>
    <w:p w:rsidR="00227CED" w:rsidRPr="000F15D3" w:rsidRDefault="00227CED" w:rsidP="000F15D3">
      <w:pPr>
        <w:spacing w:before="80"/>
        <w:rPr>
          <w:sz w:val="18"/>
          <w:szCs w:val="18"/>
          <w:lang w:val="es-ES_tradnl"/>
        </w:rPr>
      </w:pPr>
      <w:r w:rsidRPr="000F15D3">
        <w:rPr>
          <w:sz w:val="18"/>
          <w:szCs w:val="18"/>
          <w:lang w:val="es-ES_tradnl"/>
        </w:rPr>
        <w:t>Reservados todos los derechos. Ninguna parte de esta publicación puede reproducirse por ningún procedimiento sin previa autorización escrita por parte de la UIT.</w:t>
      </w:r>
    </w:p>
    <w:p w:rsidR="00227CED" w:rsidRPr="000F15D3" w:rsidRDefault="00227CED" w:rsidP="000F15D3">
      <w:pPr>
        <w:spacing w:before="160"/>
        <w:rPr>
          <w:i/>
          <w:sz w:val="20"/>
          <w:highlight w:val="yellow"/>
          <w:lang w:val="es-ES_tradnl"/>
        </w:rPr>
        <w:sectPr w:rsidR="00227CED" w:rsidRPr="000F15D3"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0A0530" w:rsidRPr="000F15D3" w:rsidRDefault="000A0530" w:rsidP="000F15D3">
      <w:pPr>
        <w:pStyle w:val="RecNo"/>
        <w:spacing w:before="0"/>
        <w:rPr>
          <w:lang w:val="es-ES_tradnl"/>
        </w:rPr>
      </w:pPr>
      <w:bookmarkStart w:id="3" w:name="irecnoe"/>
      <w:bookmarkEnd w:id="3"/>
      <w:r w:rsidRPr="000F15D3">
        <w:rPr>
          <w:lang w:val="es-ES_tradnl"/>
        </w:rPr>
        <w:lastRenderedPageBreak/>
        <w:t xml:space="preserve">RECOMENDACIÓN  </w:t>
      </w:r>
      <w:r w:rsidRPr="000F15D3">
        <w:rPr>
          <w:rStyle w:val="href"/>
          <w:lang w:val="es-ES_tradnl"/>
        </w:rPr>
        <w:t>UIT-R  BT.1562</w:t>
      </w:r>
      <w:r w:rsidR="00FD1510" w:rsidRPr="000F15D3">
        <w:rPr>
          <w:rStyle w:val="FootnoteReference"/>
          <w:lang w:val="es-ES_tradnl"/>
        </w:rPr>
        <w:footnoteReference w:customMarkFollows="1" w:id="1"/>
        <w:t>*</w:t>
      </w:r>
    </w:p>
    <w:p w:rsidR="00FD1510" w:rsidRPr="000F15D3" w:rsidRDefault="00FD1510" w:rsidP="000F15D3">
      <w:pPr>
        <w:pStyle w:val="Rectitle"/>
        <w:rPr>
          <w:lang w:val="es-ES_tradnl"/>
        </w:rPr>
      </w:pPr>
      <w:bookmarkStart w:id="4" w:name="Pre_title"/>
      <w:r w:rsidRPr="000F15D3">
        <w:rPr>
          <w:lang w:val="es-ES_tradnl"/>
        </w:rPr>
        <w:t>Coherencia en el ajuste de las pantallas en</w:t>
      </w:r>
      <w:r w:rsidR="00D96605" w:rsidRPr="000F15D3">
        <w:rPr>
          <w:lang w:val="es-ES_tradnl"/>
        </w:rPr>
        <w:t xml:space="preserve"> </w:t>
      </w:r>
      <w:r w:rsidRPr="000F15D3">
        <w:rPr>
          <w:lang w:val="es-ES_tradnl"/>
        </w:rPr>
        <w:t>las</w:t>
      </w:r>
      <w:r w:rsidR="00D96605" w:rsidRPr="000F15D3">
        <w:rPr>
          <w:lang w:val="es-ES_tradnl"/>
        </w:rPr>
        <w:t xml:space="preserve"> </w:t>
      </w:r>
      <w:r w:rsidRPr="000F15D3">
        <w:rPr>
          <w:lang w:val="es-ES_tradnl"/>
        </w:rPr>
        <w:t>salas de producción</w:t>
      </w:r>
      <w:r w:rsidR="00D96605" w:rsidRPr="000F15D3">
        <w:rPr>
          <w:lang w:val="es-ES_tradnl"/>
        </w:rPr>
        <w:br/>
      </w:r>
      <w:r w:rsidRPr="000F15D3">
        <w:rPr>
          <w:lang w:val="es-ES_tradnl"/>
        </w:rPr>
        <w:t>y salas de control</w:t>
      </w:r>
      <w:bookmarkEnd w:id="4"/>
    </w:p>
    <w:p w:rsidR="005A027C" w:rsidRPr="000F15D3" w:rsidRDefault="005A027C" w:rsidP="000F15D3">
      <w:pPr>
        <w:pStyle w:val="Blanc"/>
        <w:rPr>
          <w:lang w:val="es-ES_tradnl"/>
        </w:rPr>
      </w:pPr>
      <w:bookmarkStart w:id="5" w:name="Related_Questions"/>
    </w:p>
    <w:p w:rsidR="00FD1510" w:rsidRPr="000F15D3" w:rsidRDefault="005A027C" w:rsidP="000F15D3">
      <w:pPr>
        <w:pStyle w:val="Recref"/>
        <w:rPr>
          <w:lang w:val="es-ES_tradnl"/>
        </w:rPr>
      </w:pPr>
      <w:r w:rsidRPr="000F15D3">
        <w:rPr>
          <w:lang w:val="es-ES_tradnl"/>
        </w:rPr>
        <w:t xml:space="preserve"> </w:t>
      </w:r>
      <w:r w:rsidR="00FD1510" w:rsidRPr="000F15D3">
        <w:rPr>
          <w:lang w:val="es-ES_tradnl"/>
        </w:rPr>
        <w:t>(Cuestiones UIT</w:t>
      </w:r>
      <w:r w:rsidR="00FD1510" w:rsidRPr="000F15D3">
        <w:rPr>
          <w:lang w:val="es-ES_tradnl"/>
        </w:rPr>
        <w:noBreakHyphen/>
        <w:t>R 27/11, UIT</w:t>
      </w:r>
      <w:r w:rsidR="00FD1510" w:rsidRPr="000F15D3">
        <w:rPr>
          <w:lang w:val="es-ES_tradnl"/>
        </w:rPr>
        <w:noBreakHyphen/>
        <w:t>R 206/11 y UIT</w:t>
      </w:r>
      <w:r w:rsidR="00FD1510" w:rsidRPr="000F15D3">
        <w:rPr>
          <w:lang w:val="es-ES_tradnl"/>
        </w:rPr>
        <w:noBreakHyphen/>
        <w:t>R 253/11)</w:t>
      </w:r>
      <w:bookmarkEnd w:id="5"/>
    </w:p>
    <w:p w:rsidR="00FD1510" w:rsidRPr="000F15D3" w:rsidRDefault="00FD1510" w:rsidP="000F15D3">
      <w:pPr>
        <w:pStyle w:val="Recdate"/>
        <w:rPr>
          <w:lang w:val="es-ES_tradnl"/>
        </w:rPr>
      </w:pPr>
      <w:bookmarkStart w:id="6" w:name="Revision_history"/>
    </w:p>
    <w:p w:rsidR="00FD1510" w:rsidRPr="000F15D3" w:rsidRDefault="00FD1510" w:rsidP="000F15D3">
      <w:pPr>
        <w:pStyle w:val="Recdate"/>
        <w:rPr>
          <w:lang w:val="es-ES_tradnl"/>
        </w:rPr>
      </w:pPr>
      <w:r w:rsidRPr="000F15D3">
        <w:rPr>
          <w:lang w:val="es-ES_tradnl"/>
        </w:rPr>
        <w:t>(2002)</w:t>
      </w:r>
      <w:bookmarkEnd w:id="6"/>
    </w:p>
    <w:p w:rsidR="001C6B95" w:rsidRPr="000F15D3" w:rsidRDefault="001C6B95" w:rsidP="000F15D3">
      <w:pPr>
        <w:pStyle w:val="Blanc"/>
        <w:rPr>
          <w:lang w:val="es-ES_tradnl"/>
        </w:rPr>
      </w:pPr>
    </w:p>
    <w:p w:rsidR="00FD1510" w:rsidRPr="000F15D3" w:rsidRDefault="000F5C12" w:rsidP="000F15D3">
      <w:pPr>
        <w:pStyle w:val="HeadingSum"/>
      </w:pPr>
      <w:r w:rsidRPr="000F15D3">
        <w:t>Cometido</w:t>
      </w:r>
    </w:p>
    <w:p w:rsidR="00FD1510" w:rsidRPr="000F15D3" w:rsidRDefault="00FD1510" w:rsidP="000F15D3">
      <w:pPr>
        <w:pStyle w:val="Summary"/>
      </w:pPr>
      <w:r w:rsidRPr="000F15D3">
        <w:t>En la presente Recomendación se especifican los criterios y procedimientos que se han de seguir  a fin de que las pantallas utilizadas en las salas de producción y de control de televisión para la visualización crítica de las imágenes ofrezcan de manera fiable una presentación coherente de las imágenes de programas de televisión.</w:t>
      </w:r>
    </w:p>
    <w:p w:rsidR="00FD1510" w:rsidRPr="000F15D3" w:rsidRDefault="00FD1510" w:rsidP="000F15D3">
      <w:pPr>
        <w:pStyle w:val="Normalaftertitle"/>
        <w:rPr>
          <w:lang w:val="es-ES_tradnl"/>
        </w:rPr>
      </w:pPr>
      <w:r w:rsidRPr="000F15D3">
        <w:rPr>
          <w:lang w:val="es-ES_tradnl"/>
        </w:rPr>
        <w:t>La Asamblea de Radiocomunicaciones de la UIT,</w:t>
      </w:r>
    </w:p>
    <w:p w:rsidR="00FD1510" w:rsidRPr="000F15D3" w:rsidRDefault="00FD1510" w:rsidP="000F15D3">
      <w:pPr>
        <w:pStyle w:val="Call"/>
        <w:rPr>
          <w:lang w:val="es-ES_tradnl"/>
        </w:rPr>
      </w:pPr>
      <w:r w:rsidRPr="000F15D3">
        <w:rPr>
          <w:lang w:val="es-ES_tradnl"/>
        </w:rPr>
        <w:t>considerando</w:t>
      </w:r>
    </w:p>
    <w:p w:rsidR="00FD1510" w:rsidRPr="000F15D3" w:rsidRDefault="00FD1510" w:rsidP="000F15D3">
      <w:pPr>
        <w:rPr>
          <w:lang w:val="es-ES_tradnl"/>
        </w:rPr>
      </w:pPr>
      <w:r w:rsidRPr="000F15D3">
        <w:rPr>
          <w:lang w:val="es-ES_tradnl"/>
        </w:rPr>
        <w:t>a)</w:t>
      </w:r>
      <w:r w:rsidRPr="000F15D3">
        <w:rPr>
          <w:lang w:val="es-ES_tradnl"/>
        </w:rPr>
        <w:tab/>
        <w:t>que para que el personal de producción pueda juzgar con fiabilidad si su intención creativa se refleja correctamente en la producción de programas, es fundamental que las pantallas de las salas de producción y control de televisión donde se lleva a cabo el equilibrado y adaptación de las imágenes puedan mostrar el material de programa de forma fiable y coherente;</w:t>
      </w:r>
    </w:p>
    <w:p w:rsidR="00FD1510" w:rsidRPr="000F15D3" w:rsidRDefault="00FD1510" w:rsidP="000F15D3">
      <w:pPr>
        <w:rPr>
          <w:lang w:val="es-ES_tradnl"/>
        </w:rPr>
      </w:pPr>
      <w:r w:rsidRPr="000F15D3">
        <w:rPr>
          <w:lang w:val="es-ES_tradnl"/>
        </w:rPr>
        <w:t>b)</w:t>
      </w:r>
      <w:r w:rsidRPr="000F15D3">
        <w:rPr>
          <w:lang w:val="es-ES_tradnl"/>
        </w:rPr>
        <w:tab/>
        <w:t>que las Recomendaciones UIT</w:t>
      </w:r>
      <w:r w:rsidRPr="000F15D3">
        <w:rPr>
          <w:lang w:val="es-ES_tradnl"/>
        </w:rPr>
        <w:noBreakHyphen/>
        <w:t>R BT.470, UIT</w:t>
      </w:r>
      <w:r w:rsidRPr="000F15D3">
        <w:rPr>
          <w:lang w:val="es-ES_tradnl"/>
        </w:rPr>
        <w:noBreakHyphen/>
        <w:t>R BT.601 y UIT</w:t>
      </w:r>
      <w:r w:rsidRPr="000F15D3">
        <w:rPr>
          <w:lang w:val="es-ES_tradnl"/>
        </w:rPr>
        <w:noBreakHyphen/>
        <w:t>R BT.709 proporcionan especi</w:t>
      </w:r>
      <w:r w:rsidRPr="000F15D3">
        <w:rPr>
          <w:lang w:val="es-ES_tradnl"/>
        </w:rPr>
        <w:softHyphen/>
        <w:t>ficaciones completas a escala mundial sobre colorimetría y niveles de imágenes;</w:t>
      </w:r>
    </w:p>
    <w:p w:rsidR="00FD1510" w:rsidRPr="000F15D3" w:rsidRDefault="00FD1510" w:rsidP="000F15D3">
      <w:pPr>
        <w:rPr>
          <w:lang w:val="es-ES_tradnl"/>
        </w:rPr>
      </w:pPr>
      <w:r w:rsidRPr="000F15D3">
        <w:rPr>
          <w:lang w:val="es-ES_tradnl"/>
        </w:rPr>
        <w:t>c)</w:t>
      </w:r>
      <w:r w:rsidRPr="000F15D3">
        <w:rPr>
          <w:lang w:val="es-ES_tradnl"/>
        </w:rPr>
        <w:tab/>
        <w:t>que la Recomendación UIT</w:t>
      </w:r>
      <w:r w:rsidRPr="000F15D3">
        <w:rPr>
          <w:lang w:val="es-ES_tradnl"/>
        </w:rPr>
        <w:noBreakHyphen/>
        <w:t>R BT.814 presenta procedimientos de ajuste para establecer correctamente el brillo, el contraste y el equilibrio de color en las pantallas de televisión;</w:t>
      </w:r>
    </w:p>
    <w:p w:rsidR="00FD1510" w:rsidRPr="000F15D3" w:rsidRDefault="00FD1510" w:rsidP="000F15D3">
      <w:pPr>
        <w:rPr>
          <w:lang w:val="es-ES_tradnl"/>
        </w:rPr>
      </w:pPr>
      <w:r w:rsidRPr="000F15D3">
        <w:rPr>
          <w:lang w:val="es-ES_tradnl"/>
        </w:rPr>
        <w:t>d)</w:t>
      </w:r>
      <w:r w:rsidRPr="000F15D3">
        <w:rPr>
          <w:lang w:val="es-ES_tradnl"/>
        </w:rPr>
        <w:tab/>
        <w:t>que las preferencias de los telespectadores en la presentación de imágenes de televisión que llegan a los receptores domésticos pueden cambiar de un país a otro y de una persona a otra, y también puede depender de las condiciones del entorno. Ello hace aún más importante asegurar la coherencia del equilibrio y la adaptación de las imágenes de una secuencia a otra y de un programa a otro en el extremo transmisor,</w:t>
      </w:r>
    </w:p>
    <w:p w:rsidR="00FD1510" w:rsidRPr="000F15D3" w:rsidRDefault="00FD1510" w:rsidP="000F15D3">
      <w:pPr>
        <w:pStyle w:val="Call"/>
        <w:rPr>
          <w:lang w:val="es-ES_tradnl"/>
        </w:rPr>
      </w:pPr>
      <w:r w:rsidRPr="000F15D3">
        <w:rPr>
          <w:lang w:val="es-ES_tradnl"/>
        </w:rPr>
        <w:t>recomienda</w:t>
      </w:r>
    </w:p>
    <w:p w:rsidR="00FD1510" w:rsidRPr="000F15D3" w:rsidRDefault="00FD1510" w:rsidP="002607BF">
      <w:pPr>
        <w:spacing w:line="280" w:lineRule="exact"/>
        <w:rPr>
          <w:lang w:val="es-ES_tradnl"/>
        </w:rPr>
      </w:pPr>
      <w:r w:rsidRPr="000F15D3">
        <w:rPr>
          <w:b/>
          <w:bCs/>
          <w:lang w:val="es-ES_tradnl"/>
        </w:rPr>
        <w:t>1</w:t>
      </w:r>
      <w:r w:rsidRPr="000F15D3">
        <w:rPr>
          <w:lang w:val="es-ES_tradnl"/>
        </w:rPr>
        <w:tab/>
        <w:t>que las pantallas de las salas de producción y control donde se realizan los procesos de equilibrado y adaptación de imágenes se ajusten de conformidad con lo dispuesto en las Recomendaciones UIT</w:t>
      </w:r>
      <w:r w:rsidRPr="000F15D3">
        <w:rPr>
          <w:lang w:val="es-ES_tradnl"/>
        </w:rPr>
        <w:noBreakHyphen/>
        <w:t>R BT.470, UIT-R BT.601</w:t>
      </w:r>
      <w:r w:rsidR="002607BF">
        <w:rPr>
          <w:lang w:val="es-ES_tradnl"/>
        </w:rPr>
        <w:t xml:space="preserve"> y</w:t>
      </w:r>
      <w:r w:rsidRPr="000F15D3">
        <w:rPr>
          <w:lang w:val="es-ES_tradnl"/>
        </w:rPr>
        <w:t xml:space="preserve"> UIT-R BT.709, según el caso, o para proporcionar una buena adaptación metamérica</w:t>
      </w:r>
      <w:r w:rsidRPr="000F15D3">
        <w:rPr>
          <w:rStyle w:val="FootnoteReference"/>
          <w:lang w:val="es-ES_tradnl"/>
        </w:rPr>
        <w:footnoteReference w:customMarkFollows="1" w:id="2"/>
        <w:t>1</w:t>
      </w:r>
      <w:r w:rsidRPr="000F15D3">
        <w:rPr>
          <w:lang w:val="es-ES_tradnl"/>
        </w:rPr>
        <w:t xml:space="preserve"> a dicho ajuste, a fin de asegurar que el material de programa que aparece en pantalla refleja de forma fiable y coherente la intención creativa del personal de producción;</w:t>
      </w:r>
    </w:p>
    <w:p w:rsidR="00FD1510" w:rsidRPr="000F15D3" w:rsidRDefault="00FD1510" w:rsidP="000F15D3">
      <w:pPr>
        <w:rPr>
          <w:lang w:val="es-ES_tradnl"/>
        </w:rPr>
      </w:pPr>
      <w:r w:rsidRPr="000F15D3">
        <w:rPr>
          <w:b/>
          <w:bCs/>
          <w:lang w:val="es-ES_tradnl"/>
        </w:rPr>
        <w:lastRenderedPageBreak/>
        <w:t>2</w:t>
      </w:r>
      <w:r w:rsidRPr="000F15D3">
        <w:rPr>
          <w:lang w:val="es-ES_tradnl"/>
        </w:rPr>
        <w:tab/>
        <w:t>que las herramienta</w:t>
      </w:r>
      <w:r w:rsidR="000F15D3" w:rsidRPr="000F15D3">
        <w:rPr>
          <w:lang w:val="es-ES_tradnl"/>
        </w:rPr>
        <w:t>s</w:t>
      </w:r>
      <w:r w:rsidRPr="000F15D3">
        <w:rPr>
          <w:lang w:val="es-ES_tradnl"/>
        </w:rPr>
        <w:t xml:space="preserve"> y métodos de ajuste especificados en la Recomendación UIT</w:t>
      </w:r>
      <w:r w:rsidRPr="000F15D3">
        <w:rPr>
          <w:lang w:val="es-ES_tradnl"/>
        </w:rPr>
        <w:noBreakHyphen/>
        <w:t>R BT.814 se utilicen para asegurar el correcto ajuste de las pantallas;</w:t>
      </w:r>
    </w:p>
    <w:p w:rsidR="00FD1510" w:rsidRPr="000F15D3" w:rsidRDefault="00FD1510" w:rsidP="000F15D3">
      <w:pPr>
        <w:rPr>
          <w:bCs/>
          <w:lang w:val="es-ES_tradnl"/>
        </w:rPr>
      </w:pPr>
      <w:r w:rsidRPr="000F15D3">
        <w:rPr>
          <w:b/>
          <w:lang w:val="es-ES_tradnl"/>
        </w:rPr>
        <w:t>3</w:t>
      </w:r>
      <w:r w:rsidRPr="000F15D3">
        <w:rPr>
          <w:b/>
          <w:lang w:val="es-ES_tradnl"/>
        </w:rPr>
        <w:tab/>
      </w:r>
      <w:r w:rsidRPr="000F15D3">
        <w:rPr>
          <w:bCs/>
          <w:lang w:val="es-ES_tradnl"/>
        </w:rPr>
        <w:t>que se repitan en las pantallas los procedimientos de ajuste tan a menudo como lo exija la estabilidad de las mismas;</w:t>
      </w:r>
    </w:p>
    <w:p w:rsidR="00FD1510" w:rsidRPr="000F15D3" w:rsidRDefault="00FD1510" w:rsidP="000F15D3">
      <w:pPr>
        <w:rPr>
          <w:lang w:val="es-ES_tradnl"/>
        </w:rPr>
      </w:pPr>
      <w:r w:rsidRPr="000F15D3">
        <w:rPr>
          <w:b/>
          <w:bCs/>
          <w:lang w:val="es-ES_tradnl"/>
        </w:rPr>
        <w:t>4</w:t>
      </w:r>
      <w:r w:rsidRPr="000F15D3">
        <w:rPr>
          <w:lang w:val="es-ES_tradnl"/>
        </w:rPr>
        <w:tab/>
        <w:t>que en la producción de programas de televisión para uso doméstico se evite cualquier desviación con respecto al ajuste normalizado de las pantallas en las salas de producción y control, a menos que el organismo de radiodifusión haya decidido lo contrario;</w:t>
      </w:r>
    </w:p>
    <w:p w:rsidR="00FD1510" w:rsidRPr="000F15D3" w:rsidRDefault="00FD1510" w:rsidP="000F15D3">
      <w:pPr>
        <w:rPr>
          <w:bCs/>
          <w:lang w:val="es-ES_tradnl"/>
        </w:rPr>
      </w:pPr>
      <w:r w:rsidRPr="000F15D3">
        <w:rPr>
          <w:b/>
          <w:lang w:val="es-ES_tradnl"/>
        </w:rPr>
        <w:t>5</w:t>
      </w:r>
      <w:r w:rsidRPr="000F15D3">
        <w:rPr>
          <w:bCs/>
          <w:lang w:val="es-ES_tradnl"/>
        </w:rPr>
        <w:tab/>
        <w:t>que en la producción de programas de televisión en los que cabe esperar un intercambio internacional, se evite siempre cualquier desviación con respecto al ajuste normalizado de las pantallas en las salas de producción y control, a menos que así lo indiquen los requisitos creativos del personal de producción.</w:t>
      </w:r>
    </w:p>
    <w:p w:rsidR="00F77F28" w:rsidRPr="000F15D3" w:rsidRDefault="00F77F28" w:rsidP="000F15D3">
      <w:pPr>
        <w:rPr>
          <w:lang w:val="es-ES_tradnl"/>
        </w:rPr>
      </w:pPr>
    </w:p>
    <w:p w:rsidR="000A0530" w:rsidRPr="000F15D3" w:rsidRDefault="000A0530" w:rsidP="000F15D3">
      <w:pPr>
        <w:rPr>
          <w:lang w:val="es-ES_tradnl"/>
        </w:rPr>
      </w:pPr>
    </w:p>
    <w:p w:rsidR="000A0530" w:rsidRPr="000F15D3" w:rsidRDefault="000A0530" w:rsidP="000F15D3">
      <w:pPr>
        <w:rPr>
          <w:lang w:val="es-ES_tradnl"/>
        </w:rPr>
      </w:pPr>
    </w:p>
    <w:p w:rsidR="000A0530" w:rsidRPr="000F15D3" w:rsidRDefault="000A0530" w:rsidP="000F15D3">
      <w:pPr>
        <w:pStyle w:val="Line"/>
        <w:rPr>
          <w:lang w:val="es-ES_tradnl"/>
        </w:rPr>
      </w:pPr>
    </w:p>
    <w:sectPr w:rsidR="000A0530" w:rsidRPr="000F15D3" w:rsidSect="0034412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C" w:rsidRDefault="00AE798C">
      <w:r>
        <w:separator/>
      </w:r>
    </w:p>
  </w:footnote>
  <w:footnote w:type="continuationSeparator" w:id="0">
    <w:p w:rsidR="00AE798C" w:rsidRDefault="00AE798C">
      <w:r>
        <w:continuationSeparator/>
      </w:r>
    </w:p>
  </w:footnote>
  <w:footnote w:id="1">
    <w:p w:rsidR="00FD1510" w:rsidRPr="00216094" w:rsidRDefault="00FD1510">
      <w:pPr>
        <w:pStyle w:val="FootnoteText"/>
        <w:rPr>
          <w:lang w:val="es-ES_tradnl"/>
        </w:rPr>
      </w:pPr>
      <w:r w:rsidRPr="00216094">
        <w:rPr>
          <w:rStyle w:val="FootnoteReference"/>
          <w:lang w:val="es-ES_tradnl"/>
        </w:rPr>
        <w:t>*</w:t>
      </w:r>
      <w:r w:rsidRPr="00216094">
        <w:rPr>
          <w:lang w:val="es-ES_tradnl"/>
        </w:rPr>
        <w:tab/>
      </w:r>
      <w:r>
        <w:rPr>
          <w:lang w:val="es-ES_tradnl"/>
        </w:rPr>
        <w:t>En noviembre de 2009, la Comisión de Estudio 6 de Radiocomunicaciones aportó correcciones editoriales a esta Recomendación, de conformidad con la Resolución UIT-R 1.</w:t>
      </w:r>
    </w:p>
  </w:footnote>
  <w:footnote w:id="2">
    <w:p w:rsidR="00FD1510" w:rsidRDefault="00FD1510" w:rsidP="00FD1510">
      <w:pPr>
        <w:pStyle w:val="FootnoteText"/>
        <w:rPr>
          <w:lang w:val="es-ES"/>
        </w:rPr>
      </w:pPr>
      <w:r>
        <w:rPr>
          <w:rStyle w:val="FootnoteReference"/>
          <w:lang w:val="es-ES"/>
        </w:rPr>
        <w:t>1</w:t>
      </w:r>
      <w:r>
        <w:rPr>
          <w:lang w:val="es-ES"/>
        </w:rPr>
        <w:t xml:space="preserve"> </w:t>
      </w:r>
      <w:r>
        <w:rPr>
          <w:lang w:val="es-ES"/>
        </w:rPr>
        <w:tab/>
        <w:t>Se obtiene una adaptación metamérica de dos colores de distinta composición espectral cuando el observador de la Norma de la Commission internationale de l'éclairage (CIE) no puede distinguir estos dos colores mediante comparación visual.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0A0530"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417D77"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0F15D3">
      <w:rPr>
        <w:rStyle w:val="PageNumber"/>
        <w:b/>
        <w:bCs/>
        <w:noProof/>
      </w:rPr>
      <w:t>ii</w:t>
    </w:r>
    <w:r>
      <w:rPr>
        <w:rStyle w:val="PageNumber"/>
        <w:b/>
        <w:bCs/>
      </w:rPr>
      <w:fldChar w:fldCharType="end"/>
    </w:r>
    <w:r w:rsidR="00987473">
      <w:tab/>
    </w:r>
    <w:fldSimple w:instr=" DOCPROPERTY &quot;Header&quot; \* MERGEFORMAT ">
      <w:r w:rsidR="005A027C" w:rsidRPr="005A027C">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0F15D3">
      <w:rPr>
        <w:b/>
        <w:bCs/>
        <w:noProof/>
      </w:rPr>
      <w:t>UIT-R  BT.1562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5A027C" w:rsidRPr="005A027C">
        <w:rPr>
          <w:b/>
          <w:bCs/>
        </w:rPr>
        <w:t xml:space="preserve">Rec. </w:t>
      </w:r>
    </w:fldSimple>
    <w:r>
      <w:rPr>
        <w:b/>
        <w:bCs/>
      </w:rPr>
      <w:t xml:space="preserve"> </w:t>
    </w:r>
    <w:r w:rsidR="00417D77">
      <w:rPr>
        <w:b/>
        <w:bCs/>
      </w:rPr>
      <w:fldChar w:fldCharType="begin"/>
    </w:r>
    <w:r>
      <w:rPr>
        <w:b/>
        <w:bCs/>
      </w:rPr>
      <w:instrText>styleref href</w:instrText>
    </w:r>
    <w:r w:rsidR="00417D77">
      <w:rPr>
        <w:b/>
        <w:bCs/>
      </w:rPr>
      <w:fldChar w:fldCharType="separate"/>
    </w:r>
    <w:r w:rsidR="005A027C">
      <w:rPr>
        <w:b/>
        <w:bCs/>
        <w:noProof/>
      </w:rPr>
      <w:t>UIT-R  BT.1562</w:t>
    </w:r>
    <w:r w:rsidR="00417D77">
      <w:rPr>
        <w:b/>
        <w:bCs/>
      </w:rPr>
      <w:fldChar w:fldCharType="end"/>
    </w:r>
    <w:r>
      <w:tab/>
    </w:r>
    <w:r w:rsidR="00417D77">
      <w:rPr>
        <w:rStyle w:val="PageNumber"/>
        <w:b/>
        <w:bCs/>
      </w:rPr>
      <w:fldChar w:fldCharType="begin"/>
    </w:r>
    <w:r>
      <w:rPr>
        <w:rStyle w:val="PageNumber"/>
        <w:b/>
        <w:bCs/>
      </w:rPr>
      <w:instrText xml:space="preserve"> PAGE </w:instrText>
    </w:r>
    <w:r w:rsidR="00417D77">
      <w:rPr>
        <w:rStyle w:val="PageNumber"/>
        <w:b/>
        <w:bCs/>
      </w:rPr>
      <w:fldChar w:fldCharType="separate"/>
    </w:r>
    <w:r w:rsidR="005A027C">
      <w:rPr>
        <w:rStyle w:val="PageNumber"/>
        <w:b/>
        <w:bCs/>
        <w:noProof/>
      </w:rPr>
      <w:t>i</w:t>
    </w:r>
    <w:r w:rsidR="00417D7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417D77">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0F15D3">
      <w:rPr>
        <w:rStyle w:val="PageNumber"/>
        <w:b/>
        <w:bCs/>
        <w:noProof/>
        <w:lang w:val="en-US"/>
      </w:rPr>
      <w:t>2</w:t>
    </w:r>
    <w:r>
      <w:rPr>
        <w:rStyle w:val="PageNumber"/>
        <w:b/>
        <w:bCs/>
      </w:rPr>
      <w:fldChar w:fldCharType="end"/>
    </w:r>
    <w:r w:rsidR="00987473">
      <w:rPr>
        <w:lang w:val="en-US"/>
      </w:rPr>
      <w:tab/>
    </w:r>
    <w:fldSimple w:instr=" DOCPROPERTY &quot;Header&quot; \* MERGEFORMAT ">
      <w:r w:rsidR="005A027C" w:rsidRPr="005A027C">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0F15D3">
      <w:rPr>
        <w:b/>
        <w:bCs/>
        <w:noProof/>
      </w:rPr>
      <w:t>UIT-R  BT.1562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5A027C" w:rsidRPr="005A027C">
        <w:rPr>
          <w:b/>
          <w:bCs/>
        </w:rPr>
        <w:t xml:space="preserve">Rec. </w:t>
      </w:r>
    </w:fldSimple>
    <w:r>
      <w:rPr>
        <w:b/>
        <w:bCs/>
      </w:rPr>
      <w:t xml:space="preserve"> </w:t>
    </w:r>
    <w:r w:rsidR="00417D77">
      <w:rPr>
        <w:b/>
        <w:bCs/>
      </w:rPr>
      <w:fldChar w:fldCharType="begin"/>
    </w:r>
    <w:r>
      <w:rPr>
        <w:b/>
        <w:bCs/>
      </w:rPr>
      <w:instrText>styleref href</w:instrText>
    </w:r>
    <w:r w:rsidR="00417D77">
      <w:rPr>
        <w:b/>
        <w:bCs/>
      </w:rPr>
      <w:fldChar w:fldCharType="separate"/>
    </w:r>
    <w:r w:rsidR="002607BF">
      <w:rPr>
        <w:b/>
        <w:bCs/>
        <w:noProof/>
      </w:rPr>
      <w:t>UIT-R  BT.1562</w:t>
    </w:r>
    <w:r w:rsidR="00417D77">
      <w:rPr>
        <w:b/>
        <w:bCs/>
      </w:rPr>
      <w:fldChar w:fldCharType="end"/>
    </w:r>
    <w:r>
      <w:tab/>
    </w:r>
    <w:r w:rsidR="00417D77">
      <w:rPr>
        <w:rStyle w:val="PageNumber"/>
        <w:b/>
        <w:bCs/>
      </w:rPr>
      <w:fldChar w:fldCharType="begin"/>
    </w:r>
    <w:r>
      <w:rPr>
        <w:rStyle w:val="PageNumber"/>
        <w:b/>
        <w:bCs/>
      </w:rPr>
      <w:instrText xml:space="preserve"> PAGE </w:instrText>
    </w:r>
    <w:r w:rsidR="00417D77">
      <w:rPr>
        <w:rStyle w:val="PageNumber"/>
        <w:b/>
        <w:bCs/>
      </w:rPr>
      <w:fldChar w:fldCharType="separate"/>
    </w:r>
    <w:r w:rsidR="002607BF">
      <w:rPr>
        <w:rStyle w:val="PageNumber"/>
        <w:b/>
        <w:bCs/>
        <w:noProof/>
      </w:rPr>
      <w:t>1</w:t>
    </w:r>
    <w:r w:rsidR="00417D7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rsids>
    <w:rsidRoot w:val="00F77F28"/>
    <w:rsid w:val="00091138"/>
    <w:rsid w:val="000A0530"/>
    <w:rsid w:val="000F15D3"/>
    <w:rsid w:val="000F5C12"/>
    <w:rsid w:val="001C6B95"/>
    <w:rsid w:val="001E29DB"/>
    <w:rsid w:val="00216094"/>
    <w:rsid w:val="00227CED"/>
    <w:rsid w:val="002607BF"/>
    <w:rsid w:val="00284AF8"/>
    <w:rsid w:val="002D76C4"/>
    <w:rsid w:val="0032222F"/>
    <w:rsid w:val="00344123"/>
    <w:rsid w:val="00363854"/>
    <w:rsid w:val="003829F0"/>
    <w:rsid w:val="004156D2"/>
    <w:rsid w:val="00417D77"/>
    <w:rsid w:val="004452A9"/>
    <w:rsid w:val="00474E13"/>
    <w:rsid w:val="005726A7"/>
    <w:rsid w:val="005777F3"/>
    <w:rsid w:val="005A027C"/>
    <w:rsid w:val="005F43D1"/>
    <w:rsid w:val="00607D68"/>
    <w:rsid w:val="00633625"/>
    <w:rsid w:val="006553B9"/>
    <w:rsid w:val="006818DE"/>
    <w:rsid w:val="00684CC5"/>
    <w:rsid w:val="006C7692"/>
    <w:rsid w:val="00721270"/>
    <w:rsid w:val="00841C89"/>
    <w:rsid w:val="008B6031"/>
    <w:rsid w:val="00930489"/>
    <w:rsid w:val="00965853"/>
    <w:rsid w:val="00987473"/>
    <w:rsid w:val="009940E7"/>
    <w:rsid w:val="009E1F8B"/>
    <w:rsid w:val="009E470E"/>
    <w:rsid w:val="00A26FDC"/>
    <w:rsid w:val="00A43420"/>
    <w:rsid w:val="00A6617B"/>
    <w:rsid w:val="00AB0DC8"/>
    <w:rsid w:val="00AE798C"/>
    <w:rsid w:val="00AF6707"/>
    <w:rsid w:val="00B44E24"/>
    <w:rsid w:val="00C058C9"/>
    <w:rsid w:val="00C23DBD"/>
    <w:rsid w:val="00CD276D"/>
    <w:rsid w:val="00D96605"/>
    <w:rsid w:val="00DF4176"/>
    <w:rsid w:val="00E35FD1"/>
    <w:rsid w:val="00EB1B24"/>
    <w:rsid w:val="00F16D82"/>
    <w:rsid w:val="00F77F28"/>
    <w:rsid w:val="00FD1510"/>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41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44123"/>
    <w:pPr>
      <w:keepNext/>
      <w:keepLines/>
      <w:spacing w:before="480"/>
      <w:ind w:left="794" w:hanging="794"/>
      <w:outlineLvl w:val="0"/>
    </w:pPr>
    <w:rPr>
      <w:b/>
    </w:rPr>
  </w:style>
  <w:style w:type="paragraph" w:styleId="Heading2">
    <w:name w:val="heading 2"/>
    <w:basedOn w:val="Heading1"/>
    <w:next w:val="Normal"/>
    <w:qFormat/>
    <w:rsid w:val="00344123"/>
    <w:pPr>
      <w:spacing w:before="320"/>
      <w:outlineLvl w:val="1"/>
    </w:pPr>
  </w:style>
  <w:style w:type="paragraph" w:styleId="Heading3">
    <w:name w:val="heading 3"/>
    <w:basedOn w:val="Heading1"/>
    <w:next w:val="Normal"/>
    <w:qFormat/>
    <w:rsid w:val="00344123"/>
    <w:pPr>
      <w:spacing w:before="200"/>
      <w:outlineLvl w:val="2"/>
    </w:pPr>
  </w:style>
  <w:style w:type="paragraph" w:styleId="Heading4">
    <w:name w:val="heading 4"/>
    <w:basedOn w:val="Heading3"/>
    <w:next w:val="Normal"/>
    <w:qFormat/>
    <w:rsid w:val="00344123"/>
    <w:pPr>
      <w:tabs>
        <w:tab w:val="clear" w:pos="794"/>
        <w:tab w:val="left" w:pos="992"/>
      </w:tabs>
      <w:ind w:left="992" w:hanging="992"/>
      <w:outlineLvl w:val="3"/>
    </w:pPr>
  </w:style>
  <w:style w:type="paragraph" w:styleId="Heading5">
    <w:name w:val="heading 5"/>
    <w:basedOn w:val="Heading4"/>
    <w:next w:val="Normal"/>
    <w:qFormat/>
    <w:rsid w:val="00344123"/>
    <w:pPr>
      <w:outlineLvl w:val="4"/>
    </w:pPr>
  </w:style>
  <w:style w:type="paragraph" w:styleId="Heading6">
    <w:name w:val="heading 6"/>
    <w:basedOn w:val="Heading4"/>
    <w:next w:val="Normal"/>
    <w:qFormat/>
    <w:rsid w:val="00344123"/>
    <w:pPr>
      <w:tabs>
        <w:tab w:val="clear" w:pos="992"/>
        <w:tab w:val="clear" w:pos="1191"/>
      </w:tabs>
      <w:ind w:left="1588" w:hanging="1588"/>
      <w:outlineLvl w:val="5"/>
    </w:pPr>
  </w:style>
  <w:style w:type="paragraph" w:styleId="Heading7">
    <w:name w:val="heading 7"/>
    <w:basedOn w:val="Heading6"/>
    <w:next w:val="Normal"/>
    <w:qFormat/>
    <w:rsid w:val="00344123"/>
    <w:pPr>
      <w:outlineLvl w:val="6"/>
    </w:pPr>
  </w:style>
  <w:style w:type="paragraph" w:styleId="Heading8">
    <w:name w:val="heading 8"/>
    <w:basedOn w:val="Heading6"/>
    <w:next w:val="Normal"/>
    <w:qFormat/>
    <w:rsid w:val="00344123"/>
    <w:pPr>
      <w:outlineLvl w:val="7"/>
    </w:pPr>
  </w:style>
  <w:style w:type="paragraph" w:styleId="Heading9">
    <w:name w:val="heading 9"/>
    <w:basedOn w:val="Heading6"/>
    <w:next w:val="Normal"/>
    <w:qFormat/>
    <w:rsid w:val="00344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441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441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4123"/>
  </w:style>
  <w:style w:type="paragraph" w:customStyle="1" w:styleId="Headingb">
    <w:name w:val="Heading_b"/>
    <w:basedOn w:val="Heading3"/>
    <w:next w:val="Normal"/>
    <w:rsid w:val="00344123"/>
    <w:pPr>
      <w:spacing w:before="160"/>
      <w:ind w:left="0" w:firstLine="0"/>
      <w:outlineLvl w:val="9"/>
    </w:pPr>
  </w:style>
  <w:style w:type="paragraph" w:customStyle="1" w:styleId="Headingi">
    <w:name w:val="Heading_i"/>
    <w:basedOn w:val="Heading3"/>
    <w:next w:val="Normal"/>
    <w:rsid w:val="00344123"/>
    <w:pPr>
      <w:spacing w:before="160"/>
      <w:ind w:left="0" w:firstLine="0"/>
    </w:pPr>
    <w:rPr>
      <w:b w:val="0"/>
      <w:i/>
    </w:rPr>
  </w:style>
  <w:style w:type="character" w:customStyle="1" w:styleId="href">
    <w:name w:val="href"/>
    <w:basedOn w:val="DefaultParagraphFont"/>
    <w:rsid w:val="00344123"/>
  </w:style>
  <w:style w:type="paragraph" w:customStyle="1" w:styleId="enumlev1">
    <w:name w:val="enumlev1"/>
    <w:basedOn w:val="Normal"/>
    <w:rsid w:val="00344123"/>
    <w:pPr>
      <w:spacing w:before="80"/>
      <w:ind w:left="794" w:hanging="794"/>
    </w:pPr>
  </w:style>
  <w:style w:type="paragraph" w:customStyle="1" w:styleId="enumlev2">
    <w:name w:val="enumlev2"/>
    <w:basedOn w:val="enumlev1"/>
    <w:rsid w:val="00344123"/>
    <w:pPr>
      <w:ind w:left="1191" w:hanging="397"/>
    </w:pPr>
  </w:style>
  <w:style w:type="paragraph" w:customStyle="1" w:styleId="enumlev3">
    <w:name w:val="enumlev3"/>
    <w:basedOn w:val="enumlev2"/>
    <w:rsid w:val="00344123"/>
    <w:pPr>
      <w:ind w:left="1588"/>
    </w:pPr>
  </w:style>
  <w:style w:type="paragraph" w:customStyle="1" w:styleId="Normalaftertitle">
    <w:name w:val="Normal_after_title"/>
    <w:basedOn w:val="Normal"/>
    <w:next w:val="Normal"/>
    <w:rsid w:val="00344123"/>
    <w:pPr>
      <w:spacing w:before="320"/>
    </w:pPr>
  </w:style>
  <w:style w:type="paragraph" w:customStyle="1" w:styleId="Note">
    <w:name w:val="Note"/>
    <w:basedOn w:val="Normal"/>
    <w:rsid w:val="003441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4412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44123"/>
    <w:pPr>
      <w:keepNext/>
      <w:keepLines/>
      <w:spacing w:before="240"/>
      <w:jc w:val="center"/>
    </w:pPr>
    <w:rPr>
      <w:b/>
      <w:sz w:val="28"/>
    </w:rPr>
  </w:style>
  <w:style w:type="paragraph" w:customStyle="1" w:styleId="Recref">
    <w:name w:val="Rec_ref"/>
    <w:basedOn w:val="Normal"/>
    <w:next w:val="Recdate"/>
    <w:rsid w:val="00344123"/>
    <w:pPr>
      <w:jc w:val="center"/>
    </w:pPr>
  </w:style>
  <w:style w:type="paragraph" w:customStyle="1" w:styleId="Recdate">
    <w:name w:val="Rec_date"/>
    <w:basedOn w:val="Recref"/>
    <w:next w:val="Normalaftertitle"/>
    <w:rsid w:val="00344123"/>
    <w:pPr>
      <w:jc w:val="right"/>
    </w:pPr>
  </w:style>
  <w:style w:type="paragraph" w:customStyle="1" w:styleId="HeadingSum">
    <w:name w:val="Heading_Sum"/>
    <w:basedOn w:val="Headingb"/>
    <w:next w:val="Normal"/>
    <w:rsid w:val="00344123"/>
    <w:pPr>
      <w:spacing w:before="240"/>
    </w:pPr>
    <w:rPr>
      <w:sz w:val="22"/>
      <w:lang w:val="es-ES_tradnl"/>
    </w:rPr>
  </w:style>
  <w:style w:type="paragraph" w:customStyle="1" w:styleId="AnnexNoTitle">
    <w:name w:val="Annex_NoTitle"/>
    <w:basedOn w:val="Normal"/>
    <w:next w:val="Normalaftertitle"/>
    <w:rsid w:val="00344123"/>
    <w:pPr>
      <w:keepNext/>
      <w:keepLines/>
      <w:spacing w:before="480" w:after="80"/>
      <w:jc w:val="center"/>
    </w:pPr>
    <w:rPr>
      <w:b/>
      <w:sz w:val="28"/>
    </w:rPr>
  </w:style>
  <w:style w:type="paragraph" w:customStyle="1" w:styleId="AppendixNoTitle">
    <w:name w:val="Appendix_NoTitle"/>
    <w:basedOn w:val="AnnexNoTitle"/>
    <w:next w:val="Normal"/>
    <w:rsid w:val="00344123"/>
  </w:style>
  <w:style w:type="paragraph" w:customStyle="1" w:styleId="Tablefin">
    <w:name w:val="Table_fin"/>
    <w:basedOn w:val="Normal"/>
    <w:next w:val="Normal"/>
    <w:rsid w:val="00344123"/>
    <w:pPr>
      <w:spacing w:before="0"/>
    </w:pPr>
    <w:rPr>
      <w:sz w:val="20"/>
      <w:lang w:val="en-GB"/>
    </w:rPr>
  </w:style>
  <w:style w:type="paragraph" w:customStyle="1" w:styleId="Tablehead">
    <w:name w:val="Table_head"/>
    <w:basedOn w:val="Normal"/>
    <w:next w:val="Normal"/>
    <w:rsid w:val="00344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44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44123"/>
    <w:pPr>
      <w:keepNext/>
      <w:spacing w:before="360" w:after="120"/>
      <w:jc w:val="center"/>
    </w:pPr>
  </w:style>
  <w:style w:type="paragraph" w:customStyle="1" w:styleId="Tabletext">
    <w:name w:val="Table_text"/>
    <w:basedOn w:val="Normal"/>
    <w:rsid w:val="00344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44123"/>
    <w:pPr>
      <w:tabs>
        <w:tab w:val="clear" w:pos="1191"/>
        <w:tab w:val="clear" w:pos="1588"/>
        <w:tab w:val="clear" w:pos="1985"/>
        <w:tab w:val="center" w:pos="4820"/>
        <w:tab w:val="right" w:pos="9639"/>
      </w:tabs>
    </w:pPr>
  </w:style>
  <w:style w:type="paragraph" w:customStyle="1" w:styleId="Equationlegend">
    <w:name w:val="Equation_legend"/>
    <w:basedOn w:val="NormalIndent"/>
    <w:rsid w:val="00344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4123"/>
    <w:pPr>
      <w:ind w:left="794"/>
    </w:pPr>
  </w:style>
  <w:style w:type="paragraph" w:customStyle="1" w:styleId="Figurelegend">
    <w:name w:val="Figure_legend"/>
    <w:basedOn w:val="Normal"/>
    <w:rsid w:val="00344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44123"/>
    <w:pPr>
      <w:keepNext/>
      <w:keepLines/>
      <w:spacing w:before="480" w:after="80"/>
      <w:jc w:val="center"/>
    </w:pPr>
    <w:rPr>
      <w:caps/>
      <w:sz w:val="18"/>
    </w:rPr>
  </w:style>
  <w:style w:type="paragraph" w:customStyle="1" w:styleId="Figuretitle">
    <w:name w:val="Figure_title"/>
    <w:basedOn w:val="Normal"/>
    <w:next w:val="Figure"/>
    <w:rsid w:val="00344123"/>
    <w:pPr>
      <w:keepNext/>
      <w:spacing w:before="0" w:after="120"/>
      <w:jc w:val="center"/>
    </w:pPr>
    <w:rPr>
      <w:rFonts w:ascii="Times New Roman Bold" w:hAnsi="Times New Roman Bold"/>
      <w:b/>
      <w:sz w:val="18"/>
    </w:rPr>
  </w:style>
  <w:style w:type="paragraph" w:customStyle="1" w:styleId="Figure">
    <w:name w:val="Figure"/>
    <w:basedOn w:val="FigureNo"/>
    <w:next w:val="Normal"/>
    <w:rsid w:val="00344123"/>
    <w:pPr>
      <w:keepNext w:val="0"/>
      <w:spacing w:before="0" w:after="240"/>
    </w:pPr>
  </w:style>
  <w:style w:type="paragraph" w:customStyle="1" w:styleId="tocpart">
    <w:name w:val="tocpart"/>
    <w:basedOn w:val="Normal"/>
    <w:rsid w:val="00344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4123"/>
    <w:pPr>
      <w:keepNext/>
      <w:keepLines/>
      <w:spacing w:before="480"/>
      <w:jc w:val="center"/>
    </w:pPr>
    <w:rPr>
      <w:sz w:val="28"/>
    </w:rPr>
  </w:style>
  <w:style w:type="paragraph" w:customStyle="1" w:styleId="Arttitle">
    <w:name w:val="Art_title"/>
    <w:basedOn w:val="Normal"/>
    <w:next w:val="Normalaftertitle"/>
    <w:rsid w:val="00344123"/>
    <w:pPr>
      <w:keepNext/>
      <w:keepLines/>
      <w:spacing w:before="240"/>
      <w:jc w:val="center"/>
    </w:pPr>
    <w:rPr>
      <w:b/>
      <w:sz w:val="28"/>
    </w:rPr>
  </w:style>
  <w:style w:type="paragraph" w:customStyle="1" w:styleId="Blanc">
    <w:name w:val="Blanc"/>
    <w:basedOn w:val="Normal"/>
    <w:next w:val="Tabletext"/>
    <w:rsid w:val="00344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4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4123"/>
    <w:pPr>
      <w:keepNext/>
      <w:keepLines/>
      <w:spacing w:before="160"/>
      <w:ind w:left="794"/>
    </w:pPr>
    <w:rPr>
      <w:i/>
    </w:rPr>
  </w:style>
  <w:style w:type="paragraph" w:customStyle="1" w:styleId="ChapNo">
    <w:name w:val="Chap_No"/>
    <w:basedOn w:val="ArtNo"/>
    <w:next w:val="Chaptitle"/>
    <w:rsid w:val="00344123"/>
    <w:rPr>
      <w:b/>
    </w:rPr>
  </w:style>
  <w:style w:type="paragraph" w:customStyle="1" w:styleId="Chaptitle">
    <w:name w:val="Chap_title"/>
    <w:basedOn w:val="Arttitle"/>
    <w:next w:val="Normalaftertitle"/>
    <w:rsid w:val="00344123"/>
  </w:style>
  <w:style w:type="character" w:styleId="FootnoteReference">
    <w:name w:val="footnote reference"/>
    <w:basedOn w:val="DefaultParagraphFont"/>
    <w:semiHidden/>
    <w:rsid w:val="00344123"/>
    <w:rPr>
      <w:position w:val="6"/>
      <w:sz w:val="18"/>
    </w:rPr>
  </w:style>
  <w:style w:type="paragraph" w:styleId="FootnoteText">
    <w:name w:val="footnote text"/>
    <w:basedOn w:val="Normal"/>
    <w:link w:val="FootnoteTextChar"/>
    <w:semiHidden/>
    <w:rsid w:val="00344123"/>
    <w:pPr>
      <w:keepLines/>
      <w:tabs>
        <w:tab w:val="left" w:pos="255"/>
      </w:tabs>
      <w:ind w:left="255" w:hanging="255"/>
    </w:pPr>
    <w:rPr>
      <w:sz w:val="22"/>
    </w:rPr>
  </w:style>
  <w:style w:type="paragraph" w:styleId="Index1">
    <w:name w:val="index 1"/>
    <w:basedOn w:val="Normal"/>
    <w:next w:val="Normal"/>
    <w:semiHidden/>
    <w:rsid w:val="00344123"/>
  </w:style>
  <w:style w:type="paragraph" w:styleId="Index2">
    <w:name w:val="index 2"/>
    <w:basedOn w:val="Normal"/>
    <w:next w:val="Normal"/>
    <w:semiHidden/>
    <w:rsid w:val="00344123"/>
    <w:pPr>
      <w:ind w:left="283"/>
    </w:pPr>
  </w:style>
  <w:style w:type="paragraph" w:styleId="Index3">
    <w:name w:val="index 3"/>
    <w:basedOn w:val="Normal"/>
    <w:next w:val="Normal"/>
    <w:semiHidden/>
    <w:rsid w:val="00344123"/>
    <w:pPr>
      <w:ind w:left="566"/>
    </w:pPr>
  </w:style>
  <w:style w:type="paragraph" w:styleId="IndexHeading">
    <w:name w:val="index heading"/>
    <w:basedOn w:val="Normal"/>
    <w:next w:val="Index1"/>
    <w:semiHidden/>
    <w:rsid w:val="00344123"/>
  </w:style>
  <w:style w:type="paragraph" w:customStyle="1" w:styleId="Line">
    <w:name w:val="Line"/>
    <w:basedOn w:val="Normal"/>
    <w:next w:val="Normal"/>
    <w:rsid w:val="00344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4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4123"/>
  </w:style>
  <w:style w:type="paragraph" w:customStyle="1" w:styleId="Partref">
    <w:name w:val="Part_ref"/>
    <w:basedOn w:val="Normal"/>
    <w:next w:val="Normal"/>
    <w:rsid w:val="00344123"/>
    <w:pPr>
      <w:keepNext/>
      <w:keepLines/>
      <w:spacing w:after="280"/>
      <w:jc w:val="center"/>
    </w:pPr>
  </w:style>
  <w:style w:type="paragraph" w:customStyle="1" w:styleId="Parttitle">
    <w:name w:val="Part_title"/>
    <w:basedOn w:val="Normal"/>
    <w:next w:val="Normalaftertitle"/>
    <w:rsid w:val="00344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4123"/>
  </w:style>
  <w:style w:type="paragraph" w:customStyle="1" w:styleId="QuestionNo">
    <w:name w:val="Question_No"/>
    <w:basedOn w:val="RecNo"/>
    <w:next w:val="Normal"/>
    <w:rsid w:val="00344123"/>
  </w:style>
  <w:style w:type="paragraph" w:customStyle="1" w:styleId="Questionref">
    <w:name w:val="Question_ref"/>
    <w:basedOn w:val="Recref"/>
    <w:next w:val="Questiondate"/>
    <w:rsid w:val="00344123"/>
  </w:style>
  <w:style w:type="paragraph" w:customStyle="1" w:styleId="Questiontitle">
    <w:name w:val="Question_title"/>
    <w:basedOn w:val="Normal"/>
    <w:next w:val="Questionref"/>
    <w:rsid w:val="00344123"/>
  </w:style>
  <w:style w:type="paragraph" w:customStyle="1" w:styleId="Reftext">
    <w:name w:val="Ref_text"/>
    <w:basedOn w:val="Normal"/>
    <w:rsid w:val="00344123"/>
    <w:pPr>
      <w:ind w:left="794" w:hanging="794"/>
    </w:pPr>
    <w:rPr>
      <w:sz w:val="22"/>
    </w:rPr>
  </w:style>
  <w:style w:type="paragraph" w:customStyle="1" w:styleId="Reftitle">
    <w:name w:val="Ref_title"/>
    <w:basedOn w:val="Normal"/>
    <w:next w:val="Reftext"/>
    <w:rsid w:val="00344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4123"/>
  </w:style>
  <w:style w:type="paragraph" w:customStyle="1" w:styleId="RepNo">
    <w:name w:val="Rep_No"/>
    <w:basedOn w:val="RecNo"/>
    <w:next w:val="Reptitle"/>
    <w:rsid w:val="00344123"/>
  </w:style>
  <w:style w:type="paragraph" w:customStyle="1" w:styleId="Reptitle">
    <w:name w:val="Rep_title"/>
    <w:basedOn w:val="Rectitle"/>
    <w:next w:val="Repref"/>
    <w:rsid w:val="00344123"/>
  </w:style>
  <w:style w:type="paragraph" w:customStyle="1" w:styleId="Repref">
    <w:name w:val="Rep_ref"/>
    <w:basedOn w:val="Recref"/>
    <w:next w:val="Repdate"/>
    <w:rsid w:val="00344123"/>
  </w:style>
  <w:style w:type="paragraph" w:customStyle="1" w:styleId="Resdate">
    <w:name w:val="Res_date"/>
    <w:basedOn w:val="Recdate"/>
    <w:next w:val="Normalaftertitle"/>
    <w:rsid w:val="00344123"/>
  </w:style>
  <w:style w:type="paragraph" w:customStyle="1" w:styleId="ResNo">
    <w:name w:val="Res_No"/>
    <w:basedOn w:val="RecNo"/>
    <w:next w:val="Restitle"/>
    <w:rsid w:val="00344123"/>
  </w:style>
  <w:style w:type="paragraph" w:customStyle="1" w:styleId="Restitle">
    <w:name w:val="Res_title"/>
    <w:basedOn w:val="Normal"/>
    <w:next w:val="Resref"/>
    <w:rsid w:val="00344123"/>
    <w:pPr>
      <w:spacing w:before="240"/>
      <w:jc w:val="center"/>
    </w:pPr>
    <w:rPr>
      <w:b/>
      <w:sz w:val="28"/>
    </w:rPr>
  </w:style>
  <w:style w:type="paragraph" w:customStyle="1" w:styleId="Resref">
    <w:name w:val="Res_ref"/>
    <w:basedOn w:val="Recref"/>
    <w:next w:val="Resdate"/>
    <w:rsid w:val="00344123"/>
  </w:style>
  <w:style w:type="paragraph" w:customStyle="1" w:styleId="SectionNo">
    <w:name w:val="Section_No"/>
    <w:basedOn w:val="Normal"/>
    <w:next w:val="Normal"/>
    <w:rsid w:val="00344123"/>
  </w:style>
  <w:style w:type="paragraph" w:customStyle="1" w:styleId="Sectiontitle">
    <w:name w:val="Section_title"/>
    <w:basedOn w:val="Normal"/>
    <w:next w:val="Normalaftertitle"/>
    <w:rsid w:val="00344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4123"/>
    <w:pPr>
      <w:tabs>
        <w:tab w:val="clear" w:pos="794"/>
        <w:tab w:val="clear" w:pos="1191"/>
        <w:tab w:val="clear" w:pos="1588"/>
        <w:tab w:val="clear" w:pos="1985"/>
        <w:tab w:val="right" w:pos="9611"/>
      </w:tabs>
    </w:pPr>
    <w:rPr>
      <w:i/>
    </w:rPr>
  </w:style>
  <w:style w:type="paragraph" w:styleId="TOC1">
    <w:name w:val="toc 1"/>
    <w:basedOn w:val="Normal"/>
    <w:semiHidden/>
    <w:rsid w:val="003441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44123"/>
    <w:pPr>
      <w:tabs>
        <w:tab w:val="clear" w:pos="567"/>
        <w:tab w:val="left" w:pos="1276"/>
      </w:tabs>
      <w:spacing w:before="160"/>
      <w:ind w:left="1276" w:hanging="709"/>
    </w:pPr>
  </w:style>
  <w:style w:type="paragraph" w:styleId="TOC3">
    <w:name w:val="toc 3"/>
    <w:basedOn w:val="TOC2"/>
    <w:semiHidden/>
    <w:rsid w:val="00344123"/>
    <w:pPr>
      <w:tabs>
        <w:tab w:val="clear" w:pos="1276"/>
        <w:tab w:val="left" w:pos="2155"/>
      </w:tabs>
      <w:ind w:left="2155" w:hanging="879"/>
    </w:pPr>
  </w:style>
  <w:style w:type="paragraph" w:styleId="TOC4">
    <w:name w:val="toc 4"/>
    <w:basedOn w:val="TOC3"/>
    <w:semiHidden/>
    <w:rsid w:val="00344123"/>
    <w:pPr>
      <w:tabs>
        <w:tab w:val="left" w:pos="3261"/>
      </w:tabs>
      <w:spacing w:before="80"/>
      <w:ind w:left="3261" w:hanging="993"/>
    </w:pPr>
  </w:style>
  <w:style w:type="paragraph" w:styleId="TOC5">
    <w:name w:val="toc 5"/>
    <w:basedOn w:val="TOC4"/>
    <w:semiHidden/>
    <w:rsid w:val="00344123"/>
  </w:style>
  <w:style w:type="paragraph" w:styleId="TOC6">
    <w:name w:val="toc 6"/>
    <w:basedOn w:val="TOC4"/>
    <w:semiHidden/>
    <w:rsid w:val="00344123"/>
  </w:style>
  <w:style w:type="paragraph" w:styleId="TOC7">
    <w:name w:val="toc 7"/>
    <w:basedOn w:val="TOC4"/>
    <w:semiHidden/>
    <w:rsid w:val="00344123"/>
  </w:style>
  <w:style w:type="paragraph" w:styleId="TOC8">
    <w:name w:val="toc 8"/>
    <w:basedOn w:val="TOC4"/>
    <w:semiHidden/>
    <w:rsid w:val="00344123"/>
  </w:style>
  <w:style w:type="paragraph" w:customStyle="1" w:styleId="Annexref">
    <w:name w:val="Annex_ref"/>
    <w:basedOn w:val="Normal"/>
    <w:next w:val="Normalaftertitle"/>
    <w:rsid w:val="00344123"/>
    <w:pPr>
      <w:keepNext/>
      <w:keepLines/>
      <w:spacing w:after="280"/>
      <w:jc w:val="center"/>
    </w:pPr>
  </w:style>
  <w:style w:type="paragraph" w:customStyle="1" w:styleId="Appendixref">
    <w:name w:val="Appendix_ref"/>
    <w:basedOn w:val="Annexref"/>
    <w:next w:val="Normalaftertitle"/>
    <w:rsid w:val="00344123"/>
  </w:style>
  <w:style w:type="paragraph" w:customStyle="1" w:styleId="Tabletitle">
    <w:name w:val="Table_title"/>
    <w:basedOn w:val="Normal"/>
    <w:next w:val="Tablehead"/>
    <w:rsid w:val="00344123"/>
    <w:pPr>
      <w:keepNext/>
      <w:spacing w:before="0" w:after="120"/>
      <w:jc w:val="center"/>
    </w:pPr>
    <w:rPr>
      <w:b/>
    </w:rPr>
  </w:style>
  <w:style w:type="paragraph" w:customStyle="1" w:styleId="Summary">
    <w:name w:val="Summary"/>
    <w:basedOn w:val="Normal"/>
    <w:next w:val="Normalaftertitle"/>
    <w:rsid w:val="00344123"/>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character" w:customStyle="1" w:styleId="FootnoteTextChar">
    <w:name w:val="Footnote Text Char"/>
    <w:basedOn w:val="DefaultParagraphFont"/>
    <w:link w:val="FootnoteText"/>
    <w:semiHidden/>
    <w:rsid w:val="00FD1510"/>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76495-4DD1-4FF6-8E76-AD0E675B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TotalTime>
  <Pages>4</Pages>
  <Words>944</Words>
  <Characters>4956</Characters>
  <Application>Microsoft Office Word</Application>
  <DocSecurity>0</DocSecurity>
  <Lines>170</Lines>
  <Paragraphs>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5894</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10</cp:revision>
  <cp:lastPrinted>2010-07-05T08:48:00Z</cp:lastPrinted>
  <dcterms:created xsi:type="dcterms:W3CDTF">2010-07-01T10:22:00Z</dcterms:created>
  <dcterms:modified xsi:type="dcterms:W3CDTF">2010-07-05T08:51:00Z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