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4E" w:rsidRDefault="00D0214E" w:rsidP="00D0214E">
      <w:bookmarkStart w:id="0" w:name="c2tope"/>
      <w:bookmarkStart w:id="1" w:name="Doc_title"/>
      <w:bookmarkEnd w:id="0"/>
    </w:p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p w:rsidR="00D0214E" w:rsidRDefault="00D0214E" w:rsidP="00D0214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0214E" w:rsidRPr="00A443C2" w:rsidTr="00984AD4">
        <w:tc>
          <w:tcPr>
            <w:tcW w:w="10089" w:type="dxa"/>
          </w:tcPr>
          <w:p w:rsidR="00D0214E" w:rsidRPr="00B033C8" w:rsidRDefault="00D0214E" w:rsidP="00984A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0214E" w:rsidRPr="00A443C2" w:rsidRDefault="00D0214E" w:rsidP="00D021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1543</w:t>
            </w:r>
          </w:p>
          <w:p w:rsidR="00D0214E" w:rsidRPr="00A443C2" w:rsidRDefault="00D0214E" w:rsidP="00D0214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0214E" w:rsidRPr="00F54FBD" w:rsidTr="00984AD4">
        <w:tc>
          <w:tcPr>
            <w:tcW w:w="10089" w:type="dxa"/>
          </w:tcPr>
          <w:p w:rsidR="00D0214E" w:rsidRPr="0043089F" w:rsidRDefault="00D0214E" w:rsidP="00984A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D0214E" w:rsidRDefault="00D0214E" w:rsidP="00D021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Format de prise de vues à balayage progressif 1 280 × 720, 16:9 pour la production et l'échange international de programmes dans l'environnement à 60 Hz</w:t>
            </w:r>
          </w:p>
          <w:p w:rsidR="00D0214E" w:rsidRPr="0043089F" w:rsidRDefault="00D0214E" w:rsidP="00984A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D0214E" w:rsidRPr="00F54FBD" w:rsidTr="00984AD4">
        <w:tc>
          <w:tcPr>
            <w:tcW w:w="10089" w:type="dxa"/>
          </w:tcPr>
          <w:p w:rsidR="00D0214E" w:rsidRPr="00F54FBD" w:rsidRDefault="00D0214E" w:rsidP="00984AD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0214E" w:rsidRPr="00F54FBD" w:rsidRDefault="00D0214E" w:rsidP="00984AD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D0214E" w:rsidRPr="00F54FBD" w:rsidRDefault="00D0214E" w:rsidP="00984AD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D0214E" w:rsidRPr="00F54FBD" w:rsidRDefault="00D0214E" w:rsidP="00984A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D0214E" w:rsidRPr="0043089F" w:rsidRDefault="00D0214E" w:rsidP="00984AD4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spacing w:before="80"/>
        <w:rPr>
          <w:i/>
          <w:sz w:val="22"/>
        </w:rPr>
      </w:pPr>
    </w:p>
    <w:p w:rsidR="00D0214E" w:rsidRPr="00F54FBD" w:rsidRDefault="00D0214E" w:rsidP="00D0214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D0214E" w:rsidRPr="00F54FBD" w:rsidSect="0014322C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AC5944" w:rsidRPr="00F54FBD" w:rsidRDefault="00AC5944" w:rsidP="00AC594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r w:rsidRPr="00F54FBD">
        <w:rPr>
          <w:bCs/>
          <w:sz w:val="24"/>
          <w:szCs w:val="24"/>
        </w:rPr>
        <w:lastRenderedPageBreak/>
        <w:t>Avant-propos</w:t>
      </w:r>
    </w:p>
    <w:p w:rsidR="00AC5944" w:rsidRPr="00F54FBD" w:rsidRDefault="00AC5944" w:rsidP="00AC5944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AC5944" w:rsidRPr="00F54FBD" w:rsidRDefault="00AC5944" w:rsidP="00AC5944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AC5944" w:rsidRPr="00E44CBB" w:rsidRDefault="00AC5944" w:rsidP="00AC5944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AC5944" w:rsidRPr="00E44CBB" w:rsidRDefault="00AC5944" w:rsidP="00AC5944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œuvre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AC5944" w:rsidRPr="00C57597" w:rsidRDefault="00AC5944" w:rsidP="00AC5944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AC5944" w:rsidRPr="009454F8" w:rsidTr="00AC4109">
        <w:tc>
          <w:tcPr>
            <w:tcW w:w="9360" w:type="dxa"/>
            <w:gridSpan w:val="2"/>
          </w:tcPr>
          <w:p w:rsidR="00AC5944" w:rsidRPr="009454F8" w:rsidRDefault="00AC5944" w:rsidP="00AC410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AC5944" w:rsidRPr="009454F8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AC5944" w:rsidRPr="00036EE3" w:rsidTr="00AC4109">
        <w:tc>
          <w:tcPr>
            <w:tcW w:w="1140" w:type="dxa"/>
            <w:tcBorders>
              <w:bottom w:val="nil"/>
            </w:tcBorders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AC5944" w:rsidRPr="00614CC6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AC5944" w:rsidRPr="009454F8" w:rsidTr="00AC410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C5944" w:rsidRPr="0014322C" w:rsidRDefault="00AC5944" w:rsidP="00AC4109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C5944" w:rsidRPr="0014322C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AC5944" w:rsidRPr="00036EE3" w:rsidTr="00AC4109">
        <w:tc>
          <w:tcPr>
            <w:tcW w:w="1140" w:type="dxa"/>
            <w:tcBorders>
              <w:top w:val="nil"/>
              <w:bottom w:val="nil"/>
            </w:tcBorders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AC5944" w:rsidRPr="00614CC6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AC5944" w:rsidRPr="00ED2695" w:rsidTr="00AC410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C5944" w:rsidRPr="0014322C" w:rsidRDefault="00AC5944" w:rsidP="00AC4109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C5944" w:rsidRPr="0014322C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AC5944" w:rsidRPr="00036EE3" w:rsidTr="00AC410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C5944" w:rsidRPr="00614CC6" w:rsidRDefault="00AC5944" w:rsidP="00AC410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AC5944" w:rsidRPr="00592F9F" w:rsidTr="00AC410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C5944" w:rsidRPr="00766861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C5944" w:rsidRPr="00766861" w:rsidRDefault="00AC5944" w:rsidP="00AC410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AC5944" w:rsidRPr="00036EE3" w:rsidTr="00AC4109">
        <w:tc>
          <w:tcPr>
            <w:tcW w:w="1140" w:type="dxa"/>
            <w:tcBorders>
              <w:top w:val="nil"/>
            </w:tcBorders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C5944" w:rsidRPr="00614CC6" w:rsidRDefault="00AC5944" w:rsidP="00AC4109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AC5944" w:rsidRPr="00614CC6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AC5944" w:rsidRPr="00036EE3" w:rsidTr="00AC4109">
        <w:tc>
          <w:tcPr>
            <w:tcW w:w="1140" w:type="dxa"/>
            <w:shd w:val="clear" w:color="auto" w:fill="auto"/>
          </w:tcPr>
          <w:p w:rsidR="00AC5944" w:rsidRPr="00592F9F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AC5944" w:rsidRPr="00592F9F" w:rsidRDefault="00AC5944" w:rsidP="00AC4109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AC5944" w:rsidRPr="00614CC6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AC5944" w:rsidRPr="00036EE3" w:rsidTr="00AC4109">
        <w:tc>
          <w:tcPr>
            <w:tcW w:w="1140" w:type="dxa"/>
          </w:tcPr>
          <w:p w:rsidR="00AC5944" w:rsidRPr="00614CC6" w:rsidRDefault="00AC5944" w:rsidP="00AC4109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C5944" w:rsidRPr="00614CC6" w:rsidRDefault="00AC5944" w:rsidP="00AC4109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AC5944" w:rsidRPr="00036EE3" w:rsidRDefault="00AC5944" w:rsidP="00AC5944">
      <w:pPr>
        <w:spacing w:before="0"/>
        <w:jc w:val="center"/>
        <w:rPr>
          <w:sz w:val="20"/>
          <w:lang w:val="en-US"/>
        </w:rPr>
      </w:pPr>
    </w:p>
    <w:p w:rsidR="00AC5944" w:rsidRPr="00036EE3" w:rsidRDefault="00AC5944" w:rsidP="00AC5944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AC5944" w:rsidRPr="00756B4D" w:rsidTr="00AC4109">
        <w:tc>
          <w:tcPr>
            <w:tcW w:w="9360" w:type="dxa"/>
          </w:tcPr>
          <w:p w:rsidR="00AC5944" w:rsidRPr="00756B4D" w:rsidRDefault="00AC5944" w:rsidP="00AC4109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AC5944" w:rsidRPr="00756B4D" w:rsidRDefault="00AC5944" w:rsidP="00AC5944">
      <w:pPr>
        <w:spacing w:before="0"/>
        <w:jc w:val="center"/>
        <w:rPr>
          <w:sz w:val="22"/>
        </w:rPr>
      </w:pPr>
    </w:p>
    <w:p w:rsidR="00AC5944" w:rsidRPr="00614CC6" w:rsidRDefault="00AC5944" w:rsidP="00AC5944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AC5944" w:rsidRPr="00614CC6" w:rsidRDefault="00AC5944" w:rsidP="00AC5944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12</w:t>
      </w:r>
    </w:p>
    <w:p w:rsidR="00AC5944" w:rsidRPr="00614CC6" w:rsidRDefault="00AC5944" w:rsidP="00AC5944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12</w:t>
      </w:r>
    </w:p>
    <w:p w:rsidR="00AC5944" w:rsidRPr="00614CC6" w:rsidRDefault="00AC5944" w:rsidP="00AC5944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AC5944" w:rsidRPr="00614CC6" w:rsidRDefault="00AC5944" w:rsidP="00AC5944">
      <w:pPr>
        <w:spacing w:before="160"/>
        <w:rPr>
          <w:i/>
          <w:sz w:val="20"/>
          <w:highlight w:val="yellow"/>
        </w:rPr>
        <w:sectPr w:rsidR="00AC5944" w:rsidRPr="00614CC6" w:rsidSect="008E7A55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C5944" w:rsidRDefault="00AC5944" w:rsidP="00AC5944">
      <w:pPr>
        <w:pStyle w:val="RecNo"/>
        <w:spacing w:before="0"/>
      </w:pPr>
      <w:bookmarkStart w:id="3" w:name="irecnoe"/>
      <w:bookmarkEnd w:id="3"/>
      <w:r>
        <w:lastRenderedPageBreak/>
        <w:t xml:space="preserve">RECOMMANDATION  </w:t>
      </w:r>
      <w:r>
        <w:rPr>
          <w:rStyle w:val="href"/>
        </w:rPr>
        <w:t>UIT-R  BT</w:t>
      </w:r>
      <w:bookmarkEnd w:id="1"/>
      <w:r>
        <w:rPr>
          <w:rStyle w:val="href"/>
        </w:rPr>
        <w:t>.1543</w:t>
      </w:r>
      <w:r w:rsidRPr="00D525C8">
        <w:rPr>
          <w:position w:val="6"/>
          <w:sz w:val="18"/>
        </w:rPr>
        <w:footnoteReference w:customMarkFollows="1" w:id="1"/>
        <w:sym w:font="Symbol" w:char="F02A"/>
      </w:r>
    </w:p>
    <w:p w:rsidR="00AC5944" w:rsidRDefault="00AC5944" w:rsidP="00AC5944">
      <w:pPr>
        <w:pStyle w:val="Rectitle"/>
      </w:pPr>
      <w:r w:rsidRPr="00873866">
        <w:t>Format de prise de vues à balayage progressif 1</w:t>
      </w:r>
      <w:r w:rsidRPr="00873866">
        <w:rPr>
          <w:rFonts w:ascii="Tms Rmn" w:hAnsi="Tms Rmn"/>
          <w:sz w:val="12"/>
        </w:rPr>
        <w:t> </w:t>
      </w:r>
      <w:r>
        <w:t>280 </w:t>
      </w:r>
      <w:r w:rsidRPr="00873866">
        <w:rPr>
          <w:rFonts w:ascii="Symbol" w:hAnsi="Symbol"/>
        </w:rPr>
        <w:t></w:t>
      </w:r>
      <w:r>
        <w:t> </w:t>
      </w:r>
      <w:r w:rsidRPr="00873866">
        <w:t>720, 16</w:t>
      </w:r>
      <w:r w:rsidRPr="00873866">
        <w:rPr>
          <w:rFonts w:ascii="Symbol" w:hAnsi="Symbol"/>
        </w:rPr>
        <w:t></w:t>
      </w:r>
      <w:r w:rsidRPr="00873866">
        <w:t>9 pour la production et l'échange international de programmes dans l'environnement à 60 Hz</w:t>
      </w:r>
    </w:p>
    <w:p w:rsidR="00AC5944" w:rsidRPr="00873866" w:rsidRDefault="00AC5944" w:rsidP="007C6614">
      <w:pPr>
        <w:pStyle w:val="Recref"/>
      </w:pPr>
      <w:bookmarkStart w:id="4" w:name="Related_Questions"/>
      <w:r w:rsidRPr="00873866">
        <w:t>(Question UIT-R 1/6)</w:t>
      </w:r>
      <w:bookmarkEnd w:id="4"/>
    </w:p>
    <w:p w:rsidR="00AC5944" w:rsidRDefault="00AC5944" w:rsidP="00AC5944">
      <w:pPr>
        <w:pStyle w:val="Recdate"/>
      </w:pPr>
      <w:bookmarkStart w:id="5" w:name="Revision_history"/>
      <w:r w:rsidRPr="00873866">
        <w:t>(2001)</w:t>
      </w:r>
      <w:bookmarkEnd w:id="5"/>
    </w:p>
    <w:p w:rsidR="00AC5944" w:rsidRPr="00D525C8" w:rsidRDefault="00AC5944" w:rsidP="00AC5944">
      <w:pPr>
        <w:pStyle w:val="Normalaftertitle"/>
      </w:pPr>
      <w:r w:rsidRPr="00D525C8">
        <w:t>L'Assemblée des radiocommunications de l'UIT,</w:t>
      </w:r>
    </w:p>
    <w:p w:rsidR="00AC5944" w:rsidRPr="00D525C8" w:rsidRDefault="00AC5944" w:rsidP="00AC5944">
      <w:pPr>
        <w:pStyle w:val="Call"/>
      </w:pPr>
      <w:r w:rsidRPr="00D525C8">
        <w:t>considérant</w:t>
      </w:r>
    </w:p>
    <w:p w:rsidR="00AC5944" w:rsidRPr="00D525C8" w:rsidRDefault="00AC5944" w:rsidP="00AC5944">
      <w:r w:rsidRPr="00D525C8">
        <w:t>a)</w:t>
      </w:r>
      <w:r w:rsidRPr="00D525C8">
        <w:tab/>
        <w:t>que la production numérique sera de plus en plus constituée de l'association de sources audio, vidéo, de données et de contenus interactifs;</w:t>
      </w:r>
    </w:p>
    <w:p w:rsidR="00AC5944" w:rsidRPr="00D525C8" w:rsidRDefault="00AC5944" w:rsidP="00AC5944">
      <w:r w:rsidRPr="00D525C8">
        <w:t>b)</w:t>
      </w:r>
      <w:r w:rsidRPr="00D525C8">
        <w:tab/>
        <w:t>que les équipements de production numérique sont de plus en plus conçus pour fonctionner avec une diversité de formats d'image, dont le format 1</w:t>
      </w:r>
      <w:r w:rsidRPr="00D525C8">
        <w:rPr>
          <w:rFonts w:ascii="Tms Rmn" w:hAnsi="Tms Rmn"/>
          <w:sz w:val="12"/>
        </w:rPr>
        <w:t> </w:t>
      </w:r>
      <w:r w:rsidRPr="00D525C8">
        <w:t>280 </w:t>
      </w:r>
      <w:r w:rsidRPr="00D525C8">
        <w:rPr>
          <w:rFonts w:ascii="Symbol" w:hAnsi="Symbol"/>
        </w:rPr>
        <w:t></w:t>
      </w:r>
      <w:r w:rsidRPr="00D525C8">
        <w:t> 720, 16</w:t>
      </w:r>
      <w:r w:rsidRPr="00D525C8">
        <w:rPr>
          <w:rFonts w:ascii="Symbol" w:hAnsi="Symbol"/>
        </w:rPr>
        <w:t></w:t>
      </w:r>
      <w:r w:rsidRPr="00D525C8">
        <w:t>9, à balayage progressif (720P);</w:t>
      </w:r>
    </w:p>
    <w:p w:rsidR="00AC5944" w:rsidRPr="00D525C8" w:rsidRDefault="00AC5944" w:rsidP="00AC5944">
      <w:r w:rsidRPr="00D525C8">
        <w:t>c)</w:t>
      </w:r>
      <w:r w:rsidRPr="00D525C8">
        <w:tab/>
        <w:t>qu'il est aisé de réaliser une conversion des formats à balayage progressif vers d'autres formats avec la qualité nécessaire pour la production;</w:t>
      </w:r>
    </w:p>
    <w:p w:rsidR="00AC5944" w:rsidRPr="00D525C8" w:rsidRDefault="00AC5944" w:rsidP="00AC5944">
      <w:r w:rsidRPr="00D525C8">
        <w:t>d)</w:t>
      </w:r>
      <w:r w:rsidRPr="00D525C8">
        <w:tab/>
        <w:t>qu'un format 720P à 30/60 Hz donne accès à un ensemble utile d'options de débits binaires avec compression verticale et temporelle;</w:t>
      </w:r>
    </w:p>
    <w:p w:rsidR="00AC5944" w:rsidRPr="00D525C8" w:rsidRDefault="00AC5944" w:rsidP="00AC5944">
      <w:r w:rsidRPr="00D525C8">
        <w:t>e)</w:t>
      </w:r>
      <w:r w:rsidRPr="00D525C8">
        <w:tab/>
        <w:t>qu'un format de production 720P constitue un format efficace de haute résolution verticale temporelle adapté à l'interface série numérique de production à 1,5 Gbit/s utilisée couramment;</w:t>
      </w:r>
    </w:p>
    <w:p w:rsidR="00AC5944" w:rsidRPr="00D525C8" w:rsidRDefault="00AC5944" w:rsidP="00AC5944">
      <w:r w:rsidRPr="00D525C8">
        <w:t>f)</w:t>
      </w:r>
      <w:r w:rsidRPr="00D525C8">
        <w:tab/>
        <w:t>qu'il est avantageux en termes d'échange d'avoir un maximum de valeurs de paramètres identiques à celles de la Recommandation UIT</w:t>
      </w:r>
      <w:r w:rsidRPr="00D525C8">
        <w:noBreakHyphen/>
        <w:t>R BT.709;</w:t>
      </w:r>
    </w:p>
    <w:p w:rsidR="00AC5944" w:rsidRPr="00D525C8" w:rsidRDefault="00AC5944" w:rsidP="00AC5944">
      <w:r w:rsidRPr="00D525C8">
        <w:t>g)</w:t>
      </w:r>
      <w:r w:rsidRPr="00D525C8">
        <w:tab/>
        <w:t>que le format 720P fournit un ensemble de caractéristiques spatiales entre les Recommandations UIT-R BT.601, UIT-R BT.1358 et UIT-R BT.709, ce qui constitue une solution efficace pour certaines applications relatives à l'acquisition, à la production et au stockage;</w:t>
      </w:r>
    </w:p>
    <w:p w:rsidR="00AC5944" w:rsidRPr="00D525C8" w:rsidRDefault="00AC5944" w:rsidP="00AC5944">
      <w:r w:rsidRPr="00D525C8">
        <w:t>h)</w:t>
      </w:r>
      <w:r w:rsidRPr="00D525C8">
        <w:tab/>
        <w:t>que l'interopérabilité du format d'image avec les applications informatiques constitue un aspect de plus en plus important, et que le format 720P est tout à fait adapté à ces applications,</w:t>
      </w:r>
    </w:p>
    <w:p w:rsidR="00AC5944" w:rsidRPr="00D525C8" w:rsidRDefault="00AC5944" w:rsidP="00AC5944">
      <w:pPr>
        <w:pStyle w:val="Call"/>
      </w:pPr>
      <w:r w:rsidRPr="00D525C8">
        <w:t>recommande</w:t>
      </w:r>
    </w:p>
    <w:p w:rsidR="00AC5944" w:rsidRDefault="00AC5944" w:rsidP="00AC5944">
      <w:pPr>
        <w:pStyle w:val="Normalaftertitle"/>
      </w:pPr>
      <w:r w:rsidRPr="00D525C8">
        <w:rPr>
          <w:b/>
        </w:rPr>
        <w:t>1</w:t>
      </w:r>
      <w:r w:rsidRPr="00D525C8">
        <w:rPr>
          <w:b/>
        </w:rPr>
        <w:tab/>
      </w:r>
      <w:r w:rsidRPr="00D525C8">
        <w:t>d'utiliser les paramètres de l'Annexe 1 pour la production et l'échange international de programmes dans l'environnement à 60 Hz, pour le format d'image 1</w:t>
      </w:r>
      <w:r w:rsidRPr="00D525C8">
        <w:rPr>
          <w:rFonts w:ascii="Tms Rmn" w:hAnsi="Tms Rmn"/>
          <w:sz w:val="12"/>
        </w:rPr>
        <w:t> </w:t>
      </w:r>
      <w:r w:rsidRPr="00D525C8">
        <w:t>280 </w:t>
      </w:r>
      <w:r w:rsidRPr="00D525C8">
        <w:rPr>
          <w:rFonts w:ascii="Symbol" w:hAnsi="Symbol"/>
        </w:rPr>
        <w:t></w:t>
      </w:r>
      <w:r w:rsidRPr="00D525C8">
        <w:t> 720.</w:t>
      </w:r>
    </w:p>
    <w:p w:rsidR="00AC5944" w:rsidRDefault="00AC5944" w:rsidP="00AC5944"/>
    <w:p w:rsidR="00AC5944" w:rsidRPr="00D525C8" w:rsidRDefault="00AC5944" w:rsidP="00AC5944">
      <w:pPr>
        <w:pStyle w:val="AnnexNoTitle"/>
      </w:pPr>
      <w:r>
        <w:lastRenderedPageBreak/>
        <w:t>Annexe</w:t>
      </w:r>
      <w:r w:rsidRPr="00D525C8">
        <w:t xml:space="preserve"> 1</w:t>
      </w:r>
      <w:r>
        <w:br/>
      </w:r>
      <w:r>
        <w:br/>
      </w:r>
      <w:r w:rsidRPr="00D525C8">
        <w:t>Système de prise de vues à balayage progressif 1</w:t>
      </w:r>
      <w:r w:rsidRPr="00D525C8">
        <w:rPr>
          <w:rFonts w:ascii="Tms Rmn" w:hAnsi="Tms Rmn"/>
          <w:sz w:val="12"/>
        </w:rPr>
        <w:t> </w:t>
      </w:r>
      <w:r w:rsidRPr="00D525C8">
        <w:t xml:space="preserve">280 </w:t>
      </w:r>
      <w:r w:rsidRPr="00D525C8">
        <w:rPr>
          <w:rFonts w:ascii="Symbol" w:hAnsi="Symbol"/>
        </w:rPr>
        <w:t></w:t>
      </w:r>
      <w:r w:rsidRPr="00D525C8">
        <w:t xml:space="preserve"> 720</w:t>
      </w:r>
    </w:p>
    <w:p w:rsidR="00AC5944" w:rsidRPr="00D525C8" w:rsidRDefault="00AC5944" w:rsidP="00AC5944">
      <w:pPr>
        <w:pStyle w:val="Headingb"/>
      </w:pPr>
      <w:r w:rsidRPr="00D525C8">
        <w:t>Introduction</w:t>
      </w:r>
    </w:p>
    <w:p w:rsidR="00AC5944" w:rsidRPr="00D525C8" w:rsidRDefault="00AC5944" w:rsidP="00AC5944">
      <w:r w:rsidRPr="00D525C8">
        <w:t>Ce format d'image est défini de manière à présenter des valeurs communes de paramètre d'image indépendantes de la fréquence image, en particulier la fréquence d'horloge de référence commune du système à 74,25 MHz. Les fréquences image suivantes sont spécifiées dans la présente Annexe: 60 Hz, 59,94 Hz, 30 Hz, 29,97 Hz.</w:t>
      </w:r>
    </w:p>
    <w:p w:rsidR="00AC5944" w:rsidRPr="00D525C8" w:rsidRDefault="00AC5944" w:rsidP="00AC5944">
      <w:r w:rsidRPr="00D525C8">
        <w:t>Les images sont uniquement définies pour un mode de balayage progressif de la prise de vues (P).</w:t>
      </w:r>
    </w:p>
    <w:p w:rsidR="00AC5944" w:rsidRPr="00D525C8" w:rsidRDefault="00AC5944" w:rsidP="007C6614">
      <w:pPr>
        <w:pStyle w:val="Heading1"/>
      </w:pPr>
      <w:r w:rsidRPr="00D525C8">
        <w:t>1</w:t>
      </w:r>
      <w:r w:rsidRPr="00D525C8">
        <w:tab/>
        <w:t>Conversion optoélectronique</w:t>
      </w:r>
    </w:p>
    <w:p w:rsidR="00AC5944" w:rsidRPr="00D525C8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en-GB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0"/>
        <w:gridCol w:w="4339"/>
        <w:gridCol w:w="2255"/>
        <w:gridCol w:w="2255"/>
      </w:tblGrid>
      <w:tr w:rsidR="00AC5944" w:rsidRPr="00D525C8" w:rsidTr="00D240B2">
        <w:trPr>
          <w:cantSplit/>
          <w:jc w:val="center"/>
        </w:trPr>
        <w:tc>
          <w:tcPr>
            <w:tcW w:w="790" w:type="dxa"/>
            <w:vAlign w:val="center"/>
          </w:tcPr>
          <w:p w:rsidR="00AC5944" w:rsidRPr="00D525C8" w:rsidRDefault="00AC5944" w:rsidP="00AC4109">
            <w:pPr>
              <w:pStyle w:val="Tablehead"/>
            </w:pPr>
            <w:r w:rsidRPr="00D525C8">
              <w:t>Point</w:t>
            </w:r>
          </w:p>
        </w:tc>
        <w:tc>
          <w:tcPr>
            <w:tcW w:w="4339" w:type="dxa"/>
            <w:vAlign w:val="center"/>
          </w:tcPr>
          <w:p w:rsidR="00AC5944" w:rsidRPr="00D525C8" w:rsidRDefault="00AC5944" w:rsidP="00AC4109">
            <w:pPr>
              <w:pStyle w:val="Tablehead"/>
            </w:pPr>
            <w:r w:rsidRPr="00D525C8">
              <w:t>Paramètre</w:t>
            </w:r>
          </w:p>
        </w:tc>
        <w:tc>
          <w:tcPr>
            <w:tcW w:w="4510" w:type="dxa"/>
            <w:gridSpan w:val="2"/>
          </w:tcPr>
          <w:p w:rsidR="00AC5944" w:rsidRPr="00D525C8" w:rsidRDefault="00AC5944" w:rsidP="00AC4109">
            <w:pPr>
              <w:pStyle w:val="Tablehead"/>
            </w:pPr>
            <w:r w:rsidRPr="00D525C8">
              <w:t>Valeurs</w:t>
            </w:r>
          </w:p>
        </w:tc>
      </w:tr>
      <w:tr w:rsidR="00AC5944" w:rsidRPr="00D525C8" w:rsidTr="00D240B2">
        <w:trPr>
          <w:cantSplit/>
          <w:jc w:val="center"/>
        </w:trPr>
        <w:tc>
          <w:tcPr>
            <w:tcW w:w="790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1.1</w:t>
            </w:r>
          </w:p>
        </w:tc>
        <w:tc>
          <w:tcPr>
            <w:tcW w:w="4339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Caractéristiques de transfert optoélectronique avant précorrection non linéaire</w:t>
            </w:r>
          </w:p>
        </w:tc>
        <w:tc>
          <w:tcPr>
            <w:tcW w:w="4510" w:type="dxa"/>
            <w:gridSpan w:val="2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Supposée linéaire</w:t>
            </w:r>
          </w:p>
        </w:tc>
      </w:tr>
      <w:tr w:rsidR="00AC5944" w:rsidRPr="00D525C8" w:rsidTr="00D240B2">
        <w:trPr>
          <w:cantSplit/>
          <w:jc w:val="center"/>
        </w:trPr>
        <w:tc>
          <w:tcPr>
            <w:tcW w:w="790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1.2</w:t>
            </w:r>
          </w:p>
        </w:tc>
        <w:tc>
          <w:tcPr>
            <w:tcW w:w="4339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Caractéristiques de transfert optoélectronique globales à la source</w:t>
            </w:r>
          </w:p>
        </w:tc>
        <w:tc>
          <w:tcPr>
            <w:tcW w:w="4510" w:type="dxa"/>
            <w:gridSpan w:val="2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rPr>
                <w:i/>
              </w:rPr>
              <w:t>V</w:t>
            </w:r>
            <w:r w:rsidRPr="00D525C8">
              <w:t> </w:t>
            </w:r>
            <w:r w:rsidRPr="00D525C8">
              <w:rPr>
                <w:rFonts w:ascii="Symbol" w:hAnsi="Symbol"/>
              </w:rPr>
              <w:t></w:t>
            </w:r>
            <w:r w:rsidRPr="00D525C8">
              <w:t xml:space="preserve"> 1,099 </w:t>
            </w:r>
            <w:r w:rsidRPr="00D525C8">
              <w:rPr>
                <w:i/>
              </w:rPr>
              <w:t>L</w:t>
            </w:r>
            <w:r w:rsidRPr="00D525C8">
              <w:rPr>
                <w:position w:val="6"/>
                <w:sz w:val="16"/>
              </w:rPr>
              <w:t>0,45</w:t>
            </w:r>
            <w:r w:rsidRPr="00D525C8">
              <w:t xml:space="preserve"> – 0,099</w:t>
            </w:r>
            <w:r w:rsidRPr="00D525C8">
              <w:tab/>
            </w:r>
            <w:r w:rsidRPr="00D525C8">
              <w:tab/>
              <w:t xml:space="preserve">pour 1 </w:t>
            </w:r>
            <w:r w:rsidRPr="00D525C8">
              <w:rPr>
                <w:rFonts w:ascii="Symbol" w:hAnsi="Symbol"/>
              </w:rPr>
              <w:t></w:t>
            </w:r>
            <w:r w:rsidRPr="00D525C8">
              <w:t xml:space="preserve"> </w:t>
            </w:r>
            <w:r w:rsidRPr="00D525C8">
              <w:rPr>
                <w:i/>
              </w:rPr>
              <w:t>L</w:t>
            </w:r>
            <w:r w:rsidRPr="00D525C8">
              <w:t xml:space="preserve"> </w:t>
            </w:r>
            <w:r w:rsidRPr="00D525C8">
              <w:rPr>
                <w:rFonts w:ascii="Symbol" w:hAnsi="Symbol"/>
              </w:rPr>
              <w:t></w:t>
            </w:r>
            <w:r w:rsidRPr="00D525C8">
              <w:t xml:space="preserve"> 0,018</w:t>
            </w:r>
            <w:r w:rsidRPr="00D525C8">
              <w:br/>
            </w:r>
            <w:r w:rsidRPr="00D525C8">
              <w:tab/>
            </w:r>
            <w:r w:rsidRPr="00D525C8">
              <w:rPr>
                <w:i/>
                <w:iCs/>
              </w:rPr>
              <w:t>V</w:t>
            </w:r>
            <w:r w:rsidRPr="00D525C8">
              <w:t> </w:t>
            </w:r>
            <w:r w:rsidRPr="00D525C8">
              <w:rPr>
                <w:rFonts w:ascii="Symbol" w:hAnsi="Symbol"/>
              </w:rPr>
              <w:t></w:t>
            </w:r>
            <w:r w:rsidRPr="00D525C8">
              <w:t xml:space="preserve"> 4,500 </w:t>
            </w:r>
            <w:r w:rsidRPr="00D525C8">
              <w:rPr>
                <w:i/>
                <w:iCs/>
              </w:rPr>
              <w:t>L</w:t>
            </w:r>
            <w:r w:rsidRPr="00D525C8">
              <w:tab/>
            </w:r>
            <w:r w:rsidRPr="00D525C8">
              <w:tab/>
            </w:r>
            <w:r w:rsidRPr="00D525C8">
              <w:tab/>
            </w:r>
            <w:r w:rsidRPr="00D525C8">
              <w:tab/>
            </w:r>
            <w:r w:rsidRPr="00D525C8">
              <w:tab/>
              <w:t>pour 0,018 </w:t>
            </w:r>
            <w:r w:rsidRPr="00D525C8">
              <w:rPr>
                <w:rFonts w:ascii="Symbol" w:hAnsi="Symbol"/>
              </w:rPr>
              <w:t></w:t>
            </w:r>
            <w:r w:rsidRPr="00D525C8">
              <w:t> </w:t>
            </w:r>
            <w:r w:rsidRPr="00D525C8">
              <w:rPr>
                <w:i/>
                <w:iCs/>
              </w:rPr>
              <w:t>L</w:t>
            </w:r>
            <w:r w:rsidRPr="00D525C8">
              <w:t> </w:t>
            </w:r>
            <w:r w:rsidRPr="00D525C8">
              <w:rPr>
                <w:rFonts w:ascii="Symbol" w:hAnsi="Symbol"/>
              </w:rPr>
              <w:t></w:t>
            </w:r>
            <w:r w:rsidRPr="00D525C8">
              <w:t> 0</w:t>
            </w:r>
          </w:p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où:</w:t>
            </w:r>
          </w:p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rPr>
                <w:i/>
                <w:iCs/>
              </w:rPr>
              <w:t>L</w:t>
            </w:r>
            <w:r w:rsidRPr="00D525C8">
              <w:rPr>
                <w:rFonts w:ascii="Tms Rmn" w:hAnsi="Tms Rmn"/>
              </w:rPr>
              <w:t> </w:t>
            </w:r>
            <w:r w:rsidRPr="00D525C8">
              <w:t>:</w:t>
            </w:r>
            <w:r w:rsidRPr="00D525C8">
              <w:tab/>
              <w:t>luminance de l'image 0 </w:t>
            </w:r>
            <w:r w:rsidRPr="00D525C8">
              <w:rPr>
                <w:rFonts w:ascii="Symbol" w:hAnsi="Symbol"/>
              </w:rPr>
              <w:t></w:t>
            </w:r>
            <w:r w:rsidRPr="00D525C8">
              <w:t> </w:t>
            </w:r>
            <w:r w:rsidRPr="00D525C8">
              <w:rPr>
                <w:i/>
                <w:iCs/>
              </w:rPr>
              <w:t>L</w:t>
            </w:r>
            <w:r w:rsidRPr="00D525C8">
              <w:t> </w:t>
            </w:r>
            <w:r w:rsidRPr="00D525C8">
              <w:rPr>
                <w:rFonts w:ascii="Symbol" w:hAnsi="Symbol"/>
              </w:rPr>
              <w:t></w:t>
            </w:r>
            <w:r w:rsidRPr="00D525C8">
              <w:t> 1</w:t>
            </w:r>
            <w:r w:rsidRPr="00D525C8">
              <w:br/>
            </w:r>
            <w:r w:rsidRPr="00D525C8">
              <w:tab/>
            </w:r>
            <w:r w:rsidRPr="00D525C8">
              <w:rPr>
                <w:i/>
                <w:iCs/>
              </w:rPr>
              <w:t>V</w:t>
            </w:r>
            <w:r w:rsidRPr="00D525C8">
              <w:rPr>
                <w:rFonts w:ascii="Tms Rmn" w:hAnsi="Tms Rmn"/>
              </w:rPr>
              <w:t> </w:t>
            </w:r>
            <w:r w:rsidRPr="00D525C8">
              <w:t>:</w:t>
            </w:r>
            <w:r w:rsidRPr="00D525C8">
              <w:tab/>
              <w:t>signal électrique</w:t>
            </w:r>
            <w:r w:rsidRPr="00D525C8">
              <w:rPr>
                <w:iCs/>
              </w:rPr>
              <w:t xml:space="preserve"> correspondant</w:t>
            </w:r>
          </w:p>
        </w:tc>
      </w:tr>
      <w:tr w:rsidR="00AC5944" w:rsidRPr="00D525C8" w:rsidTr="00D240B2">
        <w:trPr>
          <w:cantSplit/>
          <w:jc w:val="center"/>
        </w:trPr>
        <w:tc>
          <w:tcPr>
            <w:tcW w:w="790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1.3</w:t>
            </w:r>
          </w:p>
        </w:tc>
        <w:tc>
          <w:tcPr>
            <w:tcW w:w="4339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Coordonnées de chromaticité (CIE, 1931)</w:t>
            </w:r>
          </w:p>
        </w:tc>
        <w:tc>
          <w:tcPr>
            <w:tcW w:w="2255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rPr>
                <w:i/>
              </w:rPr>
              <w:t>x</w:t>
            </w:r>
          </w:p>
        </w:tc>
        <w:tc>
          <w:tcPr>
            <w:tcW w:w="2255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rPr>
                <w:i/>
              </w:rPr>
              <w:t>y</w:t>
            </w:r>
          </w:p>
        </w:tc>
      </w:tr>
      <w:tr w:rsidR="00AC5944" w:rsidRPr="00D525C8" w:rsidTr="00D240B2">
        <w:trPr>
          <w:cantSplit/>
          <w:jc w:val="center"/>
        </w:trPr>
        <w:tc>
          <w:tcPr>
            <w:tcW w:w="790" w:type="dxa"/>
          </w:tcPr>
          <w:p w:rsidR="00AC5944" w:rsidRPr="00D525C8" w:rsidRDefault="00AC5944" w:rsidP="00AC4109">
            <w:pPr>
              <w:pStyle w:val="Tabletext"/>
              <w:jc w:val="center"/>
            </w:pPr>
          </w:p>
        </w:tc>
        <w:tc>
          <w:tcPr>
            <w:tcW w:w="4339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Couleur primaire:</w:t>
            </w:r>
          </w:p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–</w:t>
            </w:r>
            <w:r w:rsidRPr="00D525C8">
              <w:tab/>
              <w:t>Rouge (</w:t>
            </w:r>
            <w:r w:rsidRPr="00D525C8">
              <w:rPr>
                <w:i/>
                <w:iCs/>
              </w:rPr>
              <w:t>R</w:t>
            </w:r>
            <w:r w:rsidRPr="00D525C8">
              <w:t>)</w:t>
            </w:r>
            <w:r w:rsidRPr="00D525C8">
              <w:br/>
              <w:t>–</w:t>
            </w:r>
            <w:r w:rsidRPr="00D525C8">
              <w:tab/>
              <w:t>Vert (</w:t>
            </w:r>
            <w:r w:rsidRPr="00D525C8">
              <w:rPr>
                <w:i/>
                <w:iCs/>
              </w:rPr>
              <w:t>G</w:t>
            </w:r>
            <w:r w:rsidRPr="00D525C8">
              <w:t>)</w:t>
            </w:r>
            <w:r w:rsidRPr="00D525C8">
              <w:br/>
              <w:t>–</w:t>
            </w:r>
            <w:r w:rsidRPr="00D525C8">
              <w:tab/>
              <w:t>Bleu (</w:t>
            </w:r>
            <w:r w:rsidRPr="00D525C8">
              <w:rPr>
                <w:i/>
                <w:iCs/>
              </w:rPr>
              <w:t>B</w:t>
            </w:r>
            <w:r w:rsidRPr="00D525C8">
              <w:t>)</w:t>
            </w:r>
          </w:p>
        </w:tc>
        <w:tc>
          <w:tcPr>
            <w:tcW w:w="2255" w:type="dxa"/>
          </w:tcPr>
          <w:p w:rsidR="00AC5944" w:rsidRPr="00D525C8" w:rsidRDefault="00AC5944" w:rsidP="00AC4109">
            <w:pPr>
              <w:pStyle w:val="Tabletext"/>
              <w:jc w:val="center"/>
            </w:pPr>
          </w:p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0,640</w:t>
            </w:r>
            <w:r w:rsidRPr="00D525C8">
              <w:br/>
              <w:t>0,300</w:t>
            </w:r>
            <w:r w:rsidRPr="00D525C8">
              <w:br/>
              <w:t>0,150</w:t>
            </w:r>
          </w:p>
        </w:tc>
        <w:tc>
          <w:tcPr>
            <w:tcW w:w="2255" w:type="dxa"/>
          </w:tcPr>
          <w:p w:rsidR="00AC5944" w:rsidRPr="00D525C8" w:rsidRDefault="00AC5944" w:rsidP="00AC4109">
            <w:pPr>
              <w:pStyle w:val="Tabletext"/>
              <w:jc w:val="center"/>
            </w:pPr>
          </w:p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0,330</w:t>
            </w:r>
            <w:r w:rsidRPr="00D525C8">
              <w:br/>
              <w:t>0,600</w:t>
            </w:r>
            <w:r w:rsidRPr="00D525C8">
              <w:br/>
              <w:t>0,060</w:t>
            </w:r>
          </w:p>
        </w:tc>
      </w:tr>
      <w:tr w:rsidR="00D240B2" w:rsidRPr="00D525C8" w:rsidTr="00D240B2">
        <w:trPr>
          <w:cantSplit/>
          <w:jc w:val="center"/>
        </w:trPr>
        <w:tc>
          <w:tcPr>
            <w:tcW w:w="790" w:type="dxa"/>
            <w:vMerge w:val="restart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t>1.4</w:t>
            </w:r>
          </w:p>
        </w:tc>
        <w:tc>
          <w:tcPr>
            <w:tcW w:w="4339" w:type="dxa"/>
            <w:vMerge w:val="restart"/>
          </w:tcPr>
          <w:p w:rsidR="00D240B2" w:rsidRDefault="00D240B2" w:rsidP="00CE5ED9">
            <w:pPr>
              <w:pStyle w:val="Tabletext"/>
              <w:jc w:val="left"/>
            </w:pPr>
            <w:r w:rsidRPr="00D525C8">
              <w:t>Chromaticité supposée pour des signaux primaires égaux (blanc de référence):</w:t>
            </w:r>
          </w:p>
          <w:p w:rsidR="00D240B2" w:rsidRPr="00D240B2" w:rsidRDefault="00D240B2" w:rsidP="00D240B2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D240B2" w:rsidRPr="00D525C8" w:rsidRDefault="00D240B2" w:rsidP="00D240B2">
            <w:pPr>
              <w:pStyle w:val="Tabletext"/>
              <w:jc w:val="left"/>
            </w:pPr>
            <w:r w:rsidRPr="00D525C8">
              <w:rPr>
                <w:iCs/>
              </w:rPr>
              <w:t>–</w:t>
            </w:r>
            <w:r w:rsidRPr="00D525C8">
              <w:rPr>
                <w:i/>
              </w:rPr>
              <w:tab/>
              <w:t>E</w:t>
            </w:r>
            <w:r w:rsidRPr="00D525C8">
              <w:rPr>
                <w:i/>
                <w:iCs/>
                <w:position w:val="-4"/>
                <w:sz w:val="16"/>
              </w:rPr>
              <w:t>R</w:t>
            </w:r>
            <w:r w:rsidRPr="00D525C8">
              <w:rPr>
                <w:rFonts w:ascii="Times" w:hAnsi="Times"/>
                <w:i/>
              </w:rPr>
              <w:t> </w:t>
            </w:r>
            <w:r w:rsidRPr="00D525C8">
              <w:rPr>
                <w:rFonts w:ascii="Symbol" w:hAnsi="Symbol"/>
                <w:iCs/>
              </w:rPr>
              <w:t></w:t>
            </w:r>
            <w:r w:rsidRPr="00D525C8">
              <w:rPr>
                <w:i/>
              </w:rPr>
              <w:t> E</w:t>
            </w:r>
            <w:r w:rsidRPr="00D525C8">
              <w:rPr>
                <w:i/>
                <w:iCs/>
                <w:position w:val="-4"/>
                <w:sz w:val="16"/>
              </w:rPr>
              <w:t>G</w:t>
            </w:r>
            <w:r w:rsidRPr="00D525C8">
              <w:rPr>
                <w:rFonts w:ascii="Times" w:hAnsi="Times"/>
                <w:i/>
              </w:rPr>
              <w:t> </w:t>
            </w:r>
            <w:r w:rsidRPr="00D525C8">
              <w:rPr>
                <w:rFonts w:ascii="Symbol" w:hAnsi="Symbol"/>
                <w:iCs/>
              </w:rPr>
              <w:t></w:t>
            </w:r>
            <w:r w:rsidRPr="00D525C8">
              <w:rPr>
                <w:i/>
              </w:rPr>
              <w:t> E</w:t>
            </w:r>
            <w:r w:rsidRPr="00D525C8">
              <w:rPr>
                <w:i/>
                <w:iCs/>
                <w:position w:val="-4"/>
                <w:sz w:val="16"/>
              </w:rPr>
              <w:t>B</w:t>
            </w:r>
          </w:p>
        </w:tc>
        <w:tc>
          <w:tcPr>
            <w:tcW w:w="4510" w:type="dxa"/>
            <w:gridSpan w:val="2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br/>
            </w:r>
            <w:r w:rsidRPr="00D525C8">
              <w:rPr>
                <w:i/>
                <w:iCs/>
              </w:rPr>
              <w:t>D</w:t>
            </w:r>
            <w:r w:rsidRPr="00D525C8">
              <w:rPr>
                <w:position w:val="-4"/>
                <w:sz w:val="16"/>
              </w:rPr>
              <w:t>65</w:t>
            </w:r>
          </w:p>
        </w:tc>
      </w:tr>
      <w:tr w:rsidR="00D240B2" w:rsidRPr="00D525C8" w:rsidTr="00D240B2">
        <w:trPr>
          <w:cantSplit/>
          <w:jc w:val="center"/>
        </w:trPr>
        <w:tc>
          <w:tcPr>
            <w:tcW w:w="790" w:type="dxa"/>
            <w:vMerge/>
          </w:tcPr>
          <w:p w:rsidR="00D240B2" w:rsidRPr="00D525C8" w:rsidRDefault="00D240B2" w:rsidP="00AC4109">
            <w:pPr>
              <w:pStyle w:val="Tabletext"/>
            </w:pPr>
          </w:p>
        </w:tc>
        <w:tc>
          <w:tcPr>
            <w:tcW w:w="4339" w:type="dxa"/>
            <w:vMerge/>
          </w:tcPr>
          <w:p w:rsidR="00D240B2" w:rsidRPr="00D525C8" w:rsidRDefault="00D240B2" w:rsidP="00CE5ED9">
            <w:pPr>
              <w:pStyle w:val="Tabletext"/>
              <w:jc w:val="left"/>
            </w:pPr>
          </w:p>
        </w:tc>
        <w:tc>
          <w:tcPr>
            <w:tcW w:w="2255" w:type="dxa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rPr>
                <w:i/>
              </w:rPr>
              <w:t>x</w:t>
            </w:r>
          </w:p>
        </w:tc>
        <w:tc>
          <w:tcPr>
            <w:tcW w:w="2255" w:type="dxa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rPr>
                <w:i/>
              </w:rPr>
              <w:t>y</w:t>
            </w:r>
          </w:p>
        </w:tc>
      </w:tr>
      <w:tr w:rsidR="00D240B2" w:rsidRPr="00D525C8" w:rsidTr="00D240B2">
        <w:trPr>
          <w:cantSplit/>
          <w:jc w:val="center"/>
        </w:trPr>
        <w:tc>
          <w:tcPr>
            <w:tcW w:w="790" w:type="dxa"/>
            <w:vMerge/>
          </w:tcPr>
          <w:p w:rsidR="00D240B2" w:rsidRPr="00D525C8" w:rsidRDefault="00D240B2" w:rsidP="00AC4109">
            <w:pPr>
              <w:pStyle w:val="Tabletext"/>
            </w:pPr>
          </w:p>
        </w:tc>
        <w:tc>
          <w:tcPr>
            <w:tcW w:w="4339" w:type="dxa"/>
            <w:vMerge/>
          </w:tcPr>
          <w:p w:rsidR="00D240B2" w:rsidRPr="00D525C8" w:rsidRDefault="00D240B2" w:rsidP="00CE5ED9">
            <w:pPr>
              <w:pStyle w:val="Tabletext"/>
              <w:jc w:val="left"/>
            </w:pPr>
          </w:p>
        </w:tc>
        <w:tc>
          <w:tcPr>
            <w:tcW w:w="2255" w:type="dxa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t>0,3127</w:t>
            </w:r>
          </w:p>
        </w:tc>
        <w:tc>
          <w:tcPr>
            <w:tcW w:w="2255" w:type="dxa"/>
          </w:tcPr>
          <w:p w:rsidR="00D240B2" w:rsidRPr="00D525C8" w:rsidRDefault="00D240B2" w:rsidP="00AC4109">
            <w:pPr>
              <w:pStyle w:val="Tabletext"/>
              <w:jc w:val="center"/>
            </w:pPr>
            <w:r w:rsidRPr="00D525C8">
              <w:t>0,3290</w:t>
            </w:r>
          </w:p>
        </w:tc>
      </w:tr>
    </w:tbl>
    <w:p w:rsidR="00AC5944" w:rsidRPr="00D525C8" w:rsidRDefault="00AC5944" w:rsidP="00AC5944">
      <w:pPr>
        <w:pStyle w:val="Tablefin"/>
      </w:pPr>
    </w:p>
    <w:p w:rsidR="00AC5944" w:rsidRPr="00D525C8" w:rsidRDefault="00AC5944" w:rsidP="00AC5944">
      <w:pPr>
        <w:pStyle w:val="Heading1"/>
      </w:pPr>
      <w:r w:rsidRPr="00D525C8">
        <w:t>2</w:t>
      </w:r>
      <w:r w:rsidRPr="00D525C8">
        <w:tab/>
        <w:t>Caractéristiques de l'image</w:t>
      </w:r>
    </w:p>
    <w:p w:rsidR="00AC5944" w:rsidRPr="00D525C8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en-GB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7"/>
        <w:gridCol w:w="4396"/>
        <w:gridCol w:w="4396"/>
      </w:tblGrid>
      <w:tr w:rsidR="00AC5944" w:rsidRPr="00D525C8" w:rsidTr="00AC4109">
        <w:trPr>
          <w:cantSplit/>
          <w:jc w:val="center"/>
        </w:trPr>
        <w:tc>
          <w:tcPr>
            <w:tcW w:w="851" w:type="dxa"/>
            <w:vAlign w:val="center"/>
          </w:tcPr>
          <w:p w:rsidR="00AC5944" w:rsidRPr="00D525C8" w:rsidRDefault="00AC5944" w:rsidP="00AC4109">
            <w:pPr>
              <w:pStyle w:val="Tablehead"/>
            </w:pPr>
            <w:r w:rsidRPr="00D525C8">
              <w:t>Point</w:t>
            </w:r>
          </w:p>
        </w:tc>
        <w:tc>
          <w:tcPr>
            <w:tcW w:w="4423" w:type="dxa"/>
            <w:vAlign w:val="center"/>
          </w:tcPr>
          <w:p w:rsidR="00AC5944" w:rsidRPr="00D525C8" w:rsidRDefault="00AC5944" w:rsidP="00AC4109">
            <w:pPr>
              <w:pStyle w:val="Tablehead"/>
            </w:pPr>
            <w:r w:rsidRPr="00D525C8">
              <w:t>Paramètre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head"/>
            </w:pPr>
            <w:r w:rsidRPr="00D525C8">
              <w:t>Valeurs</w:t>
            </w:r>
          </w:p>
        </w:tc>
      </w:tr>
      <w:tr w:rsidR="00AC5944" w:rsidRPr="00D525C8" w:rsidTr="00AC4109">
        <w:trPr>
          <w:cantSplit/>
          <w:jc w:val="center"/>
        </w:trPr>
        <w:tc>
          <w:tcPr>
            <w:tcW w:w="851" w:type="dxa"/>
          </w:tcPr>
          <w:p w:rsidR="00AC5944" w:rsidRPr="00D525C8" w:rsidRDefault="00AC5944" w:rsidP="005471A1">
            <w:pPr>
              <w:pStyle w:val="Tabletext"/>
              <w:jc w:val="center"/>
            </w:pPr>
            <w:r w:rsidRPr="00D525C8">
              <w:t>2.1</w:t>
            </w:r>
          </w:p>
        </w:tc>
        <w:tc>
          <w:tcPr>
            <w:tcW w:w="4423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Format d'image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16:9</w:t>
            </w:r>
          </w:p>
        </w:tc>
      </w:tr>
      <w:tr w:rsidR="00AC5944" w:rsidRPr="00D525C8" w:rsidTr="00AC4109">
        <w:trPr>
          <w:cantSplit/>
          <w:jc w:val="center"/>
        </w:trPr>
        <w:tc>
          <w:tcPr>
            <w:tcW w:w="851" w:type="dxa"/>
          </w:tcPr>
          <w:p w:rsidR="00AC5944" w:rsidRPr="00D525C8" w:rsidRDefault="00AC5944" w:rsidP="005471A1">
            <w:pPr>
              <w:pStyle w:val="Tabletext"/>
              <w:jc w:val="center"/>
            </w:pPr>
            <w:r w:rsidRPr="00D525C8">
              <w:t>2.2</w:t>
            </w:r>
          </w:p>
        </w:tc>
        <w:tc>
          <w:tcPr>
            <w:tcW w:w="4423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Echantillons par ligne active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</w:t>
            </w:r>
            <w:r w:rsidRPr="00D525C8">
              <w:rPr>
                <w:rFonts w:ascii="Tms Rmn" w:hAnsi="Tms Rmn"/>
                <w:sz w:val="12"/>
              </w:rPr>
              <w:t> </w:t>
            </w:r>
            <w:r w:rsidRPr="00D525C8">
              <w:t>280</w:t>
            </w:r>
          </w:p>
        </w:tc>
      </w:tr>
      <w:tr w:rsidR="00AC5944" w:rsidRPr="00D525C8" w:rsidTr="00AC4109">
        <w:trPr>
          <w:cantSplit/>
          <w:jc w:val="center"/>
        </w:trPr>
        <w:tc>
          <w:tcPr>
            <w:tcW w:w="851" w:type="dxa"/>
          </w:tcPr>
          <w:p w:rsidR="00AC5944" w:rsidRPr="00D525C8" w:rsidRDefault="00AC5944" w:rsidP="005471A1">
            <w:pPr>
              <w:pStyle w:val="Tabletext"/>
              <w:jc w:val="center"/>
            </w:pPr>
            <w:r w:rsidRPr="00D525C8">
              <w:t>2.3</w:t>
            </w:r>
          </w:p>
        </w:tc>
        <w:tc>
          <w:tcPr>
            <w:tcW w:w="4423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Grille d'échantillonnage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Orthogonale</w:t>
            </w:r>
          </w:p>
        </w:tc>
      </w:tr>
      <w:tr w:rsidR="00AC5944" w:rsidRPr="00D525C8" w:rsidTr="00AC4109">
        <w:trPr>
          <w:cantSplit/>
          <w:jc w:val="center"/>
        </w:trPr>
        <w:tc>
          <w:tcPr>
            <w:tcW w:w="851" w:type="dxa"/>
          </w:tcPr>
          <w:p w:rsidR="00AC5944" w:rsidRPr="00D525C8" w:rsidRDefault="00AC5944" w:rsidP="005471A1">
            <w:pPr>
              <w:pStyle w:val="Tabletext"/>
              <w:jc w:val="center"/>
            </w:pPr>
            <w:r w:rsidRPr="00D525C8">
              <w:t>2.4</w:t>
            </w:r>
          </w:p>
        </w:tc>
        <w:tc>
          <w:tcPr>
            <w:tcW w:w="4423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Lignes actives par image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720</w:t>
            </w:r>
          </w:p>
        </w:tc>
      </w:tr>
      <w:tr w:rsidR="00AC5944" w:rsidRPr="00D525C8" w:rsidTr="00AC4109">
        <w:trPr>
          <w:cantSplit/>
          <w:jc w:val="center"/>
        </w:trPr>
        <w:tc>
          <w:tcPr>
            <w:tcW w:w="851" w:type="dxa"/>
          </w:tcPr>
          <w:p w:rsidR="00AC5944" w:rsidRPr="00D525C8" w:rsidRDefault="00AC5944" w:rsidP="005471A1">
            <w:pPr>
              <w:pStyle w:val="Tabletext"/>
              <w:jc w:val="center"/>
            </w:pPr>
            <w:r w:rsidRPr="00D525C8">
              <w:t>2.5</w:t>
            </w:r>
          </w:p>
        </w:tc>
        <w:tc>
          <w:tcPr>
            <w:tcW w:w="4423" w:type="dxa"/>
          </w:tcPr>
          <w:p w:rsidR="00AC5944" w:rsidRPr="00D525C8" w:rsidRDefault="00AC5944" w:rsidP="00CE5ED9">
            <w:pPr>
              <w:pStyle w:val="Tabletext"/>
              <w:jc w:val="left"/>
            </w:pPr>
            <w:r w:rsidRPr="00D525C8">
              <w:t>Rapport des dimensions de pixels</w:t>
            </w:r>
          </w:p>
        </w:tc>
        <w:tc>
          <w:tcPr>
            <w:tcW w:w="4423" w:type="dxa"/>
          </w:tcPr>
          <w:p w:rsidR="00AC5944" w:rsidRPr="00D525C8" w:rsidRDefault="00AC5944" w:rsidP="00AC4109">
            <w:pPr>
              <w:pStyle w:val="Tabletext"/>
              <w:jc w:val="center"/>
            </w:pPr>
            <w:r w:rsidRPr="00D525C8">
              <w:t>1:1 (pixels carrés)</w:t>
            </w:r>
          </w:p>
        </w:tc>
      </w:tr>
    </w:tbl>
    <w:p w:rsidR="00AC5944" w:rsidRPr="00F73FE3" w:rsidRDefault="00AC5944" w:rsidP="00AC5944">
      <w:pPr>
        <w:pStyle w:val="Heading1"/>
      </w:pPr>
      <w:r w:rsidRPr="00F73FE3">
        <w:lastRenderedPageBreak/>
        <w:t>3</w:t>
      </w:r>
      <w:r w:rsidRPr="00F73FE3">
        <w:tab/>
        <w:t>Format du signal</w:t>
      </w:r>
    </w:p>
    <w:p w:rsidR="00AC5944" w:rsidRPr="00F73FE3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en-GB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4423"/>
        <w:gridCol w:w="4423"/>
      </w:tblGrid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5944" w:rsidRPr="00F73FE3" w:rsidRDefault="00AC5944" w:rsidP="00AC4109">
            <w:pPr>
              <w:pStyle w:val="Tablehead"/>
            </w:pPr>
            <w:r w:rsidRPr="00F73FE3">
              <w:t>Point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5944" w:rsidRPr="00F73FE3" w:rsidRDefault="00AC5944" w:rsidP="00AC4109">
            <w:pPr>
              <w:pStyle w:val="Tablehead"/>
            </w:pPr>
            <w:r w:rsidRPr="00F73FE3">
              <w:t>Paramètre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head"/>
            </w:pPr>
            <w:r w:rsidRPr="00F73FE3">
              <w:t>Valeurs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3.1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CE5ED9">
            <w:pPr>
              <w:pStyle w:val="Tabletext"/>
              <w:jc w:val="left"/>
            </w:pPr>
            <w:r w:rsidRPr="00F73FE3">
              <w:t>Précorrection non linéaire conceptuelle des signaux primaires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rFonts w:ascii="Symbol" w:hAnsi="Symbol"/>
              </w:rPr>
              <w:t></w:t>
            </w:r>
            <w:r w:rsidRPr="00F73FE3">
              <w:rPr>
                <w:rFonts w:hint="eastAsia"/>
              </w:rPr>
              <w:t> </w:t>
            </w:r>
            <w:r w:rsidRPr="00F73FE3">
              <w:rPr>
                <w:rFonts w:ascii="Symbol" w:hAnsi="Symbol"/>
              </w:rPr>
              <w:t></w:t>
            </w:r>
            <w:r w:rsidRPr="00F73FE3">
              <w:t> 0,45</w:t>
            </w:r>
            <w:r w:rsidRPr="00F73FE3">
              <w:br/>
              <w:t>(Voir le point 1.2)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3.2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CE5ED9">
            <w:pPr>
              <w:pStyle w:val="Tabletext"/>
              <w:jc w:val="left"/>
            </w:pPr>
            <w:r w:rsidRPr="00F73FE3">
              <w:t xml:space="preserve">Détermination du signal de luminance </w:t>
            </w:r>
            <w:r w:rsidRPr="00F73FE3">
              <w:rPr>
                <w:position w:val="-10"/>
              </w:rPr>
              <w:object w:dxaOrig="30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9pt;height:14.9pt" o:ole="">
                  <v:imagedata r:id="rId13" o:title=""/>
                </v:shape>
                <o:OLEObject Type="Embed" ProgID="Equation.3" ShapeID="_x0000_i1025" DrawAspect="Content" ObjectID="_1413292702" r:id="rId14"/>
              </w:objec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position w:val="-10"/>
              </w:rPr>
              <w:object w:dxaOrig="300" w:dyaOrig="300">
                <v:shape id="_x0000_i1026" type="#_x0000_t75" style="width:14.9pt;height:14.9pt" o:ole="">
                  <v:imagedata r:id="rId15" o:title=""/>
                </v:shape>
                <o:OLEObject Type="Embed" ProgID="Equation.3" ShapeID="_x0000_i1026" DrawAspect="Content" ObjectID="_1413292703" r:id="rId16"/>
              </w:object>
            </w:r>
            <w:r w:rsidRPr="00F73FE3">
              <w:t xml:space="preserve"> </w:t>
            </w:r>
            <w:r w:rsidRPr="00F73FE3">
              <w:rPr>
                <w:rFonts w:ascii="Symbol" w:hAnsi="Symbol"/>
              </w:rPr>
              <w:t></w:t>
            </w:r>
            <w:r w:rsidRPr="00F73FE3">
              <w:t xml:space="preserve"> 0,2126 </w:t>
            </w:r>
            <w:r w:rsidRPr="00F73FE3">
              <w:rPr>
                <w:position w:val="-10"/>
              </w:rPr>
              <w:object w:dxaOrig="320" w:dyaOrig="300">
                <v:shape id="_x0000_i1027" type="#_x0000_t75" style="width:15.45pt;height:14.9pt" o:ole="">
                  <v:imagedata r:id="rId17" o:title=""/>
                </v:shape>
                <o:OLEObject Type="Embed" ProgID="Equation.3" ShapeID="_x0000_i1027" DrawAspect="Content" ObjectID="_1413292704" r:id="rId18"/>
              </w:object>
            </w:r>
            <w:r w:rsidRPr="00F73FE3">
              <w:t xml:space="preserve"> </w:t>
            </w:r>
            <w:r w:rsidRPr="00F73FE3">
              <w:rPr>
                <w:rFonts w:ascii="Symbol" w:hAnsi="Symbol"/>
              </w:rPr>
              <w:t></w:t>
            </w:r>
            <w:r w:rsidRPr="00F73FE3">
              <w:t xml:space="preserve"> 0,7152 </w:t>
            </w:r>
            <w:r w:rsidRPr="00F73FE3">
              <w:rPr>
                <w:position w:val="-10"/>
              </w:rPr>
              <w:object w:dxaOrig="320" w:dyaOrig="300">
                <v:shape id="_x0000_i1028" type="#_x0000_t75" style="width:15.45pt;height:14.9pt" o:ole="">
                  <v:imagedata r:id="rId19" o:title=""/>
                </v:shape>
                <o:OLEObject Type="Embed" ProgID="Equation.3" ShapeID="_x0000_i1028" DrawAspect="Content" ObjectID="_1413292705" r:id="rId20"/>
              </w:object>
            </w:r>
            <w:r w:rsidRPr="00F73FE3">
              <w:t xml:space="preserve"> </w:t>
            </w:r>
            <w:r w:rsidRPr="00F73FE3">
              <w:rPr>
                <w:rFonts w:ascii="Symbol" w:hAnsi="Symbol"/>
              </w:rPr>
              <w:t></w:t>
            </w:r>
            <w:r w:rsidRPr="00F73FE3">
              <w:t xml:space="preserve"> 0,0722 </w:t>
            </w:r>
            <w:r w:rsidRPr="00F73FE3">
              <w:rPr>
                <w:position w:val="-10"/>
              </w:rPr>
              <w:object w:dxaOrig="320" w:dyaOrig="300">
                <v:shape id="_x0000_i1029" type="#_x0000_t75" style="width:15.45pt;height:14.9pt" o:ole="">
                  <v:imagedata r:id="rId21" o:title=""/>
                </v:shape>
                <o:OLEObject Type="Embed" ProgID="Equation.3" ShapeID="_x0000_i1029" DrawAspect="Content" ObjectID="_1413292706" r:id="rId22"/>
              </w:objec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3.3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CE5ED9">
            <w:pPr>
              <w:pStyle w:val="Tabletext"/>
              <w:jc w:val="left"/>
            </w:pPr>
            <w:r w:rsidRPr="00F73FE3">
              <w:t>Détermination des signaux de différence de couleur (codage analogique)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  <w:rPr>
                <w:szCs w:val="22"/>
              </w:rPr>
            </w:pPr>
            <w:r w:rsidRPr="00F73FE3">
              <w:rPr>
                <w:position w:val="-24"/>
                <w:szCs w:val="22"/>
              </w:rPr>
              <w:object w:dxaOrig="1420" w:dyaOrig="580">
                <v:shape id="_x0000_i1030" type="#_x0000_t75" style="width:69.45pt;height:29.85pt" o:ole="">
                  <v:imagedata r:id="rId23" o:title=""/>
                </v:shape>
                <o:OLEObject Type="Embed" ProgID="Equation.3" ShapeID="_x0000_i1030" DrawAspect="Content" ObjectID="_1413292707" r:id="rId24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  <w:rPr>
                <w:szCs w:val="22"/>
              </w:rPr>
            </w:pPr>
            <w:r w:rsidRPr="00F73FE3">
              <w:rPr>
                <w:position w:val="-24"/>
                <w:szCs w:val="22"/>
              </w:rPr>
              <w:object w:dxaOrig="3379" w:dyaOrig="580">
                <v:shape id="_x0000_i1031" type="#_x0000_t75" style="width:145.55pt;height:29.85pt" o:ole="">
                  <v:imagedata r:id="rId25" o:title=""/>
                </v:shape>
                <o:OLEObject Type="Embed" ProgID="Equation.3" ShapeID="_x0000_i1031" DrawAspect="Content" ObjectID="_1413292708" r:id="rId26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  <w:rPr>
                <w:szCs w:val="22"/>
              </w:rPr>
            </w:pPr>
            <w:r w:rsidRPr="00F73FE3">
              <w:rPr>
                <w:position w:val="-24"/>
                <w:szCs w:val="22"/>
              </w:rPr>
              <w:object w:dxaOrig="1420" w:dyaOrig="580">
                <v:shape id="_x0000_i1032" type="#_x0000_t75" style="width:69.45pt;height:29.85pt" o:ole="">
                  <v:imagedata r:id="rId27" o:title=""/>
                </v:shape>
                <o:OLEObject Type="Embed" ProgID="Equation.3" ShapeID="_x0000_i1032" DrawAspect="Content" ObjectID="_1413292709" r:id="rId28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position w:val="-24"/>
                <w:szCs w:val="22"/>
              </w:rPr>
              <w:object w:dxaOrig="3180" w:dyaOrig="580">
                <v:shape id="_x0000_i1033" type="#_x0000_t75" style="width:158.9pt;height:29.85pt" o:ole="">
                  <v:imagedata r:id="rId29" o:title=""/>
                </v:shape>
                <o:OLEObject Type="Embed" ProgID="Equation.3" ShapeID="_x0000_i1033" DrawAspect="Content" ObjectID="_1413292710" r:id="rId30"/>
              </w:objec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3.4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CE5ED9">
            <w:pPr>
              <w:pStyle w:val="Tabletext"/>
              <w:jc w:val="left"/>
            </w:pPr>
            <w:r w:rsidRPr="00F73FE3">
              <w:t xml:space="preserve">Détermination des signaux RGB, de luminance et de différence de couleur (codage numérique) </w:t>
            </w:r>
            <w:r w:rsidRPr="00F73FE3">
              <w:rPr>
                <w:vertAlign w:val="superscript"/>
              </w:rPr>
              <w:t>(1), (2)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560" w:dyaOrig="380">
                <v:shape id="_x0000_i1034" type="#_x0000_t75" style="width:128.55pt;height:18.5pt" o:ole="">
                  <v:imagedata r:id="rId31" o:title=""/>
                </v:shape>
                <o:OLEObject Type="Embed" ProgID="Equation.3" ShapeID="_x0000_i1034" DrawAspect="Content" ObjectID="_1413292711" r:id="rId32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580" w:dyaOrig="380">
                <v:shape id="_x0000_i1035" type="#_x0000_t75" style="width:129.1pt;height:18.5pt" o:ole="">
                  <v:imagedata r:id="rId33" o:title=""/>
                </v:shape>
                <o:OLEObject Type="Embed" ProgID="Equation.3" ShapeID="_x0000_i1035" DrawAspect="Content" ObjectID="_1413292712" r:id="rId34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560" w:dyaOrig="380">
                <v:shape id="_x0000_i1036" type="#_x0000_t75" style="width:128.55pt;height:18.5pt" o:ole="">
                  <v:imagedata r:id="rId35" o:title=""/>
                </v:shape>
                <o:OLEObject Type="Embed" ProgID="Equation.3" ShapeID="_x0000_i1036" DrawAspect="Content" ObjectID="_1413292713" r:id="rId36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560" w:dyaOrig="380">
                <v:shape id="_x0000_i1037" type="#_x0000_t75" style="width:128.55pt;height:18.5pt" o:ole="">
                  <v:imagedata r:id="rId37" o:title=""/>
                </v:shape>
                <o:OLEObject Type="Embed" ProgID="Equation.3" ShapeID="_x0000_i1037" DrawAspect="Content" ObjectID="_1413292714" r:id="rId38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860" w:dyaOrig="380">
                <v:shape id="_x0000_i1038" type="#_x0000_t75" style="width:143.5pt;height:18.5pt" o:ole="">
                  <v:imagedata r:id="rId39" o:title=""/>
                </v:shape>
                <o:OLEObject Type="Embed" ProgID="Equation.3" ShapeID="_x0000_i1038" DrawAspect="Content" ObjectID="_1413292715" r:id="rId40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object w:dxaOrig="2860" w:dyaOrig="380">
                <v:shape id="_x0000_i1039" type="#_x0000_t75" style="width:143.5pt;height:18.5pt" o:ole="">
                  <v:imagedata r:id="rId41" o:title=""/>
                </v:shape>
                <o:OLEObject Type="Embed" ProgID="Equation.3" ShapeID="_x0000_i1039" DrawAspect="Content" ObjectID="_1413292716" r:id="rId42"/>
              </w:objec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3.5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CE5ED9">
            <w:pPr>
              <w:pStyle w:val="Tabletext"/>
              <w:jc w:val="left"/>
            </w:pPr>
            <w:r w:rsidRPr="00F73FE3">
              <w:t>Détermination des signaux de luminance et de différence de couleur via des signaux RGB quantifiés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  <w:rPr>
                <w:szCs w:val="22"/>
              </w:rPr>
            </w:pPr>
            <w:r w:rsidRPr="00F73FE3">
              <w:rPr>
                <w:position w:val="-20"/>
                <w:szCs w:val="22"/>
              </w:rPr>
              <w:object w:dxaOrig="3879" w:dyaOrig="440">
                <v:shape id="_x0000_i1040" type="#_x0000_t75" style="width:194.4pt;height:23.15pt" o:ole="">
                  <v:imagedata r:id="rId43" o:title=""/>
                </v:shape>
                <o:OLEObject Type="Embed" ProgID="Equation.3" ShapeID="_x0000_i1040" DrawAspect="Content" ObjectID="_1413292717" r:id="rId44"/>
              </w:objec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position w:val="-62"/>
                <w:szCs w:val="22"/>
              </w:rPr>
              <w:object w:dxaOrig="4560" w:dyaOrig="1359">
                <v:shape id="_x0000_i1041" type="#_x0000_t75" style="width:210.35pt;height:61.7pt" o:ole="">
                  <v:imagedata r:id="rId45" o:title=""/>
                </v:shape>
                <o:OLEObject Type="Embed" ProgID="Equation.3" ShapeID="_x0000_i1041" DrawAspect="Content" ObjectID="_1413292718" r:id="rId46"/>
              </w:object>
            </w:r>
            <w:r w:rsidRPr="00F73FE3">
              <w:rPr>
                <w:szCs w:val="22"/>
              </w:rPr>
              <w:t xml:space="preserve"> </w:t>
            </w:r>
            <w:r w:rsidRPr="00F73FE3">
              <w:rPr>
                <w:position w:val="-62"/>
                <w:szCs w:val="22"/>
              </w:rPr>
              <w:object w:dxaOrig="4239" w:dyaOrig="1359">
                <v:shape id="_x0000_i1042" type="#_x0000_t75" style="width:210.35pt;height:64.8pt" o:ole="">
                  <v:imagedata r:id="rId47" o:title=""/>
                </v:shape>
                <o:OLEObject Type="Embed" ProgID="Equation.3" ShapeID="_x0000_i1042" DrawAspect="Content" ObjectID="_1413292719" r:id="rId48"/>
              </w:objec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9697" w:type="dxa"/>
            <w:gridSpan w:val="3"/>
            <w:tcBorders>
              <w:top w:val="single" w:sz="6" w:space="0" w:color="auto"/>
            </w:tcBorders>
          </w:tcPr>
          <w:p w:rsidR="00AC5944" w:rsidRPr="00F73FE3" w:rsidRDefault="00AC5944" w:rsidP="00CE5ED9">
            <w:pPr>
              <w:pStyle w:val="Tablelegend"/>
              <w:jc w:val="left"/>
            </w:pPr>
            <w:r w:rsidRPr="00F73FE3">
              <w:rPr>
                <w:vertAlign w:val="superscript"/>
              </w:rPr>
              <w:t xml:space="preserve">(1) </w:t>
            </w:r>
            <w:r w:rsidRPr="00F73FE3">
              <w:rPr>
                <w:vertAlign w:val="superscript"/>
              </w:rPr>
              <w:tab/>
            </w:r>
            <w:r w:rsidRPr="00F73FE3">
              <w:t>«</w:t>
            </w:r>
            <w:r w:rsidRPr="00F73FE3">
              <w:rPr>
                <w:i/>
                <w:iCs/>
              </w:rPr>
              <w:t>n</w:t>
            </w:r>
            <w:r w:rsidRPr="00F73FE3">
              <w:t>» correspond au numéro de la longueur en bits du signal quantifié.</w:t>
            </w:r>
          </w:p>
          <w:p w:rsidR="00AC5944" w:rsidRPr="00F73FE3" w:rsidRDefault="00AC5944" w:rsidP="00CE5ED9">
            <w:pPr>
              <w:pStyle w:val="Tablelegend"/>
              <w:jc w:val="left"/>
            </w:pPr>
            <w:r w:rsidRPr="00F73FE3">
              <w:rPr>
                <w:vertAlign w:val="superscript"/>
              </w:rPr>
              <w:t>(2)</w:t>
            </w:r>
            <w:r w:rsidRPr="00F73FE3">
              <w:rPr>
                <w:vertAlign w:val="superscript"/>
              </w:rPr>
              <w:tab/>
            </w:r>
            <w:r w:rsidRPr="00F73FE3">
              <w:t>L'opérateur INT donne la valeur 0 pour les parties décimales comprises entre 0 et 0,49999… et plus +1 pour les parties décimales comprises entre 0,5 et 0,99999…, c'est-à-dire arrondi à la valeur supérieure.</w:t>
            </w:r>
          </w:p>
        </w:tc>
      </w:tr>
    </w:tbl>
    <w:p w:rsidR="00AC5944" w:rsidRPr="00AC5944" w:rsidRDefault="00AC5944" w:rsidP="00AC5944">
      <w:pPr>
        <w:pStyle w:val="Tablefin"/>
        <w:rPr>
          <w:lang w:val="fr-CH"/>
        </w:rPr>
      </w:pPr>
    </w:p>
    <w:p w:rsidR="00AC5944" w:rsidRDefault="00AC5944" w:rsidP="00AC5944">
      <w:pPr>
        <w:pStyle w:val="Heading1"/>
        <w:spacing w:before="200"/>
      </w:pPr>
      <w:r w:rsidRPr="00F73FE3">
        <w:lastRenderedPageBreak/>
        <w:t>4</w:t>
      </w:r>
      <w:r w:rsidRPr="00F73FE3">
        <w:tab/>
        <w:t>Représentation numérique</w:t>
      </w:r>
    </w:p>
    <w:p w:rsidR="00AC5944" w:rsidRPr="000F26BC" w:rsidRDefault="00AC5944" w:rsidP="00AC5944">
      <w:pPr>
        <w:keepNext/>
        <w:keepLines/>
        <w:rPr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94"/>
        <w:gridCol w:w="4366"/>
        <w:gridCol w:w="2268"/>
        <w:gridCol w:w="2268"/>
      </w:tblGrid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5944" w:rsidRPr="00F73FE3" w:rsidRDefault="00AC5944" w:rsidP="00AC4109">
            <w:pPr>
              <w:pStyle w:val="Tablehead"/>
              <w:keepLines/>
            </w:pPr>
            <w:r w:rsidRPr="00F73FE3">
              <w:t>Point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C5944" w:rsidRPr="00F73FE3" w:rsidRDefault="00AC5944" w:rsidP="00AC4109">
            <w:pPr>
              <w:pStyle w:val="Tablehead"/>
              <w:keepLines/>
            </w:pPr>
            <w:r w:rsidRPr="00F73FE3">
              <w:t>Paramètre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head"/>
              <w:keepLines/>
            </w:pPr>
            <w:r w:rsidRPr="00F73FE3">
              <w:t>Valeurs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keepNext/>
              <w:keepLines/>
              <w:jc w:val="center"/>
            </w:pPr>
            <w:r w:rsidRPr="00F73FE3">
              <w:t>4.1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keepNext/>
              <w:keepLines/>
              <w:jc w:val="left"/>
            </w:pPr>
            <w:r w:rsidRPr="00F73FE3">
              <w:t>Signaux codés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keepNext/>
              <w:keepLines/>
              <w:jc w:val="center"/>
            </w:pP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 ou </w:t>
            </w:r>
            <w:r w:rsidRPr="00F73FE3">
              <w:rPr>
                <w:i/>
              </w:rPr>
              <w:t>Y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R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keepNext/>
              <w:keepLines/>
              <w:jc w:val="center"/>
            </w:pPr>
            <w:r w:rsidRPr="00F73FE3">
              <w:t>4.2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keepNext/>
              <w:keepLines/>
              <w:jc w:val="left"/>
            </w:pPr>
            <w:r w:rsidRPr="00F73FE3">
              <w:t>Grille d'échantillonnage:</w:t>
            </w:r>
          </w:p>
          <w:p w:rsidR="00AC5944" w:rsidRPr="00F73FE3" w:rsidRDefault="00AC5944" w:rsidP="00AC4109">
            <w:pPr>
              <w:pStyle w:val="Tabletext"/>
              <w:keepNext/>
              <w:keepLines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Y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keepNext/>
              <w:keepLines/>
              <w:jc w:val="center"/>
            </w:pPr>
            <w:r w:rsidRPr="00F73FE3">
              <w:t>Orthogonale, se répétant en ligne et en image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4.3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Grille d'échantillonnage: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 xml:space="preserve">Orthogonale, se répétant en ligne et en image en coïncidence l'un avec l'autre et avec un échantillon de luminance </w:t>
            </w:r>
            <w:r w:rsidRPr="00F73FE3">
              <w:rPr>
                <w:i/>
                <w:iCs/>
              </w:rPr>
              <w:t>Y</w:t>
            </w:r>
            <w:r w:rsidRPr="00F73FE3">
              <w:rPr>
                <w:rFonts w:ascii="Tms Rmn" w:hAnsi="Tms Rmn"/>
                <w:sz w:val="16"/>
              </w:rPr>
              <w:t> </w:t>
            </w:r>
            <w:r w:rsidRPr="00F73FE3">
              <w:rPr>
                <w:position w:val="6"/>
                <w:sz w:val="16"/>
              </w:rPr>
              <w:t>(1)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4.4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Nombre d'échantillons actifs par ligne: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Y</w:t>
            </w:r>
            <w:r w:rsidRPr="00F73FE3">
              <w:rPr>
                <w:i/>
              </w:rPr>
              <w:br/>
            </w: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1</w:t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280</w:t>
            </w:r>
            <w:r w:rsidRPr="00F73FE3">
              <w:br/>
            </w:r>
            <w:r w:rsidRPr="00F73FE3">
              <w:t> </w:t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640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4.5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Format de codage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Linéaire, 8 ou 10 bits par composante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4.6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Niveaux de quantification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Codage à 8 bits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Codage à 10 bits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  <w:t>Niveau du noir:</w:t>
            </w:r>
            <w:r w:rsidRPr="00F73FE3">
              <w:br/>
            </w:r>
            <w:r w:rsidRPr="00F73FE3">
              <w:tab/>
              <w:t xml:space="preserve">– </w:t>
            </w: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Y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rPr>
                <w:i/>
              </w:rPr>
              <w:t>–</w:t>
            </w:r>
            <w:r w:rsidRPr="00F73FE3">
              <w:tab/>
              <w:t>Niveau achromatique:</w:t>
            </w:r>
            <w:r w:rsidRPr="00F73FE3">
              <w:br/>
            </w:r>
            <w:r w:rsidRPr="00F73FE3">
              <w:tab/>
              <w:t xml:space="preserve">–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R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  <w:t>Crête nominale:</w:t>
            </w:r>
            <w:r w:rsidRPr="00F73FE3">
              <w:br/>
            </w:r>
            <w:r w:rsidRPr="00F73FE3">
              <w:tab/>
              <w:t xml:space="preserve">– </w:t>
            </w: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Y</w:t>
            </w:r>
            <w:r w:rsidRPr="00F73FE3">
              <w:rPr>
                <w:i/>
              </w:rPr>
              <w:br/>
            </w:r>
            <w:r w:rsidRPr="00F73FE3">
              <w:rPr>
                <w:i/>
              </w:rPr>
              <w:tab/>
              <w:t>–</w:t>
            </w:r>
            <w:r w:rsidRPr="00F73FE3">
              <w:t xml:space="preserve">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16</w: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128</w: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235</w:t>
            </w:r>
            <w:r w:rsidRPr="00F73FE3">
              <w:br/>
              <w:t>16 et 240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64</w: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512</w: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br/>
              <w:t>940</w:t>
            </w:r>
            <w:r w:rsidRPr="00F73FE3">
              <w:br/>
              <w:t>64 et 960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4.7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Attribution des niveaux de quantification: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Codage à 8 bits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Codage à 10 bits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</w:p>
        </w:tc>
        <w:tc>
          <w:tcPr>
            <w:tcW w:w="43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  <w:t>Données vidéo</w:t>
            </w:r>
            <w:r w:rsidRPr="00F73FE3">
              <w:br/>
            </w:r>
            <w:r w:rsidRPr="00F73FE3">
              <w:rPr>
                <w:i/>
              </w:rPr>
              <w:t>–</w:t>
            </w:r>
            <w:r w:rsidRPr="00F73FE3">
              <w:tab/>
              <w:t>Références de synchronisation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1 à 254</w:t>
            </w:r>
            <w:r w:rsidRPr="00F73FE3">
              <w:br/>
              <w:t>0 et 255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4 à 1</w:t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019</w:t>
            </w:r>
            <w:r w:rsidRPr="00F73FE3">
              <w:br/>
              <w:t>0-3 et 1</w:t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020-1</w:t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023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4.8</w:t>
            </w:r>
          </w:p>
        </w:tc>
        <w:tc>
          <w:tcPr>
            <w:tcW w:w="4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Caractéristiques du filtre</w:t>
            </w:r>
            <w:r w:rsidRPr="00F73FE3">
              <w:rPr>
                <w:position w:val="6"/>
                <w:sz w:val="16"/>
              </w:rPr>
              <w:t>(2)</w:t>
            </w:r>
            <w:r w:rsidRPr="00F73FE3">
              <w:t>: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R</w:t>
            </w:r>
            <w:r w:rsidRPr="00F73FE3">
              <w:t xml:space="preserve">, </w:t>
            </w:r>
            <w:r w:rsidRPr="00F73FE3">
              <w:rPr>
                <w:i/>
              </w:rPr>
              <w:t>G</w:t>
            </w:r>
            <w:r w:rsidRPr="00F73FE3">
              <w:t xml:space="preserve">, </w:t>
            </w:r>
            <w:r w:rsidRPr="00F73FE3">
              <w:rPr>
                <w:i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Y</w:t>
            </w:r>
            <w:r w:rsidRPr="00F73FE3">
              <w:rPr>
                <w:i/>
              </w:rPr>
              <w:br/>
            </w:r>
            <w:r w:rsidRPr="00F73FE3">
              <w:t>–</w:t>
            </w:r>
            <w:r w:rsidRPr="00F73FE3">
              <w:tab/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8"/>
              </w:rPr>
              <w:t>B</w:t>
            </w:r>
            <w:r w:rsidRPr="00F73FE3">
              <w:t xml:space="preserve">, </w:t>
            </w:r>
            <w:r w:rsidRPr="00F73FE3">
              <w:rPr>
                <w:i/>
              </w:rPr>
              <w:t>C</w:t>
            </w:r>
            <w:r w:rsidRPr="00F73FE3">
              <w:rPr>
                <w:i/>
                <w:iCs/>
                <w:position w:val="-4"/>
                <w:sz w:val="18"/>
              </w:rPr>
              <w:t>R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5944" w:rsidRPr="00F73FE3" w:rsidRDefault="00AC5944" w:rsidP="00AC4109">
            <w:pPr>
              <w:pStyle w:val="Tabletext"/>
              <w:jc w:val="center"/>
            </w:pP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Voir Fig. 4A</w:t>
            </w:r>
            <w:r w:rsidRPr="00F73FE3">
              <w:br/>
              <w:t>Voir Fig. 4B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</w:tcPr>
          <w:p w:rsidR="00AC5944" w:rsidRPr="00F73FE3" w:rsidRDefault="00AC5944" w:rsidP="00CE5ED9">
            <w:pPr>
              <w:pStyle w:val="Tablelegend"/>
              <w:jc w:val="left"/>
            </w:pPr>
            <w:r w:rsidRPr="00F73FE3">
              <w:rPr>
                <w:position w:val="6"/>
                <w:sz w:val="14"/>
              </w:rPr>
              <w:t>(1)</w:t>
            </w:r>
            <w:r w:rsidRPr="00F73FE3">
              <w:tab/>
              <w:t>Les premiers échantillons actifs de différence de couleur sont en coïncidence avec le premier échantillon actif de luminance.</w:t>
            </w:r>
          </w:p>
          <w:p w:rsidR="00AC5944" w:rsidRPr="00F73FE3" w:rsidRDefault="00AC5944" w:rsidP="00CE5ED9">
            <w:pPr>
              <w:pStyle w:val="Tablelegend"/>
              <w:jc w:val="left"/>
            </w:pPr>
            <w:r w:rsidRPr="00F73FE3">
              <w:rPr>
                <w:position w:val="6"/>
                <w:sz w:val="14"/>
              </w:rPr>
              <w:t>(2)</w:t>
            </w:r>
            <w:r w:rsidRPr="00F73FE3">
              <w:tab/>
              <w:t>Ces gabarits de filtre sont donnés à titre d'orientation.</w:t>
            </w:r>
          </w:p>
        </w:tc>
      </w:tr>
    </w:tbl>
    <w:p w:rsidR="00AC5944" w:rsidRPr="00AC5944" w:rsidRDefault="00AC5944" w:rsidP="00AC5944">
      <w:pPr>
        <w:pStyle w:val="Tablefin"/>
        <w:rPr>
          <w:sz w:val="16"/>
          <w:szCs w:val="16"/>
          <w:lang w:val="fr-CH"/>
        </w:rPr>
      </w:pPr>
    </w:p>
    <w:p w:rsidR="00AC5944" w:rsidRPr="00AC5944" w:rsidRDefault="00AC5944" w:rsidP="00AC594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sz w:val="16"/>
          <w:szCs w:val="16"/>
          <w:lang w:val="fr-CH"/>
        </w:rPr>
      </w:pPr>
      <w:r>
        <w:rPr>
          <w:sz w:val="16"/>
          <w:szCs w:val="16"/>
        </w:rPr>
        <w:br w:type="page"/>
      </w:r>
    </w:p>
    <w:p w:rsidR="00AC5944" w:rsidRPr="00F73FE3" w:rsidRDefault="00AC5944" w:rsidP="00AC5944">
      <w:pPr>
        <w:pStyle w:val="Heading1"/>
      </w:pPr>
      <w:r w:rsidRPr="00F73FE3">
        <w:lastRenderedPageBreak/>
        <w:t>5</w:t>
      </w:r>
      <w:r w:rsidRPr="00F73FE3">
        <w:tab/>
        <w:t>Représentation analogique</w:t>
      </w:r>
    </w:p>
    <w:p w:rsidR="00AC5944" w:rsidRPr="007C6614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szCs w:val="16"/>
          <w:lang w:val="en-GB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0"/>
        <w:gridCol w:w="4340"/>
        <w:gridCol w:w="4509"/>
      </w:tblGrid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AC4109">
            <w:pPr>
              <w:pStyle w:val="Tablehead"/>
            </w:pPr>
            <w:r w:rsidRPr="00F73FE3">
              <w:t>Point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head"/>
            </w:pPr>
            <w:r w:rsidRPr="00F73FE3">
              <w:t>Paramètre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head"/>
            </w:pPr>
            <w:r w:rsidRPr="00F73FE3">
              <w:t>Valeur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5.1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Niveau nominal (mV):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position w:val="-10"/>
              </w:rPr>
              <w:object w:dxaOrig="380" w:dyaOrig="300">
                <v:shape id="_x0000_i1043" type="#_x0000_t75" style="width:18.5pt;height:14.9pt" o:ole="">
                  <v:imagedata r:id="rId49" o:title=""/>
                </v:shape>
                <o:OLEObject Type="Embed" ProgID="Equation.3" ShapeID="_x0000_i1043" DrawAspect="Content" ObjectID="_1413292720" r:id="rId50"/>
              </w:object>
            </w:r>
            <w:r w:rsidRPr="00F73FE3">
              <w:t xml:space="preserve"> </w:t>
            </w:r>
            <w:r w:rsidRPr="00F73FE3">
              <w:rPr>
                <w:position w:val="-10"/>
              </w:rPr>
              <w:object w:dxaOrig="380" w:dyaOrig="300">
                <v:shape id="_x0000_i1044" type="#_x0000_t75" style="width:18.5pt;height:14.9pt" o:ole="">
                  <v:imagedata r:id="rId51" o:title=""/>
                </v:shape>
                <o:OLEObject Type="Embed" ProgID="Equation.3" ShapeID="_x0000_i1044" DrawAspect="Content" ObjectID="_1413292721" r:id="rId52"/>
              </w:object>
            </w:r>
            <w:r w:rsidRPr="00F73FE3">
              <w:t xml:space="preserve"> </w:t>
            </w:r>
            <w:r w:rsidRPr="00F73FE3">
              <w:rPr>
                <w:position w:val="-10"/>
              </w:rPr>
              <w:object w:dxaOrig="380" w:dyaOrig="300">
                <v:shape id="_x0000_i1045" type="#_x0000_t75" style="width:18.5pt;height:14.9pt" o:ole="">
                  <v:imagedata r:id="rId53" o:title=""/>
                </v:shape>
                <o:OLEObject Type="Embed" ProgID="Equation.3" ShapeID="_x0000_i1045" DrawAspect="Content" ObjectID="_1413292722" r:id="rId54"/>
              </w:object>
            </w:r>
            <w:r w:rsidRPr="00F73FE3">
              <w:t xml:space="preserve"> </w:t>
            </w:r>
            <w:r w:rsidRPr="00F73FE3">
              <w:rPr>
                <w:position w:val="-10"/>
              </w:rPr>
              <w:object w:dxaOrig="300" w:dyaOrig="300">
                <v:shape id="_x0000_i1046" type="#_x0000_t75" style="width:14.9pt;height:14.9pt" o:ole="">
                  <v:imagedata r:id="rId55" o:title=""/>
                </v:shape>
                <o:OLEObject Type="Embed" ProgID="Equation.3" ShapeID="_x0000_i1046" DrawAspect="Content" ObjectID="_1413292723" r:id="rId56"/>
              </w:objec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Noir de référence: 0</w:t>
            </w:r>
            <w:r w:rsidRPr="00F73FE3">
              <w:br/>
              <w:t>Blanc de référence: 700</w:t>
            </w:r>
            <w:r w:rsidRPr="00F73FE3">
              <w:br/>
              <w:t>(voir Fig. 1)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5.2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Niveau nominal (mV):</w:t>
            </w:r>
          </w:p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–</w:t>
            </w:r>
            <w:r w:rsidRPr="00F73FE3">
              <w:tab/>
            </w:r>
            <w:r w:rsidRPr="00F73FE3">
              <w:rPr>
                <w:position w:val="-14"/>
              </w:rPr>
              <w:object w:dxaOrig="480" w:dyaOrig="340">
                <v:shape id="_x0000_i1047" type="#_x0000_t75" style="width:24.7pt;height:17.5pt" o:ole="">
                  <v:imagedata r:id="rId57" o:title=""/>
                </v:shape>
                <o:OLEObject Type="Embed" ProgID="Equation.3" ShapeID="_x0000_i1047" DrawAspect="Content" ObjectID="_1413292724" r:id="rId58"/>
              </w:object>
            </w:r>
            <w:r w:rsidRPr="00F73FE3">
              <w:t xml:space="preserve"> </w:t>
            </w:r>
            <w:r w:rsidRPr="00F73FE3">
              <w:rPr>
                <w:position w:val="-14"/>
              </w:rPr>
              <w:object w:dxaOrig="420" w:dyaOrig="340">
                <v:shape id="_x0000_i1048" type="#_x0000_t75" style="width:21.1pt;height:17.5pt" o:ole="">
                  <v:imagedata r:id="rId59" o:title=""/>
                </v:shape>
                <o:OLEObject Type="Embed" ProgID="Equation.3" ShapeID="_x0000_i1048" DrawAspect="Content" ObjectID="_1413292725" r:id="rId60"/>
              </w:objec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rFonts w:ascii="Symbol" w:hAnsi="Symbol"/>
              </w:rPr>
              <w:sym w:font="Symbol" w:char="F0B1"/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350</w:t>
            </w:r>
          </w:p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(voir Fig. 1)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5.3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Format du signal de synchronisation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Bipolaire à trois niveaux</w:t>
            </w:r>
            <w:r w:rsidRPr="00F73FE3">
              <w:br/>
              <w:t>(voir Fig. 3)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5.4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Référence temporelle de la synchronisation de ligne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O</w:t>
            </w:r>
            <w:r w:rsidRPr="00F73FE3">
              <w:rPr>
                <w:position w:val="-4"/>
                <w:sz w:val="16"/>
              </w:rPr>
              <w:t>H</w:t>
            </w:r>
            <w:r w:rsidRPr="00F73FE3">
              <w:rPr>
                <w:position w:val="-4"/>
              </w:rPr>
              <w:br/>
            </w:r>
            <w:r w:rsidRPr="00F73FE3">
              <w:t>(voir Fig. 3)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5.5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Niveau de synchronisation (mV)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rPr>
                <w:rFonts w:ascii="Symbol" w:hAnsi="Symbol"/>
              </w:rPr>
              <w:sym w:font="Symbol" w:char="F0B1"/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 xml:space="preserve">300 </w:t>
            </w:r>
            <w:r w:rsidRPr="00F73FE3">
              <w:rPr>
                <w:rFonts w:ascii="Symbol" w:hAnsi="Symbol"/>
              </w:rPr>
              <w:sym w:font="Symbol" w:char="F0B1"/>
            </w:r>
            <w:r w:rsidRPr="00F73FE3">
              <w:rPr>
                <w:rFonts w:ascii="Tms Rmn" w:hAnsi="Tms Rmn"/>
                <w:sz w:val="12"/>
              </w:rPr>
              <w:t> </w:t>
            </w:r>
            <w:r w:rsidRPr="00F73FE3">
              <w:t>2%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5.6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Structure du signal de synchronisation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Synchronisation sur toutes les composantes</w:t>
            </w:r>
            <w:r w:rsidRPr="00F73FE3">
              <w:br/>
              <w:t>(voir Tableau 1, Fig. 2 et 3)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5.7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Tolérance de synchronisation entre composantes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Sans objet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5.8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Intervalle de suppression de trame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(voir Tableau 2 et Fig. 2)</w:t>
            </w:r>
          </w:p>
        </w:tc>
      </w:tr>
      <w:tr w:rsidR="00AC5944" w:rsidRPr="00F73FE3" w:rsidTr="00AC4109">
        <w:trPr>
          <w:cantSplit/>
          <w:jc w:val="center"/>
        </w:trPr>
        <w:tc>
          <w:tcPr>
            <w:tcW w:w="794" w:type="dxa"/>
          </w:tcPr>
          <w:p w:rsidR="00AC5944" w:rsidRPr="00F73FE3" w:rsidRDefault="00AC5944" w:rsidP="005471A1">
            <w:pPr>
              <w:pStyle w:val="Tabletext"/>
              <w:jc w:val="center"/>
            </w:pPr>
            <w:r w:rsidRPr="00F73FE3">
              <w:t>5.9</w:t>
            </w:r>
          </w:p>
        </w:tc>
        <w:tc>
          <w:tcPr>
            <w:tcW w:w="4366" w:type="dxa"/>
          </w:tcPr>
          <w:p w:rsidR="00AC5944" w:rsidRPr="00F73FE3" w:rsidRDefault="00AC5944" w:rsidP="00AC4109">
            <w:pPr>
              <w:pStyle w:val="Tabletext"/>
              <w:jc w:val="left"/>
            </w:pPr>
            <w:r w:rsidRPr="00F73FE3">
              <w:t>Nombre total de lignes</w:t>
            </w:r>
          </w:p>
        </w:tc>
        <w:tc>
          <w:tcPr>
            <w:tcW w:w="4536" w:type="dxa"/>
          </w:tcPr>
          <w:p w:rsidR="00AC5944" w:rsidRPr="00F73FE3" w:rsidRDefault="00AC5944" w:rsidP="00AC4109">
            <w:pPr>
              <w:pStyle w:val="Tabletext"/>
              <w:jc w:val="center"/>
            </w:pPr>
            <w:r w:rsidRPr="00F73FE3">
              <w:t>750</w:t>
            </w:r>
          </w:p>
        </w:tc>
      </w:tr>
    </w:tbl>
    <w:p w:rsidR="00AC5944" w:rsidRPr="002E4BC7" w:rsidRDefault="00AC5944" w:rsidP="00AC5944">
      <w:pPr>
        <w:pStyle w:val="FigureNo"/>
      </w:pPr>
      <w:r w:rsidRPr="002E4BC7">
        <w:lastRenderedPageBreak/>
        <w:t>FIGURE 1</w:t>
      </w:r>
    </w:p>
    <w:p w:rsidR="00AC5944" w:rsidRPr="002E4BC7" w:rsidRDefault="00AC5944" w:rsidP="00AC5944">
      <w:pPr>
        <w:pStyle w:val="Figuretitle"/>
        <w:rPr>
          <w:vertAlign w:val="subscript"/>
        </w:rPr>
      </w:pPr>
      <w:r w:rsidRPr="002E4BC7">
        <w:t>Niveaux analogiques et référence temporelle O</w:t>
      </w:r>
      <w:r w:rsidRPr="002E4BC7">
        <w:rPr>
          <w:vertAlign w:val="subscript"/>
        </w:rPr>
        <w:t>H</w:t>
      </w:r>
    </w:p>
    <w:p w:rsidR="00AC5944" w:rsidRPr="002E4BC7" w:rsidRDefault="00AC5944" w:rsidP="00AC5944">
      <w:pPr>
        <w:keepNext/>
        <w:spacing w:before="0" w:after="120"/>
        <w:jc w:val="center"/>
        <w:rPr>
          <w:rFonts w:ascii="Times New Roman Bold" w:hAnsi="Times New Roman Bold"/>
          <w:b/>
          <w:sz w:val="18"/>
        </w:rPr>
      </w:pPr>
    </w:p>
    <w:p w:rsidR="00AC5944" w:rsidRPr="002E4BC7" w:rsidRDefault="0052340A" w:rsidP="00AC5944">
      <w:pPr>
        <w:pStyle w:val="Figure"/>
      </w:pPr>
      <w:r w:rsidRPr="002E4BC7">
        <w:object w:dxaOrig="6501" w:dyaOrig="8143">
          <v:shape id="_x0000_i1049" type="#_x0000_t75" style="width:313.7pt;height:392.4pt" o:ole="">
            <v:imagedata r:id="rId61" o:title=""/>
          </v:shape>
          <o:OLEObject Type="Embed" ProgID="CorelDRAW.Graphic.14" ShapeID="_x0000_i1049" DrawAspect="Content" ObjectID="_1413292726" r:id="rId62"/>
        </w:object>
      </w:r>
    </w:p>
    <w:p w:rsidR="00AC5944" w:rsidRDefault="00AC5944" w:rsidP="00AC594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jc w:val="left"/>
        <w:textAlignment w:val="auto"/>
        <w:rPr>
          <w:b/>
        </w:rPr>
      </w:pPr>
      <w:r>
        <w:br w:type="page"/>
      </w:r>
    </w:p>
    <w:p w:rsidR="00AC5944" w:rsidRPr="005678FF" w:rsidRDefault="00AC5944" w:rsidP="00AC5944">
      <w:pPr>
        <w:pStyle w:val="Heading1"/>
      </w:pPr>
      <w:r w:rsidRPr="005678FF">
        <w:lastRenderedPageBreak/>
        <w:t>6</w:t>
      </w:r>
      <w:r w:rsidRPr="005678FF">
        <w:tab/>
        <w:t>Caractéristiques de prise de vues</w:t>
      </w:r>
    </w:p>
    <w:p w:rsidR="00AC5944" w:rsidRPr="005678FF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en-GB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0"/>
        <w:gridCol w:w="4339"/>
        <w:gridCol w:w="2255"/>
        <w:gridCol w:w="2255"/>
      </w:tblGrid>
      <w:tr w:rsidR="00AC5944" w:rsidRPr="005678FF" w:rsidTr="00AC4109">
        <w:trPr>
          <w:cantSplit/>
          <w:jc w:val="center"/>
        </w:trPr>
        <w:tc>
          <w:tcPr>
            <w:tcW w:w="794" w:type="dxa"/>
            <w:vMerge w:val="restart"/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Point</w:t>
            </w:r>
          </w:p>
        </w:tc>
        <w:tc>
          <w:tcPr>
            <w:tcW w:w="4366" w:type="dxa"/>
            <w:vMerge w:val="restart"/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Paramètre</w:t>
            </w:r>
            <w:r w:rsidRPr="00AA36A5">
              <w:rPr>
                <w:b w:val="0"/>
                <w:position w:val="6"/>
                <w:sz w:val="18"/>
              </w:rPr>
              <w:t>(1)</w:t>
            </w:r>
          </w:p>
        </w:tc>
        <w:tc>
          <w:tcPr>
            <w:tcW w:w="4536" w:type="dxa"/>
            <w:gridSpan w:val="2"/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Valeurs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  <w:vMerge/>
            <w:vAlign w:val="center"/>
          </w:tcPr>
          <w:p w:rsidR="00AC5944" w:rsidRPr="005678FF" w:rsidRDefault="00AC5944" w:rsidP="00AC4109">
            <w:pPr>
              <w:pStyle w:val="Tablehead"/>
            </w:pPr>
          </w:p>
        </w:tc>
        <w:tc>
          <w:tcPr>
            <w:tcW w:w="4366" w:type="dxa"/>
            <w:vMerge/>
            <w:vAlign w:val="center"/>
          </w:tcPr>
          <w:p w:rsidR="00AC5944" w:rsidRPr="005678FF" w:rsidRDefault="00AC5944" w:rsidP="00AC4109">
            <w:pPr>
              <w:pStyle w:val="Tablehead"/>
            </w:pPr>
          </w:p>
        </w:tc>
        <w:tc>
          <w:tcPr>
            <w:tcW w:w="2268" w:type="dxa"/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60/P</w:t>
            </w:r>
          </w:p>
        </w:tc>
        <w:tc>
          <w:tcPr>
            <w:tcW w:w="2268" w:type="dxa"/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30/P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6.1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Ordre de balayage des échantillons</w:t>
            </w:r>
          </w:p>
        </w:tc>
        <w:tc>
          <w:tcPr>
            <w:tcW w:w="4536" w:type="dxa"/>
            <w:gridSpan w:val="2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De gauche à droite et de haut en bas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6.2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Fréquence image</w:t>
            </w:r>
            <w:r w:rsidRPr="005678FF">
              <w:rPr>
                <w:position w:val="6"/>
                <w:sz w:val="16"/>
              </w:rPr>
              <w:t>(2)</w:t>
            </w:r>
            <w:r w:rsidRPr="005678FF">
              <w:t> (Hz)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60</w:t>
            </w:r>
            <w:r w:rsidRPr="005678FF">
              <w:br/>
              <w:t>(60/1,001)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30</w:t>
            </w:r>
            <w:r w:rsidRPr="005678FF">
              <w:br/>
              <w:t>(30/1,001)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6.3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Fréquence image (Hz)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60</w:t>
            </w:r>
            <w:r w:rsidRPr="005678FF">
              <w:br/>
              <w:t>(60/1,001)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30</w:t>
            </w:r>
            <w:r w:rsidRPr="005678FF">
              <w:br/>
              <w:t>(30/1,001)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6.4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Fréquence ligne</w:t>
            </w:r>
            <w:r w:rsidRPr="005678FF">
              <w:rPr>
                <w:position w:val="6"/>
                <w:sz w:val="16"/>
              </w:rPr>
              <w:t>(3)</w:t>
            </w:r>
            <w:r w:rsidRPr="005678FF">
              <w:t> (Hz)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45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000</w:t>
            </w:r>
            <w:r w:rsidRPr="005678FF">
              <w:br/>
              <w:t>(45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000/1,001)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22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500</w:t>
            </w:r>
            <w:r w:rsidRPr="005678FF">
              <w:br/>
              <w:t>(22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500/1,001)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6.5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Nombre d'échantillons par ligne:</w:t>
            </w:r>
          </w:p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–</w:t>
            </w:r>
            <w:r w:rsidRPr="005678FF">
              <w:tab/>
            </w:r>
            <w:r w:rsidRPr="005678FF">
              <w:rPr>
                <w:i/>
                <w:iCs/>
              </w:rPr>
              <w:t>R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G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B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Y</w:t>
            </w:r>
            <w:r w:rsidRPr="005678FF">
              <w:br/>
              <w:t>–</w:t>
            </w:r>
            <w:r w:rsidRPr="005678FF">
              <w:tab/>
            </w:r>
            <w:r w:rsidRPr="005678FF">
              <w:rPr>
                <w:i/>
                <w:iCs/>
              </w:rPr>
              <w:t>C</w:t>
            </w:r>
            <w:r w:rsidRPr="005678FF">
              <w:rPr>
                <w:i/>
                <w:iCs/>
                <w:position w:val="-4"/>
                <w:sz w:val="16"/>
              </w:rPr>
              <w:t>B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C</w:t>
            </w:r>
            <w:r w:rsidRPr="005678FF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650</w:t>
            </w:r>
            <w:r w:rsidRPr="005678FF">
              <w:br/>
            </w:r>
            <w:r w:rsidRPr="005678FF">
              <w:t> 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825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3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300</w:t>
            </w:r>
            <w:r w:rsidRPr="005678FF">
              <w:br/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650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6.6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Largeur de bande nominale des canaux (MHz)</w:t>
            </w:r>
          </w:p>
        </w:tc>
        <w:tc>
          <w:tcPr>
            <w:tcW w:w="4536" w:type="dxa"/>
            <w:gridSpan w:val="2"/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 xml:space="preserve">(Pour les composantes </w:t>
            </w:r>
            <w:r w:rsidRPr="005678FF">
              <w:rPr>
                <w:i/>
                <w:iCs/>
              </w:rPr>
              <w:t>R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G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B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Y</w:t>
            </w:r>
            <w:r w:rsidRPr="005678FF">
              <w:t>) 30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794" w:type="dxa"/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6.7</w:t>
            </w:r>
          </w:p>
        </w:tc>
        <w:tc>
          <w:tcPr>
            <w:tcW w:w="4366" w:type="dxa"/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Fréquence d'échantillonnage</w:t>
            </w:r>
            <w:r w:rsidRPr="005678FF">
              <w:rPr>
                <w:position w:val="6"/>
                <w:sz w:val="16"/>
              </w:rPr>
              <w:t>(4)</w:t>
            </w:r>
            <w:r w:rsidRPr="005678FF">
              <w:rPr>
                <w:position w:val="6"/>
              </w:rPr>
              <w:t xml:space="preserve"> </w:t>
            </w:r>
            <w:r w:rsidRPr="005678FF">
              <w:t>(MHz):</w:t>
            </w:r>
          </w:p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–</w:t>
            </w:r>
            <w:r w:rsidRPr="005678FF">
              <w:tab/>
            </w:r>
            <w:r w:rsidRPr="005678FF">
              <w:rPr>
                <w:i/>
                <w:iCs/>
              </w:rPr>
              <w:t>R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G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B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Y</w:t>
            </w:r>
            <w:r w:rsidRPr="005678FF">
              <w:t xml:space="preserve"> 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74,25</w:t>
            </w:r>
            <w:r w:rsidRPr="005678FF">
              <w:br/>
              <w:t>(74,25/1,001)</w:t>
            </w:r>
          </w:p>
        </w:tc>
        <w:tc>
          <w:tcPr>
            <w:tcW w:w="2268" w:type="dxa"/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74,25</w:t>
            </w:r>
            <w:r w:rsidRPr="005678FF">
              <w:br/>
              <w:t>(74,25/1,001)</w:t>
            </w:r>
          </w:p>
        </w:tc>
      </w:tr>
      <w:tr w:rsidR="00AC5944" w:rsidRPr="005678FF" w:rsidTr="00AA36A5">
        <w:trPr>
          <w:cantSplit/>
          <w:jc w:val="center"/>
        </w:trPr>
        <w:tc>
          <w:tcPr>
            <w:tcW w:w="794" w:type="dxa"/>
            <w:tcBorders>
              <w:bottom w:val="single" w:sz="4" w:space="0" w:color="auto"/>
            </w:tcBorders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6.8</w:t>
            </w:r>
          </w:p>
        </w:tc>
        <w:tc>
          <w:tcPr>
            <w:tcW w:w="4366" w:type="dxa"/>
            <w:tcBorders>
              <w:bottom w:val="single" w:sz="4" w:space="0" w:color="auto"/>
            </w:tcBorders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Fréquence d'échantillonnage</w:t>
            </w:r>
            <w:r w:rsidRPr="005678FF">
              <w:rPr>
                <w:position w:val="6"/>
                <w:sz w:val="16"/>
              </w:rPr>
              <w:t>(5)</w:t>
            </w:r>
            <w:r w:rsidRPr="005678FF">
              <w:t xml:space="preserve"> (MHz):</w:t>
            </w:r>
          </w:p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–</w:t>
            </w:r>
            <w:r w:rsidRPr="005678FF">
              <w:tab/>
            </w:r>
            <w:r w:rsidRPr="005678FF">
              <w:rPr>
                <w:i/>
                <w:iCs/>
              </w:rPr>
              <w:t>C</w:t>
            </w:r>
            <w:r w:rsidRPr="005678FF">
              <w:rPr>
                <w:i/>
                <w:iCs/>
                <w:position w:val="-4"/>
                <w:sz w:val="16"/>
              </w:rPr>
              <w:t>B</w:t>
            </w:r>
            <w:r w:rsidRPr="005678FF">
              <w:t xml:space="preserve">, </w:t>
            </w:r>
            <w:r w:rsidRPr="005678FF">
              <w:rPr>
                <w:i/>
                <w:iCs/>
              </w:rPr>
              <w:t>C</w:t>
            </w:r>
            <w:r w:rsidRPr="005678FF">
              <w:rPr>
                <w:i/>
                <w:iCs/>
                <w:position w:val="-4"/>
                <w:sz w:val="16"/>
              </w:rPr>
              <w:t>R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37,125</w:t>
            </w:r>
            <w:r w:rsidRPr="005678FF">
              <w:br/>
              <w:t>(37,125/1,001)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5944" w:rsidRPr="005678FF" w:rsidRDefault="00AC5944" w:rsidP="00AC4109">
            <w:pPr>
              <w:pStyle w:val="Tabletext"/>
              <w:jc w:val="center"/>
            </w:pP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37,125</w:t>
            </w:r>
            <w:r w:rsidRPr="005678FF">
              <w:br/>
              <w:t>(37,125/1,001)</w:t>
            </w:r>
          </w:p>
        </w:tc>
      </w:tr>
      <w:tr w:rsidR="00AC5944" w:rsidRPr="005678FF" w:rsidTr="00AA36A5">
        <w:trPr>
          <w:cantSplit/>
          <w:jc w:val="center"/>
        </w:trPr>
        <w:tc>
          <w:tcPr>
            <w:tcW w:w="9696" w:type="dxa"/>
            <w:gridSpan w:val="4"/>
            <w:tcBorders>
              <w:left w:val="nil"/>
              <w:bottom w:val="nil"/>
              <w:right w:val="nil"/>
            </w:tcBorders>
          </w:tcPr>
          <w:p w:rsidR="00AC5944" w:rsidRPr="005678FF" w:rsidRDefault="00AC5944" w:rsidP="00AA36A5">
            <w:pPr>
              <w:pStyle w:val="Tablelegend"/>
              <w:jc w:val="left"/>
            </w:pPr>
            <w:r w:rsidRPr="005678FF">
              <w:rPr>
                <w:position w:val="6"/>
                <w:sz w:val="14"/>
              </w:rPr>
              <w:t>(1)</w:t>
            </w:r>
            <w:r w:rsidRPr="005678FF">
              <w:tab/>
              <w:t>Pour ce tableau et les suivants, 59,94 correspond à l'approximation du rapport 60/1,001, et 29,97 est la valeur approchée de 30/1,001.</w:t>
            </w:r>
          </w:p>
          <w:p w:rsidR="00AC5944" w:rsidRPr="005678FF" w:rsidRDefault="00AC5944" w:rsidP="00AA36A5">
            <w:pPr>
              <w:pStyle w:val="Tablelegend"/>
              <w:jc w:val="left"/>
            </w:pPr>
            <w:r w:rsidRPr="005678FF">
              <w:rPr>
                <w:position w:val="6"/>
                <w:sz w:val="14"/>
              </w:rPr>
              <w:t>(2)</w:t>
            </w:r>
            <w:r w:rsidRPr="005678FF">
              <w:tab/>
              <w:t>Pour ce tableau et les suivants, les valeurs entre parenthèses sont celles des systèmes pour lesquels la fréquence image a été divisée par 1,001.</w:t>
            </w:r>
          </w:p>
          <w:p w:rsidR="00AC5944" w:rsidRPr="005678FF" w:rsidRDefault="00AC5944" w:rsidP="00AA36A5">
            <w:pPr>
              <w:pStyle w:val="Tablelegend"/>
              <w:jc w:val="left"/>
            </w:pPr>
            <w:r w:rsidRPr="005678FF">
              <w:rPr>
                <w:position w:val="6"/>
                <w:sz w:val="14"/>
              </w:rPr>
              <w:t>(3)</w:t>
            </w:r>
            <w:r w:rsidRPr="005678FF">
              <w:tab/>
              <w:t xml:space="preserve">La tolérance sur la fréquence ligne est de </w:t>
            </w:r>
            <w:r w:rsidRPr="005678FF">
              <w:rPr>
                <w:rFonts w:ascii="Symbol" w:hAnsi="Symbol"/>
              </w:rPr>
              <w:sym w:font="Symbol" w:char="F0B1"/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0,001%.</w:t>
            </w:r>
          </w:p>
          <w:p w:rsidR="00AC5944" w:rsidRPr="005678FF" w:rsidRDefault="00AC5944" w:rsidP="00AA36A5">
            <w:pPr>
              <w:pStyle w:val="Tablelegend"/>
              <w:jc w:val="left"/>
            </w:pPr>
            <w:r w:rsidRPr="005678FF">
              <w:rPr>
                <w:position w:val="6"/>
                <w:sz w:val="14"/>
              </w:rPr>
              <w:t>(4)</w:t>
            </w:r>
            <w:r w:rsidRPr="005678FF">
              <w:tab/>
              <w:t xml:space="preserve">La tolérance sur les fréquences d'échantillonnage est de </w:t>
            </w:r>
            <w:r w:rsidRPr="005678FF">
              <w:rPr>
                <w:rFonts w:ascii="Symbol" w:hAnsi="Symbol"/>
              </w:rPr>
              <w:sym w:font="Symbol" w:char="F0B1"/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0,001%.</w:t>
            </w:r>
          </w:p>
          <w:p w:rsidR="00AC5944" w:rsidRPr="005678FF" w:rsidRDefault="00AC5944" w:rsidP="00AA36A5">
            <w:pPr>
              <w:pStyle w:val="Tablelegend"/>
              <w:jc w:val="left"/>
            </w:pPr>
            <w:r w:rsidRPr="005678FF">
              <w:rPr>
                <w:position w:val="6"/>
                <w:sz w:val="14"/>
              </w:rPr>
              <w:t>(5)</w:t>
            </w:r>
            <w:r w:rsidRPr="005678FF">
              <w:tab/>
              <w:t>Les fréquences d'échantillonnage C</w:t>
            </w:r>
            <w:r w:rsidRPr="005678FF">
              <w:rPr>
                <w:i/>
                <w:iCs/>
                <w:position w:val="-4"/>
                <w:sz w:val="14"/>
              </w:rPr>
              <w:t>B</w:t>
            </w:r>
            <w:r w:rsidRPr="005678FF">
              <w:t>, C</w:t>
            </w:r>
            <w:r w:rsidRPr="005678FF">
              <w:rPr>
                <w:i/>
                <w:iCs/>
                <w:position w:val="-4"/>
                <w:sz w:val="14"/>
              </w:rPr>
              <w:t>R</w:t>
            </w:r>
            <w:r w:rsidRPr="005678FF">
              <w:t xml:space="preserve"> sont égales à la moitié de la fréquence d'échantillonnage de la luminance.</w:t>
            </w:r>
          </w:p>
        </w:tc>
      </w:tr>
    </w:tbl>
    <w:p w:rsidR="00AC5944" w:rsidRPr="00AC5944" w:rsidRDefault="00AC5944" w:rsidP="00AC5944">
      <w:pPr>
        <w:pStyle w:val="Tablefin"/>
        <w:rPr>
          <w:sz w:val="16"/>
          <w:szCs w:val="16"/>
          <w:lang w:val="fr-CH"/>
        </w:rPr>
      </w:pPr>
    </w:p>
    <w:p w:rsidR="00AC5944" w:rsidRPr="005678FF" w:rsidRDefault="008B03F7" w:rsidP="0052340A">
      <w:pPr>
        <w:pStyle w:val="TableNo"/>
      </w:pPr>
      <w:r>
        <w:t xml:space="preserve">TABLEAU </w:t>
      </w:r>
      <w:r w:rsidR="00AC5944" w:rsidRPr="005678FF">
        <w:t>1</w:t>
      </w:r>
    </w:p>
    <w:p w:rsidR="00AC5944" w:rsidRPr="005678FF" w:rsidRDefault="00AC5944" w:rsidP="00AC5944">
      <w:pPr>
        <w:pStyle w:val="Tabletitle"/>
      </w:pPr>
      <w:r w:rsidRPr="005678FF">
        <w:t>Spécification des niveaux et des durées des signaux en ligne</w:t>
      </w:r>
      <w:r w:rsidRPr="005678FF">
        <w:br/>
        <w:t>(voir les Fig. 2 et 3)</w:t>
      </w:r>
    </w:p>
    <w:p w:rsidR="00AC5944" w:rsidRPr="005678FF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fr-CH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4"/>
        <w:gridCol w:w="3945"/>
        <w:gridCol w:w="2255"/>
        <w:gridCol w:w="2255"/>
      </w:tblGrid>
      <w:tr w:rsidR="00AC5944" w:rsidRPr="005678FF" w:rsidTr="00AC4109">
        <w:trPr>
          <w:cantSplit/>
          <w:trHeight w:val="293"/>
          <w:jc w:val="center"/>
        </w:trPr>
        <w:tc>
          <w:tcPr>
            <w:tcW w:w="1191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Symbole</w:t>
            </w:r>
          </w:p>
        </w:tc>
        <w:tc>
          <w:tcPr>
            <w:tcW w:w="3969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Paramètre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Valeurs du système</w:t>
            </w:r>
          </w:p>
        </w:tc>
      </w:tr>
      <w:tr w:rsidR="00AC5944" w:rsidRPr="005678FF" w:rsidTr="00AC4109">
        <w:trPr>
          <w:cantSplit/>
          <w:trHeight w:val="333"/>
          <w:jc w:val="center"/>
        </w:trPr>
        <w:tc>
          <w:tcPr>
            <w:tcW w:w="1191" w:type="dxa"/>
            <w:vMerge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</w:p>
        </w:tc>
        <w:tc>
          <w:tcPr>
            <w:tcW w:w="3969" w:type="dxa"/>
            <w:vMerge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60/P</w:t>
            </w: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30/P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T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Intervalle d'horloge de référence (</w:t>
            </w:r>
            <w:r w:rsidRPr="005678FF">
              <w:rPr>
                <w:rFonts w:ascii="Symbol" w:hAnsi="Symbol"/>
              </w:rPr>
              <w:t></w:t>
            </w:r>
            <w:r w:rsidRPr="005678FF">
              <w:t>s)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1/74,25</w:t>
            </w:r>
            <w:r w:rsidRPr="005678FF">
              <w:br/>
              <w:t>(1,001/74,25)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a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Largeur du signal de synchronisation de ligne (négatif) (T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)</w:t>
            </w:r>
            <w:r w:rsidRPr="005678FF">
              <w:rPr>
                <w:position w:val="6"/>
                <w:sz w:val="16"/>
              </w:rPr>
              <w:t>(1)</w:t>
            </w:r>
            <w:r w:rsidRPr="005678FF">
              <w:t> 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 xml:space="preserve">40 </w:t>
            </w:r>
            <w:r w:rsidRPr="005678FF">
              <w:rPr>
                <w:rFonts w:ascii="Symbol" w:hAnsi="Symbol"/>
              </w:rPr>
              <w:sym w:font="Symbol" w:char="F0B1"/>
            </w:r>
            <w:r w:rsidRPr="005678FF">
              <w:t xml:space="preserve"> 3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</w:pPr>
            <w:r w:rsidRPr="005678FF">
              <w:t>b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</w:pPr>
            <w:r w:rsidRPr="005678FF">
              <w:t>Fin de la vidéo active</w:t>
            </w:r>
            <w:r w:rsidRPr="005678FF">
              <w:rPr>
                <w:position w:val="6"/>
                <w:sz w:val="16"/>
              </w:rPr>
              <w:t>(2)</w:t>
            </w:r>
            <w:r w:rsidRPr="005678FF">
              <w:t> (T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)</w:t>
            </w: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rPr>
                <w:rFonts w:ascii="Symbol" w:hAnsi="Symbol"/>
              </w:rPr>
              <w:t></w:t>
            </w:r>
            <w:r w:rsidRPr="005678FF">
              <w:t>6</w:t>
            </w: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110</w:t>
            </w: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sym w:font="Symbol" w:char="F02D"/>
            </w:r>
            <w:r w:rsidRPr="005678FF">
              <w:t>0</w:t>
            </w: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rPr>
                <w:rFonts w:ascii="Symbol" w:hAnsi="Symbol"/>
              </w:rPr>
              <w:t></w:t>
            </w:r>
            <w:r w:rsidRPr="005678FF">
              <w:t>6</w:t>
            </w: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760</w:t>
            </w:r>
          </w:p>
          <w:p w:rsidR="00AC5944" w:rsidRPr="005678FF" w:rsidRDefault="00AC5944" w:rsidP="00AC4109">
            <w:pPr>
              <w:pStyle w:val="Tabletext"/>
              <w:jc w:val="center"/>
            </w:pPr>
            <w:r w:rsidRPr="005678FF">
              <w:sym w:font="Symbol" w:char="F02D"/>
            </w:r>
            <w:r w:rsidRPr="005678FF">
              <w:t>0</w:t>
            </w:r>
          </w:p>
        </w:tc>
      </w:tr>
    </w:tbl>
    <w:p w:rsidR="00AC5944" w:rsidRDefault="00AC5944" w:rsidP="00AC5944"/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4"/>
        <w:gridCol w:w="3945"/>
        <w:gridCol w:w="2255"/>
        <w:gridCol w:w="2255"/>
      </w:tblGrid>
      <w:tr w:rsidR="00AC5944" w:rsidRPr="005678FF" w:rsidTr="00AC4109">
        <w:trPr>
          <w:cantSplit/>
          <w:jc w:val="center"/>
        </w:trPr>
        <w:tc>
          <w:tcPr>
            <w:tcW w:w="96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AC5944" w:rsidRPr="005678FF" w:rsidRDefault="008B03F7" w:rsidP="008B03F7">
            <w:pPr>
              <w:pStyle w:val="TableNo"/>
              <w:spacing w:before="0"/>
            </w:pPr>
            <w:r>
              <w:lastRenderedPageBreak/>
              <w:t xml:space="preserve">TABLEAU 1 </w:t>
            </w:r>
            <w:r w:rsidR="00AC5944" w:rsidRPr="008B03F7">
              <w:t>(</w:t>
            </w:r>
            <w:r w:rsidR="00AC5944" w:rsidRPr="005678FF">
              <w:rPr>
                <w:i/>
                <w:iCs/>
              </w:rPr>
              <w:t>fin</w:t>
            </w:r>
            <w:r w:rsidR="00AC5944" w:rsidRPr="008B03F7">
              <w:t>)</w:t>
            </w:r>
            <w:r w:rsidR="00AC5944" w:rsidRPr="005678FF">
              <w:t xml:space="preserve"> </w:t>
            </w:r>
          </w:p>
        </w:tc>
      </w:tr>
      <w:tr w:rsidR="00AC5944" w:rsidRPr="005678FF" w:rsidTr="00AC4109">
        <w:trPr>
          <w:cantSplit/>
          <w:trHeight w:val="293"/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Symbole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Paramètre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Valeurs du système</w:t>
            </w:r>
          </w:p>
        </w:tc>
      </w:tr>
      <w:tr w:rsidR="00AC5944" w:rsidRPr="005678FF" w:rsidTr="00AC4109">
        <w:trPr>
          <w:cantSplit/>
          <w:trHeight w:val="333"/>
          <w:jc w:val="center"/>
        </w:trPr>
        <w:tc>
          <w:tcPr>
            <w:tcW w:w="1191" w:type="dxa"/>
            <w:vMerge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</w:p>
        </w:tc>
        <w:tc>
          <w:tcPr>
            <w:tcW w:w="3969" w:type="dxa"/>
            <w:vMerge/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60/P</w:t>
            </w:r>
          </w:p>
        </w:tc>
        <w:tc>
          <w:tcPr>
            <w:tcW w:w="2268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/>
              <w:autoSpaceDE/>
              <w:autoSpaceDN/>
              <w:adjustRightInd/>
              <w:spacing w:before="80" w:after="80"/>
              <w:jc w:val="center"/>
              <w:textAlignment w:val="auto"/>
              <w:rPr>
                <w:b/>
                <w:sz w:val="22"/>
              </w:rPr>
            </w:pPr>
            <w:r w:rsidRPr="005678FF">
              <w:rPr>
                <w:b/>
                <w:sz w:val="22"/>
              </w:rPr>
              <w:t>30/P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275057" w:rsidRDefault="00AC5944" w:rsidP="00AC4109">
            <w:pPr>
              <w:pStyle w:val="Tabletext"/>
              <w:jc w:val="center"/>
              <w:rPr>
                <w:i/>
                <w:iCs/>
              </w:rPr>
            </w:pPr>
            <w:r w:rsidRPr="00275057">
              <w:rPr>
                <w:i/>
                <w:iCs/>
              </w:rPr>
              <w:t>c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t>Largeur du signal de synchronisation de ligne (positif) (T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t>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t xml:space="preserve">40 </w:t>
            </w:r>
            <w:r w:rsidRPr="005678FF">
              <w:rPr>
                <w:rFonts w:ascii="Symbol" w:hAnsi="Symbol"/>
              </w:rPr>
              <w:sym w:font="Symbol" w:char="F0B1"/>
            </w:r>
            <w:r w:rsidRPr="005678FF">
              <w:t xml:space="preserve"> 3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d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Période d'alignement 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 xml:space="preserve">110 </w:t>
            </w:r>
            <w:r w:rsidRPr="005678FF">
              <w:rPr>
                <w:rFonts w:ascii="Symbol" w:hAnsi="Symbol"/>
                <w:sz w:val="20"/>
              </w:rPr>
              <w:sym w:font="Symbol" w:char="F0B1"/>
            </w:r>
            <w:r w:rsidRPr="005678FF">
              <w:rPr>
                <w:sz w:val="20"/>
              </w:rPr>
              <w:t xml:space="preserve"> 3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e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Début de la vidéo active 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</w:t>
            </w:r>
            <w:r w:rsidRPr="005678FF">
              <w:rPr>
                <w:sz w:val="20"/>
              </w:rPr>
              <w:t>6</w:t>
            </w:r>
          </w:p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260</w:t>
            </w:r>
          </w:p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sym w:font="Symbol" w:char="F02D"/>
            </w:r>
            <w:r w:rsidRPr="005678FF">
              <w:rPr>
                <w:sz w:val="20"/>
              </w:rPr>
              <w:t>0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f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Temps de montée/descente 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 xml:space="preserve">4 </w:t>
            </w:r>
            <w:r w:rsidRPr="005678FF">
              <w:rPr>
                <w:rFonts w:ascii="Symbol" w:hAnsi="Symbol"/>
                <w:sz w:val="20"/>
              </w:rPr>
              <w:sym w:font="Symbol" w:char="F0B1"/>
            </w:r>
            <w:r w:rsidRPr="005678FF">
              <w:rPr>
                <w:sz w:val="20"/>
              </w:rPr>
              <w:t xml:space="preserve"> 1,5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t</w:t>
            </w:r>
            <w:r w:rsidRPr="005678FF">
              <w:rPr>
                <w:position w:val="-4"/>
                <w:sz w:val="16"/>
              </w:rPr>
              <w:t>2</w:t>
            </w:r>
            <w:r w:rsidRPr="005678FF">
              <w:rPr>
                <w:i/>
                <w:sz w:val="20"/>
              </w:rPr>
              <w:t xml:space="preserve"> – t</w:t>
            </w:r>
            <w:r w:rsidRPr="005678FF">
              <w:rPr>
                <w:position w:val="-4"/>
                <w:sz w:val="16"/>
              </w:rPr>
              <w:t>1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Symétrie du front avant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Symétrique par rapport à T</w:t>
            </w:r>
            <w:r w:rsidRPr="005678FF">
              <w:rPr>
                <w:i/>
                <w:iCs/>
                <w:position w:val="-4"/>
                <w:sz w:val="16"/>
              </w:rPr>
              <w:t>r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–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Intervalle de ligne active 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</w:t>
            </w:r>
            <w:r w:rsidRPr="005678FF">
              <w:rPr>
                <w:sz w:val="20"/>
              </w:rPr>
              <w:t>0</w:t>
            </w:r>
          </w:p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280</w:t>
            </w:r>
          </w:p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sym w:font="Symbol" w:char="F02D"/>
            </w:r>
            <w:r w:rsidRPr="005678FF">
              <w:rPr>
                <w:sz w:val="20"/>
              </w:rPr>
              <w:t>12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S</w:t>
            </w:r>
            <w:r w:rsidRPr="005678FF">
              <w:rPr>
                <w:i/>
                <w:iCs/>
                <w:position w:val="-4"/>
                <w:sz w:val="16"/>
              </w:rPr>
              <w:t>m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Amplitude de l'impulsion négative (mV)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 xml:space="preserve">300 </w:t>
            </w:r>
            <w:r w:rsidRPr="005678FF">
              <w:rPr>
                <w:rFonts w:ascii="Symbol" w:hAnsi="Symbol"/>
                <w:sz w:val="20"/>
              </w:rPr>
              <w:sym w:font="Symbol" w:char="F0B1"/>
            </w:r>
            <w:r w:rsidRPr="005678FF">
              <w:rPr>
                <w:sz w:val="20"/>
              </w:rPr>
              <w:t xml:space="preserve"> 6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S</w:t>
            </w:r>
            <w:r w:rsidRPr="005678FF">
              <w:rPr>
                <w:i/>
                <w:iCs/>
                <w:position w:val="-4"/>
                <w:sz w:val="16"/>
              </w:rPr>
              <w:t>p</w:t>
            </w:r>
          </w:p>
        </w:tc>
        <w:tc>
          <w:tcPr>
            <w:tcW w:w="3969" w:type="dxa"/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Amplitude de l'impulsion positive (mV)</w:t>
            </w:r>
          </w:p>
        </w:tc>
        <w:tc>
          <w:tcPr>
            <w:tcW w:w="4536" w:type="dxa"/>
            <w:gridSpan w:val="2"/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 xml:space="preserve">300 </w:t>
            </w:r>
            <w:r w:rsidRPr="005678FF">
              <w:rPr>
                <w:rFonts w:ascii="Symbol" w:hAnsi="Symbol"/>
                <w:sz w:val="20"/>
              </w:rPr>
              <w:sym w:font="Symbol" w:char="F0B1"/>
            </w:r>
            <w:r w:rsidRPr="005678FF">
              <w:rPr>
                <w:sz w:val="20"/>
              </w:rPr>
              <w:t xml:space="preserve"> 6</w:t>
            </w:r>
          </w:p>
        </w:tc>
      </w:tr>
      <w:tr w:rsidR="00AC5944" w:rsidRPr="005678FF" w:rsidTr="00CB4DEE">
        <w:trPr>
          <w:cantSplit/>
          <w:jc w:val="center"/>
        </w:trPr>
        <w:tc>
          <w:tcPr>
            <w:tcW w:w="1191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V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</w:rPr>
            </w:pPr>
            <w:r w:rsidRPr="005678FF">
              <w:rPr>
                <w:sz w:val="20"/>
              </w:rPr>
              <w:t>Amplitude du signal vidéo (mV)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700</w:t>
            </w:r>
          </w:p>
        </w:tc>
      </w:tr>
      <w:tr w:rsidR="00AC5944" w:rsidRPr="005678FF" w:rsidTr="00CB4DEE">
        <w:trPr>
          <w:cantSplit/>
          <w:jc w:val="center"/>
        </w:trPr>
        <w:tc>
          <w:tcPr>
            <w:tcW w:w="9696" w:type="dxa"/>
            <w:gridSpan w:val="4"/>
            <w:tcBorders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369"/>
              <w:jc w:val="left"/>
              <w:rPr>
                <w:sz w:val="18"/>
              </w:rPr>
            </w:pPr>
            <w:r w:rsidRPr="005678FF">
              <w:rPr>
                <w:position w:val="6"/>
                <w:sz w:val="14"/>
              </w:rPr>
              <w:t>(1)</w:t>
            </w:r>
            <w:r w:rsidRPr="005678FF">
              <w:rPr>
                <w:sz w:val="22"/>
              </w:rPr>
              <w:tab/>
            </w:r>
            <w:r w:rsidRPr="005678FF">
              <w:rPr>
                <w:i/>
                <w:iCs/>
                <w:sz w:val="18"/>
              </w:rPr>
              <w:t>T</w:t>
            </w:r>
            <w:r w:rsidRPr="005678FF">
              <w:rPr>
                <w:sz w:val="18"/>
              </w:rPr>
              <w:t xml:space="preserve"> correspond à la durée d'une période d'horloge de référence ou à l'inverse de la fréquence d'horloge.</w:t>
            </w:r>
          </w:p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369"/>
              <w:jc w:val="left"/>
              <w:rPr>
                <w:sz w:val="22"/>
              </w:rPr>
            </w:pPr>
            <w:r w:rsidRPr="005678FF">
              <w:rPr>
                <w:position w:val="6"/>
                <w:sz w:val="14"/>
              </w:rPr>
              <w:t>(2)</w:t>
            </w:r>
            <w:r w:rsidRPr="005678FF">
              <w:rPr>
                <w:sz w:val="22"/>
              </w:rPr>
              <w:tab/>
            </w:r>
            <w:r w:rsidRPr="005678FF">
              <w:rPr>
                <w:sz w:val="18"/>
              </w:rPr>
              <w:t>Une ligne commence à la référence du sign</w:t>
            </w:r>
            <w:bookmarkStart w:id="6" w:name="_GoBack"/>
            <w:bookmarkEnd w:id="6"/>
            <w:r w:rsidRPr="005678FF">
              <w:rPr>
                <w:sz w:val="18"/>
              </w:rPr>
              <w:t>al de synchronisation O</w:t>
            </w:r>
            <w:r w:rsidRPr="005678FF">
              <w:rPr>
                <w:position w:val="-4"/>
                <w:sz w:val="14"/>
              </w:rPr>
              <w:t>H</w:t>
            </w:r>
            <w:r w:rsidRPr="005678FF">
              <w:rPr>
                <w:sz w:val="18"/>
              </w:rPr>
              <w:t xml:space="preserve"> (comprise), et se termine juste avant la référence suivante O</w:t>
            </w:r>
            <w:r w:rsidRPr="005678FF">
              <w:rPr>
                <w:position w:val="-4"/>
                <w:sz w:val="14"/>
              </w:rPr>
              <w:t>H</w:t>
            </w:r>
            <w:r w:rsidRPr="005678FF">
              <w:rPr>
                <w:sz w:val="18"/>
              </w:rPr>
              <w:t xml:space="preserve"> (non comprise).</w:t>
            </w:r>
          </w:p>
        </w:tc>
      </w:tr>
    </w:tbl>
    <w:p w:rsidR="00AC5944" w:rsidRPr="00AC5944" w:rsidRDefault="00AC5944" w:rsidP="00AC5944">
      <w:pPr>
        <w:pStyle w:val="Tablefin"/>
        <w:rPr>
          <w:sz w:val="16"/>
          <w:szCs w:val="16"/>
          <w:lang w:val="fr-CH"/>
        </w:rPr>
      </w:pPr>
    </w:p>
    <w:p w:rsidR="00AC5944" w:rsidRPr="005678FF" w:rsidRDefault="00AA3D80" w:rsidP="00AC5944">
      <w:pPr>
        <w:pStyle w:val="TableNo"/>
      </w:pPr>
      <w:r>
        <w:t xml:space="preserve">TABLEAU </w:t>
      </w:r>
      <w:r w:rsidR="00AC5944" w:rsidRPr="005678FF">
        <w:t>2</w:t>
      </w:r>
    </w:p>
    <w:p w:rsidR="00AC5944" w:rsidRPr="005678FF" w:rsidRDefault="00AC5944" w:rsidP="00AC5944">
      <w:pPr>
        <w:pStyle w:val="Tabletitle"/>
      </w:pPr>
      <w:r w:rsidRPr="005678FF">
        <w:t>Spécifications temporelles image</w:t>
      </w:r>
      <w:r w:rsidRPr="005678FF">
        <w:br/>
        <w:t>(voir les Fig. 2 et 3)</w:t>
      </w:r>
    </w:p>
    <w:p w:rsidR="00AC5944" w:rsidRPr="005678FF" w:rsidRDefault="00AC5944" w:rsidP="00AC5944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fr-CH"/>
        </w:rPr>
      </w:pP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91"/>
        <w:gridCol w:w="3969"/>
        <w:gridCol w:w="2268"/>
        <w:gridCol w:w="2268"/>
      </w:tblGrid>
      <w:tr w:rsidR="00AC5944" w:rsidRPr="005678FF" w:rsidTr="00AC4109">
        <w:trPr>
          <w:cantSplit/>
          <w:jc w:val="center"/>
        </w:trPr>
        <w:tc>
          <w:tcPr>
            <w:tcW w:w="11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Symbole</w:t>
            </w:r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Paramètre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Valeurs du système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</w:p>
        </w:tc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60/P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C5944" w:rsidRPr="005678FF" w:rsidRDefault="00AC5944" w:rsidP="00AC4109">
            <w:pPr>
              <w:pStyle w:val="Tablehead"/>
            </w:pPr>
            <w:r w:rsidRPr="005678FF">
              <w:t>30/P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i/>
                <w:iCs/>
                <w:sz w:val="20"/>
              </w:rPr>
              <w:t>H</w:t>
            </w:r>
            <w:r w:rsidRPr="005678FF">
              <w:t>(1)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>Durée de ligne entière 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  <w:r w:rsidRPr="005678FF"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650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3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300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i/>
                <w:sz w:val="20"/>
              </w:rPr>
              <w:t>h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>Largeur du signal de synchronisation verticale (</w:t>
            </w:r>
            <w:r w:rsidRPr="005678FF">
              <w:rPr>
                <w:i/>
                <w:iCs/>
                <w:sz w:val="20"/>
              </w:rPr>
              <w:t>T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>)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1</w:t>
            </w:r>
            <w:r w:rsidRPr="005678FF">
              <w:rPr>
                <w:rFonts w:ascii="Tms Rmn" w:hAnsi="Tms Rmn"/>
                <w:sz w:val="12"/>
              </w:rPr>
              <w:t> </w:t>
            </w:r>
            <w:r w:rsidRPr="005678FF">
              <w:rPr>
                <w:sz w:val="20"/>
              </w:rPr>
              <w:t xml:space="preserve">280 </w:t>
            </w:r>
            <w:r w:rsidRPr="005678FF">
              <w:rPr>
                <w:rFonts w:ascii="Symbol" w:hAnsi="Symbol"/>
                <w:sz w:val="20"/>
              </w:rPr>
              <w:sym w:font="Symbol" w:char="F0B1"/>
            </w:r>
            <w:r w:rsidRPr="005678FF">
              <w:rPr>
                <w:sz w:val="20"/>
              </w:rPr>
              <w:t xml:space="preserve"> 3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LT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 xml:space="preserve">Ligne supérieure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</w:t>
            </w:r>
            <w:r w:rsidRPr="005678FF">
              <w:rPr>
                <w:rFonts w:ascii="Symbol" w:hAnsi="Symbol"/>
                <w:sz w:val="20"/>
              </w:rPr>
              <w:t></w:t>
            </w:r>
            <w:r w:rsidRPr="005678FF">
              <w:rPr>
                <w:sz w:val="20"/>
              </w:rPr>
              <w:t xml:space="preserve"> </w:t>
            </w:r>
            <w:r w:rsidRPr="005678FF">
              <w:rPr>
                <w:rFonts w:ascii="Symbol" w:hAnsi="Symbol"/>
                <w:sz w:val="20"/>
              </w:rPr>
              <w:t></w:t>
            </w:r>
            <w:r w:rsidRPr="005678FF">
              <w:rPr>
                <w:rFonts w:ascii="Symbol" w:hAnsi="Symbol"/>
                <w:sz w:val="20"/>
              </w:rPr>
              <w:t>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>LB</w:t>
            </w:r>
          </w:p>
        </w:tc>
        <w:tc>
          <w:tcPr>
            <w:tcW w:w="3969" w:type="dxa"/>
            <w:tcBorders>
              <w:top w:val="single" w:sz="6" w:space="0" w:color="auto"/>
              <w:left w:val="nil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 xml:space="preserve">Ligne inférieure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</w:t>
            </w:r>
            <w:r w:rsidRPr="005678FF">
              <w:rPr>
                <w:rFonts w:ascii="Symbol" w:hAnsi="Symbol"/>
                <w:sz w:val="20"/>
              </w:rPr>
              <w:t></w:t>
            </w:r>
            <w:r w:rsidRPr="005678FF">
              <w:rPr>
                <w:sz w:val="20"/>
              </w:rPr>
              <w:t xml:space="preserve"> 745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i/>
                <w:iCs/>
                <w:sz w:val="20"/>
              </w:rPr>
            </w:pPr>
            <w:r w:rsidRPr="005678FF">
              <w:rPr>
                <w:i/>
                <w:iCs/>
                <w:sz w:val="20"/>
              </w:rPr>
              <w:t>WBL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 xml:space="preserve">Intervalle de suppression d'image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sz w:val="20"/>
              </w:rPr>
              <w:t xml:space="preserve">30 </w:t>
            </w:r>
            <w:r w:rsidRPr="005678FF">
              <w:rPr>
                <w:i/>
                <w:iCs/>
                <w:sz w:val="20"/>
              </w:rPr>
              <w:t>H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 xml:space="preserve">Début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</w:t>
            </w:r>
            <w:r w:rsidRPr="005678FF">
              <w:rPr>
                <w:rFonts w:ascii="Symbol" w:hAnsi="Symbol"/>
                <w:sz w:val="20"/>
              </w:rPr>
              <w:t></w:t>
            </w:r>
            <w:r w:rsidRPr="005678FF">
              <w:rPr>
                <w:sz w:val="20"/>
              </w:rPr>
              <w:t xml:space="preserve"> 1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5471A1">
            <w:pPr>
              <w:pStyle w:val="Tabletext"/>
              <w:jc w:val="center"/>
              <w:rPr>
                <w:sz w:val="20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pStyle w:val="Tabletext"/>
              <w:jc w:val="left"/>
              <w:rPr>
                <w:sz w:val="20"/>
              </w:rPr>
            </w:pPr>
            <w:r w:rsidRPr="005678FF">
              <w:rPr>
                <w:sz w:val="20"/>
              </w:rPr>
              <w:t xml:space="preserve">Fin de l'image 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C4109">
            <w:pPr>
              <w:pStyle w:val="Tabletext"/>
              <w:jc w:val="center"/>
              <w:rPr>
                <w:sz w:val="20"/>
              </w:rPr>
            </w:pPr>
            <w:r w:rsidRPr="005678FF">
              <w:rPr>
                <w:rFonts w:ascii="Symbol" w:hAnsi="Symbol"/>
                <w:sz w:val="20"/>
              </w:rPr>
              <w:t></w:t>
            </w:r>
            <w:r w:rsidRPr="005678FF">
              <w:rPr>
                <w:rFonts w:ascii="Symbol" w:hAnsi="Symbol"/>
                <w:sz w:val="20"/>
              </w:rPr>
              <w:t></w:t>
            </w:r>
            <w:r w:rsidRPr="005678FF">
              <w:rPr>
                <w:sz w:val="20"/>
              </w:rPr>
              <w:t xml:space="preserve"> 750</w:t>
            </w:r>
          </w:p>
        </w:tc>
      </w:tr>
      <w:tr w:rsidR="00AC5944" w:rsidRPr="005678FF" w:rsidTr="00AC4109">
        <w:trPr>
          <w:cantSplit/>
          <w:jc w:val="center"/>
        </w:trPr>
        <w:tc>
          <w:tcPr>
            <w:tcW w:w="9696" w:type="dxa"/>
            <w:gridSpan w:val="4"/>
            <w:tcBorders>
              <w:top w:val="single" w:sz="6" w:space="0" w:color="auto"/>
            </w:tcBorders>
            <w:tcMar>
              <w:left w:w="108" w:type="dxa"/>
              <w:right w:w="108" w:type="dxa"/>
            </w:tcMar>
          </w:tcPr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369"/>
              <w:jc w:val="left"/>
              <w:rPr>
                <w:sz w:val="18"/>
              </w:rPr>
            </w:pPr>
            <w:r w:rsidRPr="005678FF">
              <w:rPr>
                <w:position w:val="6"/>
                <w:sz w:val="14"/>
              </w:rPr>
              <w:t>(1)</w:t>
            </w:r>
            <w:r w:rsidRPr="005678FF">
              <w:rPr>
                <w:sz w:val="22"/>
              </w:rPr>
              <w:tab/>
            </w:r>
            <w:r w:rsidRPr="005678FF">
              <w:rPr>
                <w:i/>
                <w:iCs/>
                <w:sz w:val="18"/>
              </w:rPr>
              <w:t>H</w:t>
            </w:r>
            <w:r w:rsidRPr="005678FF">
              <w:rPr>
                <w:sz w:val="18"/>
              </w:rPr>
              <w:t xml:space="preserve"> correspond à la durée d'une ligne ou l'inverse de la fréquence de ligne (voir § 6). Une ligne commence à la référence du signal de synchronisation O</w:t>
            </w:r>
            <w:r w:rsidRPr="005678FF">
              <w:rPr>
                <w:position w:val="-4"/>
                <w:sz w:val="14"/>
              </w:rPr>
              <w:t>H</w:t>
            </w:r>
            <w:r w:rsidRPr="005678FF">
              <w:rPr>
                <w:sz w:val="18"/>
              </w:rPr>
              <w:t xml:space="preserve"> (comprise) et se termine juste avant la référence suivante O</w:t>
            </w:r>
            <w:r w:rsidRPr="005678FF">
              <w:rPr>
                <w:position w:val="-4"/>
                <w:sz w:val="14"/>
              </w:rPr>
              <w:t>H</w:t>
            </w:r>
            <w:r w:rsidRPr="005678FF">
              <w:rPr>
                <w:sz w:val="18"/>
              </w:rPr>
              <w:t xml:space="preserve"> (non comprise).</w:t>
            </w:r>
          </w:p>
          <w:p w:rsidR="00AC5944" w:rsidRPr="005678FF" w:rsidRDefault="00AC5944" w:rsidP="00AA36A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/>
              <w:ind w:left="284" w:right="-85" w:hanging="369"/>
              <w:jc w:val="left"/>
              <w:rPr>
                <w:sz w:val="22"/>
              </w:rPr>
            </w:pPr>
            <w:r w:rsidRPr="005678FF">
              <w:rPr>
                <w:position w:val="6"/>
                <w:sz w:val="14"/>
              </w:rPr>
              <w:t>(2)</w:t>
            </w:r>
            <w:r w:rsidRPr="005678FF">
              <w:rPr>
                <w:sz w:val="22"/>
              </w:rPr>
              <w:tab/>
            </w:r>
            <w:r w:rsidRPr="005678FF">
              <w:rPr>
                <w:i/>
                <w:iCs/>
                <w:sz w:val="18"/>
              </w:rPr>
              <w:t>T</w:t>
            </w:r>
            <w:r w:rsidRPr="005678FF">
              <w:rPr>
                <w:sz w:val="18"/>
              </w:rPr>
              <w:t xml:space="preserve"> correspond à la durée d'une période d'horloge de référence ou à l'inverse de la fréquence d'horloge (voir Tableau 1).</w:t>
            </w:r>
          </w:p>
        </w:tc>
      </w:tr>
    </w:tbl>
    <w:p w:rsidR="00AC5944" w:rsidRPr="00AC5944" w:rsidRDefault="00AC5944" w:rsidP="00AC5944">
      <w:pPr>
        <w:pStyle w:val="Tablefin"/>
        <w:rPr>
          <w:lang w:val="fr-CH"/>
        </w:rPr>
      </w:pPr>
    </w:p>
    <w:p w:rsidR="00AC5944" w:rsidRPr="005678FF" w:rsidRDefault="00AC5944" w:rsidP="00AC5944">
      <w:pPr>
        <w:pStyle w:val="FigureNo"/>
        <w:rPr>
          <w:lang w:val="fr-CH" w:eastAsia="zh-CN"/>
        </w:rPr>
      </w:pPr>
      <w:r w:rsidRPr="005678FF">
        <w:rPr>
          <w:lang w:val="fr-CH" w:eastAsia="zh-CN"/>
        </w:rPr>
        <w:lastRenderedPageBreak/>
        <w:t>Figure 2</w:t>
      </w:r>
    </w:p>
    <w:p w:rsidR="00AC5944" w:rsidRPr="005678FF" w:rsidRDefault="00AC5944" w:rsidP="00AC5944">
      <w:pPr>
        <w:pStyle w:val="Figuretitle"/>
        <w:rPr>
          <w:lang w:val="fr-CH" w:eastAsia="zh-CN"/>
        </w:rPr>
      </w:pPr>
      <w:r w:rsidRPr="005678FF">
        <w:rPr>
          <w:lang w:val="fr-CH" w:eastAsia="zh-CN"/>
        </w:rPr>
        <w:t>Forme d'onde du signal de synchronisation de trame</w:t>
      </w:r>
    </w:p>
    <w:p w:rsidR="00AC5944" w:rsidRPr="005678FF" w:rsidRDefault="00435B78" w:rsidP="00AC5944">
      <w:pPr>
        <w:pStyle w:val="Figure"/>
        <w:rPr>
          <w:lang w:val="fr-CH" w:eastAsia="zh-CN"/>
        </w:rPr>
      </w:pPr>
      <w:r w:rsidRPr="005678FF">
        <w:rPr>
          <w:lang w:val="fr-CH" w:eastAsia="zh-CN"/>
        </w:rPr>
        <w:object w:dxaOrig="10257" w:dyaOrig="6379">
          <v:shape id="_x0000_i1050" type="#_x0000_t75" style="width:462.85pt;height:288.5pt" o:ole="">
            <v:imagedata r:id="rId63" o:title=""/>
          </v:shape>
          <o:OLEObject Type="Embed" ProgID="CorelDRAW.Graphic.14" ShapeID="_x0000_i1050" DrawAspect="Content" ObjectID="_1413292727" r:id="rId64"/>
        </w:object>
      </w:r>
    </w:p>
    <w:p w:rsidR="00AC5944" w:rsidRDefault="00AC5944" w:rsidP="00AC594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jc w:val="left"/>
        <w:textAlignment w:val="auto"/>
      </w:pPr>
      <w:r>
        <w:br w:type="page"/>
      </w:r>
    </w:p>
    <w:p w:rsidR="00AC5944" w:rsidRPr="005678FF" w:rsidRDefault="00AC5944" w:rsidP="00AC5944">
      <w:pPr>
        <w:pStyle w:val="FigureNo"/>
      </w:pPr>
      <w:r w:rsidRPr="005678FF">
        <w:lastRenderedPageBreak/>
        <w:t>FIGURE 3</w:t>
      </w:r>
    </w:p>
    <w:p w:rsidR="00AC5944" w:rsidRPr="005678FF" w:rsidRDefault="00AC5944" w:rsidP="00AC5944">
      <w:pPr>
        <w:pStyle w:val="Figuretitle"/>
      </w:pPr>
      <w:r w:rsidRPr="005678FF">
        <w:t>Forme d'onde du signal de synchronisation en ligne</w:t>
      </w:r>
    </w:p>
    <w:p w:rsidR="00AC5944" w:rsidRPr="005678FF" w:rsidRDefault="00EA33C5" w:rsidP="00AC5944">
      <w:pPr>
        <w:pStyle w:val="Figure"/>
      </w:pPr>
      <w:r w:rsidRPr="005678FF">
        <w:object w:dxaOrig="6088" w:dyaOrig="8411">
          <v:shape id="_x0000_i1051" type="#_x0000_t75" style="width:375.45pt;height:517.9pt" o:ole="">
            <v:imagedata r:id="rId65" o:title=""/>
          </v:shape>
          <o:OLEObject Type="Embed" ProgID="CorelDRAW.Graphic.14" ShapeID="_x0000_i1051" DrawAspect="Content" ObjectID="_1413292728" r:id="rId66"/>
        </w:object>
      </w:r>
    </w:p>
    <w:p w:rsidR="00AC5944" w:rsidRPr="005678FF" w:rsidRDefault="00AC5944" w:rsidP="00AC5944">
      <w:pPr>
        <w:keepNext/>
        <w:keepLines/>
        <w:spacing w:before="480" w:after="80"/>
        <w:jc w:val="left"/>
        <w:rPr>
          <w:caps/>
          <w:sz w:val="18"/>
        </w:rPr>
      </w:pPr>
      <w:r w:rsidRPr="005678FF">
        <w:rPr>
          <w:caps/>
          <w:sz w:val="18"/>
        </w:rPr>
        <w:br w:type="page"/>
      </w:r>
    </w:p>
    <w:p w:rsidR="00AC5944" w:rsidRPr="005678FF" w:rsidRDefault="00AC5944" w:rsidP="00AC5944">
      <w:pPr>
        <w:pStyle w:val="FigureNo"/>
      </w:pPr>
      <w:r w:rsidRPr="005678FF">
        <w:lastRenderedPageBreak/>
        <w:t>FIGURE 4A</w:t>
      </w:r>
    </w:p>
    <w:p w:rsidR="00AC5944" w:rsidRPr="005678FF" w:rsidRDefault="00AC5944" w:rsidP="00AC5944">
      <w:pPr>
        <w:pStyle w:val="Figuretitle"/>
      </w:pPr>
      <w:r w:rsidRPr="005678FF">
        <w:t xml:space="preserve">Caractéristique du filtre pour les signaux </w:t>
      </w:r>
      <w:r w:rsidRPr="00EA33C5">
        <w:rPr>
          <w:i/>
          <w:iCs/>
        </w:rPr>
        <w:t>R</w:t>
      </w:r>
      <w:r w:rsidRPr="005678FF">
        <w:t xml:space="preserve">, </w:t>
      </w:r>
      <w:r w:rsidRPr="00EA33C5">
        <w:rPr>
          <w:i/>
          <w:iCs/>
        </w:rPr>
        <w:t>G</w:t>
      </w:r>
      <w:r w:rsidRPr="005678FF">
        <w:t xml:space="preserve">, </w:t>
      </w:r>
      <w:r w:rsidRPr="00EA33C5">
        <w:rPr>
          <w:i/>
          <w:iCs/>
        </w:rPr>
        <w:t>B</w:t>
      </w:r>
      <w:r w:rsidRPr="005678FF">
        <w:t xml:space="preserve">, et </w:t>
      </w:r>
      <w:r w:rsidRPr="00EA33C5">
        <w:rPr>
          <w:i/>
          <w:iCs/>
        </w:rPr>
        <w:t>Y</w:t>
      </w:r>
    </w:p>
    <w:p w:rsidR="00AC5944" w:rsidRPr="005678FF" w:rsidRDefault="007D7E39" w:rsidP="00AC5944">
      <w:pPr>
        <w:pStyle w:val="Figure"/>
      </w:pPr>
      <w:r w:rsidRPr="005678FF">
        <w:object w:dxaOrig="7319" w:dyaOrig="11679">
          <v:shape id="_x0000_i1052" type="#_x0000_t75" style="width:418.1pt;height:668.55pt" o:ole="">
            <v:imagedata r:id="rId67" o:title=""/>
          </v:shape>
          <o:OLEObject Type="Embed" ProgID="CorelDRAW.Graphic.14" ShapeID="_x0000_i1052" DrawAspect="Content" ObjectID="_1413292729" r:id="rId68"/>
        </w:object>
      </w:r>
    </w:p>
    <w:p w:rsidR="00AC5944" w:rsidRPr="005678FF" w:rsidRDefault="00AC5944" w:rsidP="00AC5944">
      <w:pPr>
        <w:pStyle w:val="FigureNo"/>
      </w:pPr>
      <w:r w:rsidRPr="005678FF">
        <w:lastRenderedPageBreak/>
        <w:t>FIGURE 4B</w:t>
      </w:r>
    </w:p>
    <w:p w:rsidR="00AC5944" w:rsidRPr="005678FF" w:rsidRDefault="00AC5944" w:rsidP="00AC5944">
      <w:pPr>
        <w:pStyle w:val="Figuretitle"/>
      </w:pPr>
      <w:r w:rsidRPr="005678FF">
        <w:t>Caractéristique du filtre pour les signaux C</w:t>
      </w:r>
      <w:r w:rsidRPr="005678FF">
        <w:rPr>
          <w:i/>
          <w:iCs/>
          <w:vertAlign w:val="subscript"/>
        </w:rPr>
        <w:t>B</w:t>
      </w:r>
      <w:r w:rsidR="00696BDC" w:rsidRPr="00696BDC">
        <w:rPr>
          <w:sz w:val="8"/>
          <w:szCs w:val="8"/>
        </w:rPr>
        <w:t xml:space="preserve"> </w:t>
      </w:r>
      <w:r w:rsidRPr="00696BDC">
        <w:t>,</w:t>
      </w:r>
      <w:r w:rsidRPr="005678FF">
        <w:t xml:space="preserve"> C</w:t>
      </w:r>
      <w:r w:rsidRPr="005678FF">
        <w:rPr>
          <w:i/>
          <w:iCs/>
          <w:vertAlign w:val="subscript"/>
        </w:rPr>
        <w:t>R</w:t>
      </w:r>
    </w:p>
    <w:p w:rsidR="00A6617B" w:rsidRDefault="00184500" w:rsidP="0052340A">
      <w:pPr>
        <w:pStyle w:val="Figure"/>
      </w:pPr>
      <w:r w:rsidRPr="005678FF">
        <w:object w:dxaOrig="7319" w:dyaOrig="11660">
          <v:shape id="_x0000_i1053" type="#_x0000_t75" style="width:396.5pt;height:631.05pt" o:ole="">
            <v:imagedata r:id="rId69" o:title=""/>
          </v:shape>
          <o:OLEObject Type="Embed" ProgID="CorelDRAW.Graphic.14" ShapeID="_x0000_i1053" DrawAspect="Content" ObjectID="_1413292730" r:id="rId70"/>
        </w:object>
      </w:r>
    </w:p>
    <w:p w:rsidR="00AC5944" w:rsidRPr="00AC5944" w:rsidRDefault="00AC5944" w:rsidP="00AC5944">
      <w:pPr>
        <w:pStyle w:val="Line"/>
      </w:pPr>
    </w:p>
    <w:sectPr w:rsidR="00AC5944" w:rsidRPr="00AC5944" w:rsidSect="00541A22">
      <w:headerReference w:type="even" r:id="rId71"/>
      <w:headerReference w:type="default" r:id="rId7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44" w:rsidRDefault="00AC5944">
      <w:r>
        <w:separator/>
      </w:r>
    </w:p>
  </w:endnote>
  <w:endnote w:type="continuationSeparator" w:id="0">
    <w:p w:rsidR="00AC5944" w:rsidRDefault="00AC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44" w:rsidRDefault="00AC5944">
      <w:r>
        <w:separator/>
      </w:r>
    </w:p>
  </w:footnote>
  <w:footnote w:type="continuationSeparator" w:id="0">
    <w:p w:rsidR="00AC5944" w:rsidRDefault="00AC5944">
      <w:r>
        <w:continuationSeparator/>
      </w:r>
    </w:p>
  </w:footnote>
  <w:footnote w:id="1">
    <w:p w:rsidR="00AC5944" w:rsidRPr="00381C43" w:rsidRDefault="00AC5944" w:rsidP="00AC5944">
      <w:pPr>
        <w:pStyle w:val="FootnoteText"/>
        <w:ind w:left="259" w:hanging="259"/>
        <w:rPr>
          <w:lang w:val="fr-CH"/>
        </w:rPr>
      </w:pPr>
      <w:r w:rsidRPr="00FB1B7C">
        <w:rPr>
          <w:rStyle w:val="FootnoteReference"/>
        </w:rPr>
        <w:sym w:font="Symbol" w:char="F02A"/>
      </w:r>
      <w:r>
        <w:tab/>
      </w:r>
      <w:r w:rsidRPr="00FB1B7C">
        <w:rPr>
          <w:lang w:val="fr-CH"/>
        </w:rPr>
        <w:t xml:space="preserve">La Commission d'études 6 des radiocommunications a apporté des modifications </w:t>
      </w:r>
      <w:r>
        <w:rPr>
          <w:lang w:val="fr-CH"/>
        </w:rPr>
        <w:t xml:space="preserve">rédactionnelles </w:t>
      </w:r>
      <w:r w:rsidRPr="00FB1B7C">
        <w:rPr>
          <w:lang w:val="fr-CH"/>
        </w:rPr>
        <w:t xml:space="preserve">à la présente Recommandation en novembre 2009 </w:t>
      </w:r>
      <w:r>
        <w:rPr>
          <w:lang w:val="fr-CH"/>
        </w:rPr>
        <w:t xml:space="preserve">et en mai 2012 </w:t>
      </w:r>
      <w:r w:rsidRPr="00FB1B7C">
        <w:rPr>
          <w:lang w:val="fr-CH"/>
        </w:rPr>
        <w:t>conformément aux dispositions de la Résolution UIT-R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4E" w:rsidRDefault="00D0214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4E" w:rsidRDefault="00D0214E" w:rsidP="001432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E2B4818" wp14:editId="6D79AD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44" w:rsidRDefault="00AC594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B4DE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CB4DEE">
      <w:fldChar w:fldCharType="begin"/>
    </w:r>
    <w:r w:rsidR="00CB4DEE">
      <w:instrText xml:space="preserve"> DOCPROPERTY "Header" \* MERGEFORMAT </w:instrText>
    </w:r>
    <w:r w:rsidR="00CB4DEE">
      <w:fldChar w:fldCharType="separate"/>
    </w:r>
    <w:r w:rsidR="00435B78" w:rsidRPr="00435B78">
      <w:rPr>
        <w:b/>
        <w:bCs/>
        <w:lang w:val="en-US"/>
      </w:rPr>
      <w:t xml:space="preserve">Rec. </w:t>
    </w:r>
    <w:r w:rsidR="00CB4DEE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B4DEE">
      <w:rPr>
        <w:b/>
        <w:bCs/>
        <w:noProof/>
      </w:rPr>
      <w:t>UIT-R  BT.1543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44" w:rsidRDefault="00AC5944">
    <w:pPr>
      <w:pStyle w:val="Header"/>
    </w:pPr>
    <w:r>
      <w:tab/>
    </w:r>
    <w:r w:rsidR="00CB4DEE">
      <w:fldChar w:fldCharType="begin"/>
    </w:r>
    <w:r w:rsidR="00CB4DEE">
      <w:instrText xml:space="preserve"> DOCPROPERTY "Header" \* MERGEFORMAT </w:instrText>
    </w:r>
    <w:r w:rsidR="00CB4DEE">
      <w:fldChar w:fldCharType="separate"/>
    </w:r>
    <w:r w:rsidR="00435B78" w:rsidRPr="00435B78">
      <w:rPr>
        <w:b/>
        <w:bCs/>
      </w:rPr>
      <w:t xml:space="preserve">Rec. </w:t>
    </w:r>
    <w:r w:rsidR="00CB4DE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35B78">
      <w:rPr>
        <w:b/>
        <w:bCs/>
        <w:noProof/>
      </w:rPr>
      <w:t>UIT-R  BT.1543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B4DEE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435B78" w:rsidRPr="00435B78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B4DEE">
      <w:rPr>
        <w:b/>
        <w:bCs/>
        <w:noProof/>
      </w:rPr>
      <w:t>UIT-R  BT.1543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CB4DEE">
      <w:fldChar w:fldCharType="begin"/>
    </w:r>
    <w:r w:rsidR="00CB4DEE">
      <w:instrText xml:space="preserve"> DOCPROPERTY "Header" \* MERGEFORMAT </w:instrText>
    </w:r>
    <w:r w:rsidR="00CB4DEE">
      <w:fldChar w:fldCharType="separate"/>
    </w:r>
    <w:r w:rsidR="00435B78" w:rsidRPr="00435B78">
      <w:rPr>
        <w:b/>
        <w:bCs/>
      </w:rPr>
      <w:t xml:space="preserve">Rec. </w:t>
    </w:r>
    <w:r w:rsidR="00CB4DE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B4DEE">
      <w:rPr>
        <w:b/>
        <w:bCs/>
        <w:noProof/>
      </w:rPr>
      <w:t>UIT-R  BT.1543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B4DEE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44"/>
    <w:rsid w:val="00184500"/>
    <w:rsid w:val="00217EBF"/>
    <w:rsid w:val="00242AEE"/>
    <w:rsid w:val="002D76C4"/>
    <w:rsid w:val="00435B78"/>
    <w:rsid w:val="0052340A"/>
    <w:rsid w:val="0052529D"/>
    <w:rsid w:val="00541A22"/>
    <w:rsid w:val="005471A1"/>
    <w:rsid w:val="00607D68"/>
    <w:rsid w:val="00696BDC"/>
    <w:rsid w:val="007468DA"/>
    <w:rsid w:val="007C6614"/>
    <w:rsid w:val="007D7E39"/>
    <w:rsid w:val="008B03F7"/>
    <w:rsid w:val="009E00A8"/>
    <w:rsid w:val="00A6617B"/>
    <w:rsid w:val="00AA36A5"/>
    <w:rsid w:val="00AA3D80"/>
    <w:rsid w:val="00AB0DC8"/>
    <w:rsid w:val="00AC5944"/>
    <w:rsid w:val="00B44E24"/>
    <w:rsid w:val="00CB4DEE"/>
    <w:rsid w:val="00CE5ED9"/>
    <w:rsid w:val="00D0214E"/>
    <w:rsid w:val="00D240B2"/>
    <w:rsid w:val="00DF4176"/>
    <w:rsid w:val="00EA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594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C5944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C5944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C5944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C5944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C5944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C5944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C5944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C5944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C5944"/>
    <w:rPr>
      <w:b/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AC5944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C5944"/>
    <w:rPr>
      <w:sz w:val="22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AC5944"/>
    <w:rPr>
      <w:sz w:val="24"/>
      <w:lang w:val="fr-FR" w:eastAsia="en-US"/>
    </w:rPr>
  </w:style>
  <w:style w:type="character" w:styleId="Hyperlink">
    <w:name w:val="Hyperlink"/>
    <w:basedOn w:val="DefaultParagraphFont"/>
    <w:rsid w:val="00AC59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594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C5944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C5944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C5944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C5944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C5944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C5944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C5944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C5944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C5944"/>
    <w:rPr>
      <w:b/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AC5944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C5944"/>
    <w:rPr>
      <w:sz w:val="22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AC5944"/>
    <w:rPr>
      <w:sz w:val="24"/>
      <w:lang w:val="fr-FR" w:eastAsia="en-US"/>
    </w:rPr>
  </w:style>
  <w:style w:type="character" w:styleId="Hyperlink">
    <w:name w:val="Hyperlink"/>
    <w:basedOn w:val="DefaultParagraphFont"/>
    <w:rsid w:val="00AC5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8.bin"/><Relationship Id="rId7" Type="http://schemas.openxmlformats.org/officeDocument/2006/relationships/header" Target="header1.xml"/><Relationship Id="rId71" Type="http://schemas.openxmlformats.org/officeDocument/2006/relationships/header" Target="header5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0.wmf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emf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emf"/><Relationship Id="rId8" Type="http://schemas.openxmlformats.org/officeDocument/2006/relationships/header" Target="header2.xml"/><Relationship Id="rId51" Type="http://schemas.openxmlformats.org/officeDocument/2006/relationships/image" Target="media/image21.wmf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9.emf"/><Relationship Id="rId20" Type="http://schemas.openxmlformats.org/officeDocument/2006/relationships/oleObject" Target="embeddings/oleObject4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81</TotalTime>
  <Pages>14</Pages>
  <Words>1935</Words>
  <Characters>11012</Characters>
  <Application>Microsoft Office Word</Application>
  <DocSecurity>0</DocSecurity>
  <Lines>500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Brice, Corinne</cp:lastModifiedBy>
  <cp:revision>17</cp:revision>
  <cp:lastPrinted>2005-02-10T15:54:00Z</cp:lastPrinted>
  <dcterms:created xsi:type="dcterms:W3CDTF">2012-10-30T11:47:00Z</dcterms:created>
  <dcterms:modified xsi:type="dcterms:W3CDTF">2012-11-01T15:06:00Z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