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1D0" w:rsidRDefault="000431D0" w:rsidP="000431D0">
      <w:bookmarkStart w:id="0" w:name="Doc_title"/>
      <w:bookmarkStart w:id="1" w:name="_GoBack"/>
      <w:bookmarkEnd w:id="1"/>
    </w:p>
    <w:p w:rsidR="000431D0" w:rsidRDefault="000431D0" w:rsidP="000431D0"/>
    <w:p w:rsidR="000431D0" w:rsidRDefault="000431D0" w:rsidP="000431D0"/>
    <w:p w:rsidR="000431D0" w:rsidRDefault="000431D0" w:rsidP="000431D0"/>
    <w:p w:rsidR="000431D0" w:rsidRDefault="000431D0" w:rsidP="000431D0"/>
    <w:p w:rsidR="000431D0" w:rsidRDefault="000431D0" w:rsidP="000431D0"/>
    <w:p w:rsidR="000431D0" w:rsidRDefault="000431D0" w:rsidP="000431D0"/>
    <w:p w:rsidR="000431D0" w:rsidRDefault="000431D0" w:rsidP="000431D0"/>
    <w:p w:rsidR="000431D0" w:rsidRDefault="000431D0" w:rsidP="000431D0"/>
    <w:p w:rsidR="000431D0" w:rsidRDefault="000431D0" w:rsidP="000431D0"/>
    <w:p w:rsidR="000431D0" w:rsidRDefault="000431D0" w:rsidP="000431D0"/>
    <w:p w:rsidR="000431D0" w:rsidRDefault="000431D0" w:rsidP="000431D0"/>
    <w:tbl>
      <w:tblPr>
        <w:tblW w:w="10089" w:type="dxa"/>
        <w:tblLook w:val="01E0" w:firstRow="1" w:lastRow="1" w:firstColumn="1" w:lastColumn="1" w:noHBand="0" w:noVBand="0"/>
      </w:tblPr>
      <w:tblGrid>
        <w:gridCol w:w="10089"/>
      </w:tblGrid>
      <w:tr w:rsidR="000431D0" w:rsidRPr="00A443C2" w:rsidTr="00C554DF">
        <w:tc>
          <w:tcPr>
            <w:tcW w:w="10089" w:type="dxa"/>
          </w:tcPr>
          <w:p w:rsidR="000431D0" w:rsidRPr="00B033C8" w:rsidRDefault="000431D0" w:rsidP="00C554DF">
            <w:pPr>
              <w:spacing w:before="380" w:line="280" w:lineRule="exact"/>
              <w:jc w:val="right"/>
              <w:rPr>
                <w:rFonts w:ascii="Tahoma" w:hAnsi="Tahoma" w:cs="Tahoma"/>
                <w:b/>
                <w:bCs/>
                <w:iCs/>
                <w:color w:val="243285"/>
                <w:sz w:val="32"/>
                <w:szCs w:val="32"/>
                <w:lang w:val="en-US"/>
              </w:rPr>
            </w:pPr>
          </w:p>
          <w:p w:rsidR="000431D0" w:rsidRPr="00A443C2" w:rsidRDefault="000431D0" w:rsidP="00927A1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927A1C">
              <w:rPr>
                <w:rFonts w:ascii="Tahoma" w:hAnsi="Tahoma" w:cs="Tahoma"/>
                <w:b/>
                <w:bCs/>
                <w:iCs/>
                <w:color w:val="243285"/>
                <w:sz w:val="36"/>
                <w:szCs w:val="36"/>
              </w:rPr>
              <w:t>1380-1</w:t>
            </w:r>
          </w:p>
          <w:p w:rsidR="000431D0" w:rsidRPr="00A443C2" w:rsidRDefault="000431D0" w:rsidP="000431D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07/2006</w:t>
            </w:r>
            <w:r w:rsidRPr="00A443C2">
              <w:rPr>
                <w:rFonts w:ascii="Tahoma" w:hAnsi="Tahoma" w:cs="Tahoma"/>
                <w:b/>
                <w:bCs/>
                <w:iCs/>
                <w:color w:val="243285"/>
                <w:szCs w:val="24"/>
              </w:rPr>
              <w:t>)</w:t>
            </w:r>
          </w:p>
        </w:tc>
      </w:tr>
      <w:tr w:rsidR="000431D0" w:rsidRPr="00F54FBD" w:rsidTr="00C554DF">
        <w:tc>
          <w:tcPr>
            <w:tcW w:w="10089" w:type="dxa"/>
          </w:tcPr>
          <w:p w:rsidR="000431D0" w:rsidRPr="0043089F" w:rsidRDefault="000431D0" w:rsidP="00C554DF">
            <w:pPr>
              <w:spacing w:before="80" w:line="500" w:lineRule="exact"/>
              <w:jc w:val="right"/>
              <w:rPr>
                <w:rFonts w:ascii="Tahoma" w:hAnsi="Tahoma" w:cs="Tahoma"/>
                <w:b/>
                <w:bCs/>
                <w:iCs/>
                <w:color w:val="243285"/>
                <w:sz w:val="44"/>
                <w:szCs w:val="44"/>
              </w:rPr>
            </w:pPr>
          </w:p>
          <w:p w:rsidR="000431D0" w:rsidRDefault="000431D0" w:rsidP="000431D0">
            <w:pPr>
              <w:spacing w:before="80" w:line="500" w:lineRule="exact"/>
              <w:jc w:val="right"/>
              <w:rPr>
                <w:rFonts w:ascii="Tahoma" w:hAnsi="Tahoma" w:cs="Tahoma"/>
                <w:b/>
                <w:bCs/>
                <w:color w:val="243285"/>
                <w:sz w:val="44"/>
                <w:szCs w:val="44"/>
              </w:rPr>
            </w:pPr>
            <w:r w:rsidRPr="000431D0">
              <w:rPr>
                <w:rFonts w:ascii="Tahoma" w:hAnsi="Tahoma" w:cs="Tahoma"/>
                <w:b/>
                <w:bCs/>
                <w:color w:val="243285"/>
                <w:sz w:val="44"/>
                <w:szCs w:val="44"/>
              </w:rPr>
              <w:t>Normes pour systèmes de codage avec</w:t>
            </w:r>
            <w:r>
              <w:rPr>
                <w:rFonts w:ascii="Tahoma" w:hAnsi="Tahoma" w:cs="Tahoma"/>
                <w:b/>
                <w:bCs/>
                <w:color w:val="243285"/>
                <w:sz w:val="44"/>
                <w:szCs w:val="44"/>
              </w:rPr>
              <w:t xml:space="preserve"> </w:t>
            </w:r>
            <w:r w:rsidRPr="000431D0">
              <w:rPr>
                <w:rFonts w:ascii="Tahoma" w:hAnsi="Tahoma" w:cs="Tahoma"/>
                <w:b/>
                <w:bCs/>
                <w:color w:val="243285"/>
                <w:sz w:val="44"/>
                <w:szCs w:val="44"/>
              </w:rPr>
              <w:t>réduction</w:t>
            </w:r>
            <w:r>
              <w:rPr>
                <w:rFonts w:ascii="Tahoma" w:hAnsi="Tahoma" w:cs="Tahoma"/>
                <w:b/>
                <w:bCs/>
                <w:color w:val="243285"/>
                <w:sz w:val="44"/>
                <w:szCs w:val="44"/>
              </w:rPr>
              <w:t xml:space="preserve"> </w:t>
            </w:r>
            <w:r w:rsidRPr="000431D0">
              <w:rPr>
                <w:rFonts w:ascii="Tahoma" w:hAnsi="Tahoma" w:cs="Tahoma"/>
                <w:b/>
                <w:bCs/>
                <w:color w:val="243285"/>
                <w:sz w:val="44"/>
                <w:szCs w:val="44"/>
              </w:rPr>
              <w:t>du débit binaire pour la TVDC</w:t>
            </w:r>
          </w:p>
          <w:p w:rsidR="000431D0" w:rsidRPr="0043089F" w:rsidRDefault="000431D0" w:rsidP="00C554DF">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0431D0" w:rsidRPr="00F54FBD" w:rsidTr="00C554DF">
        <w:tc>
          <w:tcPr>
            <w:tcW w:w="10089" w:type="dxa"/>
          </w:tcPr>
          <w:p w:rsidR="000431D0" w:rsidRPr="00F54FBD" w:rsidRDefault="000431D0" w:rsidP="00C554DF">
            <w:pPr>
              <w:spacing w:before="80" w:line="280" w:lineRule="exact"/>
              <w:ind w:right="640"/>
              <w:rPr>
                <w:rFonts w:ascii="Tahoma" w:hAnsi="Tahoma" w:cs="Tahoma"/>
                <w:b/>
                <w:bCs/>
                <w:iCs/>
                <w:color w:val="243285"/>
                <w:sz w:val="32"/>
                <w:szCs w:val="32"/>
              </w:rPr>
            </w:pPr>
          </w:p>
          <w:p w:rsidR="000431D0" w:rsidRPr="00F54FBD" w:rsidRDefault="000431D0" w:rsidP="00C554DF">
            <w:pPr>
              <w:spacing w:before="80" w:line="280" w:lineRule="exact"/>
              <w:ind w:right="640"/>
              <w:rPr>
                <w:rFonts w:ascii="Tahoma" w:hAnsi="Tahoma" w:cs="Tahoma"/>
                <w:b/>
                <w:bCs/>
                <w:iCs/>
                <w:color w:val="243285"/>
                <w:sz w:val="32"/>
                <w:szCs w:val="32"/>
              </w:rPr>
            </w:pPr>
          </w:p>
          <w:p w:rsidR="000431D0" w:rsidRPr="00F54FBD" w:rsidRDefault="000431D0" w:rsidP="00C554DF">
            <w:pPr>
              <w:spacing w:before="80" w:after="180" w:line="360" w:lineRule="exact"/>
              <w:ind w:right="720"/>
              <w:rPr>
                <w:rFonts w:ascii="Tahoma" w:hAnsi="Tahoma" w:cs="Tahoma"/>
                <w:b/>
                <w:bCs/>
                <w:iCs/>
                <w:color w:val="243285"/>
                <w:sz w:val="36"/>
                <w:szCs w:val="36"/>
              </w:rPr>
            </w:pPr>
          </w:p>
          <w:p w:rsidR="000431D0" w:rsidRPr="00F54FBD" w:rsidRDefault="000431D0" w:rsidP="00C554D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0431D0" w:rsidRPr="0043089F" w:rsidRDefault="000431D0" w:rsidP="00C554DF">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0431D0" w:rsidRPr="00F54FBD" w:rsidRDefault="000431D0" w:rsidP="000431D0">
      <w:pPr>
        <w:spacing w:before="80"/>
        <w:rPr>
          <w:i/>
          <w:sz w:val="22"/>
        </w:rPr>
      </w:pPr>
    </w:p>
    <w:p w:rsidR="000431D0" w:rsidRPr="00F54FBD" w:rsidRDefault="000431D0" w:rsidP="000431D0">
      <w:pPr>
        <w:spacing w:before="80"/>
        <w:rPr>
          <w:i/>
          <w:sz w:val="22"/>
        </w:rPr>
      </w:pPr>
    </w:p>
    <w:p w:rsidR="000431D0" w:rsidRPr="00F54FBD" w:rsidRDefault="000431D0" w:rsidP="000431D0">
      <w:pPr>
        <w:spacing w:before="80"/>
        <w:rPr>
          <w:i/>
          <w:sz w:val="22"/>
        </w:rPr>
      </w:pPr>
    </w:p>
    <w:p w:rsidR="000431D0" w:rsidRPr="00F54FBD" w:rsidRDefault="000431D0" w:rsidP="000431D0">
      <w:pPr>
        <w:spacing w:before="80"/>
        <w:rPr>
          <w:i/>
          <w:sz w:val="22"/>
        </w:rPr>
      </w:pPr>
    </w:p>
    <w:p w:rsidR="000431D0" w:rsidRPr="00F54FBD" w:rsidRDefault="000431D0" w:rsidP="000431D0">
      <w:pPr>
        <w:spacing w:before="80"/>
        <w:rPr>
          <w:i/>
          <w:sz w:val="22"/>
        </w:rPr>
      </w:pPr>
    </w:p>
    <w:p w:rsidR="000431D0" w:rsidRPr="00F54FBD" w:rsidRDefault="000431D0" w:rsidP="000431D0">
      <w:pPr>
        <w:spacing w:before="80"/>
        <w:rPr>
          <w:i/>
          <w:sz w:val="22"/>
        </w:rPr>
      </w:pPr>
    </w:p>
    <w:p w:rsidR="000431D0" w:rsidRPr="00F54FBD" w:rsidRDefault="000431D0" w:rsidP="000431D0">
      <w:pPr>
        <w:pStyle w:val="Equation"/>
        <w:tabs>
          <w:tab w:val="clear" w:pos="4820"/>
          <w:tab w:val="clear" w:pos="9639"/>
          <w:tab w:val="left" w:pos="1191"/>
          <w:tab w:val="left" w:pos="1588"/>
          <w:tab w:val="left" w:pos="1985"/>
        </w:tabs>
        <w:rPr>
          <w:rFonts w:ascii="Palatino Linotype" w:hAnsi="Palatino Linotype"/>
        </w:rPr>
        <w:sectPr w:rsidR="000431D0"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0431D0" w:rsidRPr="00F54FBD" w:rsidRDefault="000431D0" w:rsidP="00043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0431D0" w:rsidRPr="00F54FBD" w:rsidRDefault="000431D0" w:rsidP="000431D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431D0" w:rsidRPr="00F54FBD" w:rsidRDefault="000431D0" w:rsidP="000431D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431D0" w:rsidRPr="00E44CBB" w:rsidRDefault="000431D0" w:rsidP="000431D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431D0" w:rsidRPr="00E44CBB" w:rsidRDefault="000431D0" w:rsidP="000431D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431D0" w:rsidRPr="000431D0" w:rsidRDefault="000431D0" w:rsidP="000431D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31D0" w:rsidRPr="009454F8" w:rsidTr="00C554DF">
        <w:tc>
          <w:tcPr>
            <w:tcW w:w="9360" w:type="dxa"/>
            <w:gridSpan w:val="2"/>
          </w:tcPr>
          <w:p w:rsidR="000431D0" w:rsidRPr="009454F8" w:rsidRDefault="000431D0" w:rsidP="00C554DF">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0431D0" w:rsidRPr="009454F8" w:rsidRDefault="000431D0" w:rsidP="00C55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431D0" w:rsidRPr="00036EE3" w:rsidTr="00C554DF">
        <w:tc>
          <w:tcPr>
            <w:tcW w:w="1140" w:type="dxa"/>
          </w:tcPr>
          <w:p w:rsidR="000431D0" w:rsidRPr="00614CC6" w:rsidRDefault="000431D0" w:rsidP="00C554DF">
            <w:pPr>
              <w:spacing w:before="90" w:after="100"/>
              <w:ind w:left="57"/>
              <w:rPr>
                <w:b/>
                <w:bCs/>
                <w:sz w:val="20"/>
                <w:lang w:val="en-US"/>
              </w:rPr>
            </w:pPr>
            <w:r w:rsidRPr="00614CC6">
              <w:rPr>
                <w:b/>
                <w:bCs/>
                <w:sz w:val="20"/>
                <w:lang w:val="en-US"/>
              </w:rPr>
              <w:t>Séries</w:t>
            </w:r>
          </w:p>
        </w:tc>
        <w:tc>
          <w:tcPr>
            <w:tcW w:w="8220" w:type="dxa"/>
          </w:tcPr>
          <w:p w:rsidR="000431D0" w:rsidRPr="00614CC6" w:rsidRDefault="000431D0" w:rsidP="00C55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431D0" w:rsidRPr="00036EE3" w:rsidTr="00C554DF">
        <w:tc>
          <w:tcPr>
            <w:tcW w:w="1140" w:type="dxa"/>
            <w:tcBorders>
              <w:bottom w:val="nil"/>
            </w:tcBorders>
          </w:tcPr>
          <w:p w:rsidR="000431D0" w:rsidRPr="00614CC6" w:rsidRDefault="000431D0" w:rsidP="00C554DF">
            <w:pPr>
              <w:spacing w:before="30" w:after="30"/>
              <w:ind w:left="57"/>
              <w:rPr>
                <w:b/>
                <w:bCs/>
                <w:sz w:val="20"/>
                <w:lang w:val="en-US"/>
              </w:rPr>
            </w:pPr>
            <w:r w:rsidRPr="00614CC6">
              <w:rPr>
                <w:b/>
                <w:bCs/>
                <w:sz w:val="20"/>
                <w:lang w:val="en-US"/>
              </w:rPr>
              <w:t>BO</w:t>
            </w:r>
          </w:p>
        </w:tc>
        <w:tc>
          <w:tcPr>
            <w:tcW w:w="8220" w:type="dxa"/>
            <w:tcBorders>
              <w:bottom w:val="nil"/>
            </w:tcBorders>
          </w:tcPr>
          <w:p w:rsidR="000431D0" w:rsidRPr="00614CC6" w:rsidRDefault="000431D0" w:rsidP="00C55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431D0" w:rsidRPr="009454F8" w:rsidTr="00C554DF">
        <w:tc>
          <w:tcPr>
            <w:tcW w:w="1140" w:type="dxa"/>
            <w:tcBorders>
              <w:top w:val="nil"/>
              <w:bottom w:val="nil"/>
            </w:tcBorders>
            <w:shd w:val="clear" w:color="auto" w:fill="auto"/>
          </w:tcPr>
          <w:p w:rsidR="000431D0" w:rsidRPr="0014322C" w:rsidRDefault="000431D0" w:rsidP="00C554DF">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0431D0" w:rsidRPr="0014322C" w:rsidRDefault="000431D0" w:rsidP="00C55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0431D0" w:rsidRPr="00036EE3" w:rsidTr="00C554DF">
        <w:tc>
          <w:tcPr>
            <w:tcW w:w="1140" w:type="dxa"/>
            <w:tcBorders>
              <w:top w:val="nil"/>
              <w:bottom w:val="nil"/>
            </w:tcBorders>
          </w:tcPr>
          <w:p w:rsidR="000431D0" w:rsidRPr="00614CC6" w:rsidRDefault="000431D0" w:rsidP="00C554DF">
            <w:pPr>
              <w:spacing w:before="30" w:after="30"/>
              <w:ind w:left="57"/>
              <w:rPr>
                <w:b/>
                <w:bCs/>
                <w:sz w:val="20"/>
                <w:lang w:val="en-US"/>
              </w:rPr>
            </w:pPr>
            <w:r w:rsidRPr="00614CC6">
              <w:rPr>
                <w:b/>
                <w:bCs/>
                <w:sz w:val="20"/>
                <w:lang w:val="en-US"/>
              </w:rPr>
              <w:t>BS</w:t>
            </w:r>
          </w:p>
        </w:tc>
        <w:tc>
          <w:tcPr>
            <w:tcW w:w="8220" w:type="dxa"/>
            <w:tcBorders>
              <w:top w:val="nil"/>
              <w:bottom w:val="nil"/>
            </w:tcBorders>
          </w:tcPr>
          <w:p w:rsidR="000431D0" w:rsidRPr="00614CC6" w:rsidRDefault="000431D0" w:rsidP="00C55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431D0" w:rsidRPr="00ED2695" w:rsidTr="00C554DF">
        <w:tc>
          <w:tcPr>
            <w:tcW w:w="1140" w:type="dxa"/>
            <w:tcBorders>
              <w:top w:val="nil"/>
              <w:bottom w:val="nil"/>
            </w:tcBorders>
            <w:shd w:val="clear" w:color="auto" w:fill="F3F3F3"/>
          </w:tcPr>
          <w:p w:rsidR="000431D0" w:rsidRPr="0014322C" w:rsidRDefault="000431D0" w:rsidP="00C554DF">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0431D0" w:rsidRPr="0014322C" w:rsidRDefault="000431D0" w:rsidP="00C55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0431D0" w:rsidRPr="00036EE3" w:rsidTr="00C554DF">
        <w:tc>
          <w:tcPr>
            <w:tcW w:w="1140" w:type="dxa"/>
            <w:tcBorders>
              <w:top w:val="nil"/>
              <w:bottom w:val="nil"/>
            </w:tcBorders>
            <w:shd w:val="clear" w:color="auto" w:fill="auto"/>
          </w:tcPr>
          <w:p w:rsidR="000431D0" w:rsidRPr="00614CC6" w:rsidRDefault="000431D0" w:rsidP="00C554DF">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0431D0" w:rsidRPr="00614CC6" w:rsidRDefault="000431D0" w:rsidP="00C554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431D0" w:rsidRPr="00592F9F" w:rsidTr="00C554DF">
        <w:tc>
          <w:tcPr>
            <w:tcW w:w="1140" w:type="dxa"/>
            <w:tcBorders>
              <w:top w:val="nil"/>
              <w:bottom w:val="nil"/>
            </w:tcBorders>
            <w:shd w:val="clear" w:color="auto" w:fill="auto"/>
          </w:tcPr>
          <w:p w:rsidR="000431D0" w:rsidRPr="00766861" w:rsidRDefault="000431D0" w:rsidP="00C554DF">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0431D0" w:rsidRPr="00766861" w:rsidRDefault="000431D0" w:rsidP="00C55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0431D0" w:rsidRPr="00036EE3" w:rsidTr="00C554DF">
        <w:tc>
          <w:tcPr>
            <w:tcW w:w="1140" w:type="dxa"/>
            <w:tcBorders>
              <w:top w:val="nil"/>
            </w:tcBorders>
          </w:tcPr>
          <w:p w:rsidR="000431D0" w:rsidRPr="00614CC6" w:rsidRDefault="000431D0" w:rsidP="00C554DF">
            <w:pPr>
              <w:spacing w:before="30" w:after="30"/>
              <w:ind w:left="57"/>
              <w:rPr>
                <w:b/>
                <w:bCs/>
                <w:sz w:val="20"/>
                <w:lang w:val="fr-CH"/>
              </w:rPr>
            </w:pPr>
            <w:r w:rsidRPr="00614CC6">
              <w:rPr>
                <w:b/>
                <w:bCs/>
                <w:sz w:val="20"/>
                <w:lang w:val="fr-CH"/>
              </w:rPr>
              <w:t>P</w:t>
            </w:r>
          </w:p>
        </w:tc>
        <w:tc>
          <w:tcPr>
            <w:tcW w:w="8220" w:type="dxa"/>
            <w:tcBorders>
              <w:top w:val="nil"/>
            </w:tcBorders>
          </w:tcPr>
          <w:p w:rsidR="000431D0" w:rsidRPr="00614CC6" w:rsidRDefault="000431D0" w:rsidP="00C554DF">
            <w:pPr>
              <w:spacing w:before="30" w:after="30"/>
              <w:rPr>
                <w:sz w:val="20"/>
                <w:lang w:val="fr-CH"/>
              </w:rPr>
            </w:pPr>
            <w:r w:rsidRPr="00614CC6">
              <w:rPr>
                <w:sz w:val="20"/>
              </w:rPr>
              <w:t>Propagation des ondes radioélectriques</w:t>
            </w:r>
          </w:p>
        </w:tc>
      </w:tr>
      <w:tr w:rsidR="000431D0" w:rsidRPr="00036EE3"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RA</w:t>
            </w:r>
          </w:p>
        </w:tc>
        <w:tc>
          <w:tcPr>
            <w:tcW w:w="8220" w:type="dxa"/>
          </w:tcPr>
          <w:p w:rsidR="000431D0" w:rsidRPr="00614CC6" w:rsidRDefault="000431D0" w:rsidP="00C554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431D0" w:rsidRPr="00036EE3"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RS</w:t>
            </w:r>
          </w:p>
        </w:tc>
        <w:tc>
          <w:tcPr>
            <w:tcW w:w="8220" w:type="dxa"/>
          </w:tcPr>
          <w:p w:rsidR="000431D0" w:rsidRPr="00614CC6" w:rsidRDefault="000431D0" w:rsidP="00C554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431D0" w:rsidRPr="00036EE3"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S</w:t>
            </w:r>
          </w:p>
        </w:tc>
        <w:tc>
          <w:tcPr>
            <w:tcW w:w="8220" w:type="dxa"/>
          </w:tcPr>
          <w:p w:rsidR="000431D0" w:rsidRPr="00614CC6" w:rsidRDefault="000431D0" w:rsidP="00C554DF">
            <w:pPr>
              <w:spacing w:before="30" w:after="30"/>
              <w:rPr>
                <w:sz w:val="20"/>
                <w:lang w:val="en-US"/>
              </w:rPr>
            </w:pPr>
            <w:r w:rsidRPr="00614CC6">
              <w:rPr>
                <w:sz w:val="20"/>
              </w:rPr>
              <w:t>Service fixe par satellite</w:t>
            </w:r>
          </w:p>
        </w:tc>
      </w:tr>
      <w:tr w:rsidR="000431D0" w:rsidRPr="00036EE3"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SA</w:t>
            </w:r>
          </w:p>
        </w:tc>
        <w:tc>
          <w:tcPr>
            <w:tcW w:w="8220" w:type="dxa"/>
          </w:tcPr>
          <w:p w:rsidR="000431D0" w:rsidRPr="00614CC6" w:rsidRDefault="000431D0" w:rsidP="00C554DF">
            <w:pPr>
              <w:spacing w:before="30" w:after="30"/>
              <w:rPr>
                <w:sz w:val="20"/>
                <w:lang w:val="en-US"/>
              </w:rPr>
            </w:pPr>
            <w:r w:rsidRPr="00614CC6">
              <w:rPr>
                <w:sz w:val="20"/>
              </w:rPr>
              <w:t>Applications spatiales et météorologie</w:t>
            </w:r>
          </w:p>
        </w:tc>
      </w:tr>
      <w:tr w:rsidR="000431D0" w:rsidRPr="00614CC6"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SF</w:t>
            </w:r>
          </w:p>
        </w:tc>
        <w:tc>
          <w:tcPr>
            <w:tcW w:w="8220" w:type="dxa"/>
          </w:tcPr>
          <w:p w:rsidR="000431D0" w:rsidRPr="00614CC6" w:rsidRDefault="000431D0" w:rsidP="00C554DF">
            <w:pPr>
              <w:spacing w:before="30" w:after="30"/>
              <w:rPr>
                <w:sz w:val="20"/>
              </w:rPr>
            </w:pPr>
            <w:r w:rsidRPr="00614CC6">
              <w:rPr>
                <w:sz w:val="20"/>
              </w:rPr>
              <w:t>Partage des fréquences et coordination entre les systèmes du service fixe par satellite et du service fixe</w:t>
            </w:r>
          </w:p>
        </w:tc>
      </w:tr>
      <w:tr w:rsidR="000431D0" w:rsidRPr="00036EE3" w:rsidTr="00C554DF">
        <w:tc>
          <w:tcPr>
            <w:tcW w:w="1140" w:type="dxa"/>
            <w:shd w:val="clear" w:color="auto" w:fill="auto"/>
          </w:tcPr>
          <w:p w:rsidR="000431D0" w:rsidRPr="00592F9F" w:rsidRDefault="000431D0" w:rsidP="00C554DF">
            <w:pPr>
              <w:spacing w:before="30" w:after="30"/>
              <w:ind w:left="57"/>
              <w:rPr>
                <w:b/>
                <w:bCs/>
                <w:sz w:val="20"/>
                <w:lang w:val="en-US"/>
              </w:rPr>
            </w:pPr>
            <w:r w:rsidRPr="00592F9F">
              <w:rPr>
                <w:b/>
                <w:bCs/>
                <w:sz w:val="20"/>
                <w:lang w:val="en-US"/>
              </w:rPr>
              <w:t>SM</w:t>
            </w:r>
          </w:p>
        </w:tc>
        <w:tc>
          <w:tcPr>
            <w:tcW w:w="8220" w:type="dxa"/>
            <w:shd w:val="clear" w:color="auto" w:fill="auto"/>
          </w:tcPr>
          <w:p w:rsidR="000431D0" w:rsidRPr="00592F9F" w:rsidRDefault="000431D0" w:rsidP="00C554DF">
            <w:pPr>
              <w:spacing w:before="30" w:after="30"/>
              <w:rPr>
                <w:sz w:val="20"/>
                <w:lang w:val="en-US"/>
              </w:rPr>
            </w:pPr>
            <w:r w:rsidRPr="00592F9F">
              <w:rPr>
                <w:sz w:val="20"/>
              </w:rPr>
              <w:t>Gestion du spectre</w:t>
            </w:r>
          </w:p>
        </w:tc>
      </w:tr>
      <w:tr w:rsidR="000431D0" w:rsidRPr="00036EE3"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SNG</w:t>
            </w:r>
          </w:p>
        </w:tc>
        <w:tc>
          <w:tcPr>
            <w:tcW w:w="8220" w:type="dxa"/>
          </w:tcPr>
          <w:p w:rsidR="000431D0" w:rsidRPr="00614CC6" w:rsidRDefault="000431D0" w:rsidP="00C554DF">
            <w:pPr>
              <w:spacing w:before="30" w:after="30"/>
              <w:rPr>
                <w:sz w:val="20"/>
                <w:lang w:val="en-US"/>
              </w:rPr>
            </w:pPr>
            <w:r w:rsidRPr="00614CC6">
              <w:rPr>
                <w:sz w:val="20"/>
              </w:rPr>
              <w:t>Reportage d'actualités par satellite</w:t>
            </w:r>
          </w:p>
        </w:tc>
      </w:tr>
      <w:tr w:rsidR="000431D0" w:rsidRPr="00614CC6"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TF</w:t>
            </w:r>
          </w:p>
        </w:tc>
        <w:tc>
          <w:tcPr>
            <w:tcW w:w="8220" w:type="dxa"/>
          </w:tcPr>
          <w:p w:rsidR="000431D0" w:rsidRPr="00614CC6" w:rsidRDefault="000431D0" w:rsidP="00C554DF">
            <w:pPr>
              <w:spacing w:before="30" w:after="30"/>
              <w:rPr>
                <w:sz w:val="20"/>
              </w:rPr>
            </w:pPr>
            <w:r w:rsidRPr="00614CC6">
              <w:rPr>
                <w:sz w:val="20"/>
              </w:rPr>
              <w:t>Emissions de fréquences étalon et de signaux horaires</w:t>
            </w:r>
          </w:p>
        </w:tc>
      </w:tr>
      <w:tr w:rsidR="000431D0" w:rsidRPr="00036EE3" w:rsidTr="00C554DF">
        <w:tc>
          <w:tcPr>
            <w:tcW w:w="1140" w:type="dxa"/>
          </w:tcPr>
          <w:p w:rsidR="000431D0" w:rsidRPr="00614CC6" w:rsidRDefault="000431D0" w:rsidP="00C554DF">
            <w:pPr>
              <w:spacing w:before="30" w:after="30"/>
              <w:ind w:left="57"/>
              <w:rPr>
                <w:b/>
                <w:bCs/>
                <w:sz w:val="20"/>
                <w:lang w:val="en-US"/>
              </w:rPr>
            </w:pPr>
            <w:r w:rsidRPr="00614CC6">
              <w:rPr>
                <w:b/>
                <w:bCs/>
                <w:sz w:val="20"/>
                <w:lang w:val="en-US"/>
              </w:rPr>
              <w:t>V</w:t>
            </w:r>
          </w:p>
        </w:tc>
        <w:tc>
          <w:tcPr>
            <w:tcW w:w="8220" w:type="dxa"/>
          </w:tcPr>
          <w:p w:rsidR="000431D0" w:rsidRPr="00614CC6" w:rsidRDefault="000431D0" w:rsidP="00C554DF">
            <w:pPr>
              <w:spacing w:before="30" w:after="140"/>
              <w:rPr>
                <w:sz w:val="20"/>
                <w:lang w:val="en-US"/>
              </w:rPr>
            </w:pPr>
            <w:r w:rsidRPr="00614CC6">
              <w:rPr>
                <w:sz w:val="20"/>
              </w:rPr>
              <w:t>Vocabulaire et sujets associés</w:t>
            </w:r>
          </w:p>
        </w:tc>
      </w:tr>
    </w:tbl>
    <w:p w:rsidR="000431D0" w:rsidRPr="00036EE3" w:rsidRDefault="000431D0" w:rsidP="000431D0">
      <w:pPr>
        <w:spacing w:before="0"/>
        <w:jc w:val="center"/>
        <w:rPr>
          <w:sz w:val="20"/>
          <w:lang w:val="en-US"/>
        </w:rPr>
      </w:pPr>
    </w:p>
    <w:p w:rsidR="000431D0" w:rsidRPr="00036EE3" w:rsidRDefault="000431D0" w:rsidP="000431D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31D0" w:rsidRPr="00756B4D" w:rsidTr="00C554DF">
        <w:tc>
          <w:tcPr>
            <w:tcW w:w="9360" w:type="dxa"/>
          </w:tcPr>
          <w:p w:rsidR="000431D0" w:rsidRPr="00756B4D" w:rsidRDefault="000431D0" w:rsidP="00C554DF">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431D0" w:rsidRPr="00756B4D" w:rsidRDefault="000431D0" w:rsidP="000431D0">
      <w:pPr>
        <w:spacing w:before="0"/>
        <w:jc w:val="center"/>
        <w:rPr>
          <w:sz w:val="22"/>
        </w:rPr>
      </w:pPr>
    </w:p>
    <w:p w:rsidR="000431D0" w:rsidRPr="00614CC6" w:rsidRDefault="000431D0" w:rsidP="000431D0">
      <w:pPr>
        <w:spacing w:before="100"/>
        <w:jc w:val="right"/>
        <w:rPr>
          <w:i/>
          <w:iCs/>
          <w:sz w:val="20"/>
        </w:rPr>
      </w:pPr>
      <w:r w:rsidRPr="00614CC6">
        <w:rPr>
          <w:i/>
          <w:iCs/>
          <w:sz w:val="20"/>
        </w:rPr>
        <w:t>Publication électronique</w:t>
      </w:r>
    </w:p>
    <w:p w:rsidR="000431D0" w:rsidRPr="00614CC6" w:rsidRDefault="000431D0" w:rsidP="000431D0">
      <w:pPr>
        <w:spacing w:before="0"/>
        <w:jc w:val="right"/>
        <w:rPr>
          <w:sz w:val="20"/>
        </w:rPr>
      </w:pPr>
      <w:r w:rsidRPr="00614CC6">
        <w:rPr>
          <w:sz w:val="20"/>
        </w:rPr>
        <w:t>Genève, 20</w:t>
      </w:r>
      <w:r>
        <w:rPr>
          <w:sz w:val="20"/>
        </w:rPr>
        <w:t>11</w:t>
      </w:r>
    </w:p>
    <w:p w:rsidR="000431D0" w:rsidRPr="00614CC6" w:rsidRDefault="000431D0" w:rsidP="000431D0">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11</w:t>
      </w:r>
    </w:p>
    <w:p w:rsidR="000431D0" w:rsidRPr="00614CC6" w:rsidRDefault="000431D0" w:rsidP="000431D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431D0" w:rsidRPr="00614CC6" w:rsidRDefault="000431D0" w:rsidP="000431D0">
      <w:pPr>
        <w:spacing w:before="160"/>
        <w:rPr>
          <w:i/>
          <w:sz w:val="20"/>
          <w:highlight w:val="yellow"/>
        </w:rPr>
        <w:sectPr w:rsidR="000431D0"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0431D0" w:rsidRDefault="000431D0" w:rsidP="000431D0">
      <w:pPr>
        <w:pStyle w:val="RecNo"/>
        <w:spacing w:before="0"/>
      </w:pPr>
      <w:bookmarkStart w:id="4" w:name="irecnoe"/>
      <w:bookmarkEnd w:id="4"/>
      <w:r>
        <w:lastRenderedPageBreak/>
        <w:t xml:space="preserve">RECOMMANDATION  </w:t>
      </w:r>
      <w:r>
        <w:rPr>
          <w:rStyle w:val="href"/>
        </w:rPr>
        <w:t>UIT-R  BT</w:t>
      </w:r>
      <w:bookmarkEnd w:id="0"/>
      <w:r>
        <w:rPr>
          <w:rStyle w:val="href"/>
        </w:rPr>
        <w:t>.</w:t>
      </w:r>
      <w:r w:rsidRPr="00742445">
        <w:rPr>
          <w:rStyle w:val="href"/>
        </w:rPr>
        <w:t>1380-1</w:t>
      </w:r>
    </w:p>
    <w:p w:rsidR="00742445" w:rsidRDefault="00742445" w:rsidP="000431D0">
      <w:pPr>
        <w:pStyle w:val="Rectitle"/>
      </w:pPr>
      <w:r>
        <w:t>Normes pour systèmes de codage avec réduction</w:t>
      </w:r>
      <w:r>
        <w:br/>
        <w:t>du débit binaire pour la TVDC</w:t>
      </w:r>
      <w:r>
        <w:rPr>
          <w:rStyle w:val="FootnoteReference"/>
        </w:rPr>
        <w:footnoteReference w:customMarkFollows="1" w:id="1"/>
        <w:t>*</w:t>
      </w:r>
      <w:r w:rsidR="000431D0" w:rsidRPr="00AB730C">
        <w:rPr>
          <w:rFonts w:ascii="Times New Roman Bold" w:hAnsi="Times New Roman Bold" w:cs="Times New Roman Bold"/>
          <w:b w:val="0"/>
          <w:bCs/>
          <w:vertAlign w:val="superscript"/>
        </w:rPr>
        <w:t>,</w:t>
      </w:r>
      <w:r w:rsidR="00AB730C">
        <w:rPr>
          <w:rFonts w:ascii="Times New Roman Bold" w:hAnsi="Times New Roman Bold" w:cs="Times New Roman Bold"/>
          <w:b w:val="0"/>
          <w:bCs/>
          <w:vertAlign w:val="superscript"/>
        </w:rPr>
        <w:t xml:space="preserve"> </w:t>
      </w:r>
      <w:r w:rsidR="000431D0">
        <w:rPr>
          <w:rStyle w:val="FootnoteReference"/>
        </w:rPr>
        <w:footnoteReference w:customMarkFollows="1" w:id="2"/>
        <w:t>**</w:t>
      </w:r>
    </w:p>
    <w:p w:rsidR="00742445" w:rsidRDefault="00742445" w:rsidP="008E0B70">
      <w:pPr>
        <w:pStyle w:val="Recref"/>
      </w:pPr>
      <w:r>
        <w:t>(Question UIT-R 12/6)</w:t>
      </w:r>
    </w:p>
    <w:p w:rsidR="008E0B70" w:rsidRPr="008E0B70" w:rsidRDefault="008E0B70" w:rsidP="008E0B70">
      <w:pPr>
        <w:pStyle w:val="Recdate"/>
      </w:pPr>
    </w:p>
    <w:p w:rsidR="00742445" w:rsidRDefault="00742445" w:rsidP="00742445">
      <w:pPr>
        <w:pStyle w:val="Recdate"/>
      </w:pPr>
      <w:r>
        <w:t>(1998</w:t>
      </w:r>
      <w:r w:rsidR="002B21F8">
        <w:t>-2006</w:t>
      </w:r>
      <w:r>
        <w:t>)</w:t>
      </w:r>
    </w:p>
    <w:p w:rsidR="00B46735" w:rsidRPr="00B46735" w:rsidRDefault="00B46735" w:rsidP="00B46735"/>
    <w:p w:rsidR="00742445" w:rsidRPr="00C858E8" w:rsidRDefault="00742445" w:rsidP="00B46735">
      <w:pPr>
        <w:pStyle w:val="HeadingSum"/>
        <w:rPr>
          <w:lang w:val="fr-FR"/>
        </w:rPr>
      </w:pPr>
      <w:r w:rsidRPr="00C858E8">
        <w:rPr>
          <w:lang w:val="fr-FR"/>
        </w:rPr>
        <w:t>Domaine de compétence</w:t>
      </w:r>
    </w:p>
    <w:p w:rsidR="00742445" w:rsidRPr="00AB730C" w:rsidRDefault="00742445">
      <w:pPr>
        <w:pStyle w:val="Summary"/>
        <w:rPr>
          <w:lang w:val="fr-CH"/>
        </w:rPr>
        <w:pPrChange w:id="5" w:author="POOL" w:date="2006-09-14T14:02:00Z">
          <w:pPr>
            <w:pStyle w:val="HeadingSum"/>
          </w:pPr>
        </w:pPrChange>
      </w:pPr>
      <w:r w:rsidRPr="00AB730C">
        <w:rPr>
          <w:lang w:val="fr-CH"/>
        </w:rPr>
        <w:t>La présente Recommandation couvre l'utilisation des schémas de codage de source vidéo définis dans les Recommandations H.262 (MPEG-2 Vidéo) et H.264 (MPEG-4 AVC), choisis pour une série d'applications de radiodiffusion TVDC.</w:t>
      </w:r>
    </w:p>
    <w:p w:rsidR="00742445" w:rsidRPr="00860A3C" w:rsidRDefault="00742445" w:rsidP="00B46735">
      <w:pPr>
        <w:pStyle w:val="Normalaftertitle"/>
      </w:pPr>
      <w:r w:rsidRPr="00860A3C">
        <w:t>L'Assemblée des radiocommunications de l'UIT,</w:t>
      </w:r>
    </w:p>
    <w:p w:rsidR="00742445" w:rsidRPr="00860A3C" w:rsidRDefault="00742445" w:rsidP="00B46735">
      <w:pPr>
        <w:pStyle w:val="Call"/>
      </w:pPr>
      <w:proofErr w:type="gramStart"/>
      <w:r w:rsidRPr="00860A3C">
        <w:t>considérant</w:t>
      </w:r>
      <w:proofErr w:type="gramEnd"/>
    </w:p>
    <w:p w:rsidR="00742445" w:rsidRPr="00860A3C" w:rsidRDefault="00742445" w:rsidP="00742445">
      <w:r w:rsidRPr="00860A3C">
        <w:t>a)</w:t>
      </w:r>
      <w:r w:rsidRPr="00860A3C">
        <w:tab/>
        <w:t>que les techniques de codage avec réduction du débit binaire progressent rapidement;</w:t>
      </w:r>
    </w:p>
    <w:p w:rsidR="00742445" w:rsidRPr="00860A3C" w:rsidRDefault="00742445" w:rsidP="00742445">
      <w:r w:rsidRPr="00860A3C">
        <w:t>b)</w:t>
      </w:r>
      <w:r w:rsidRPr="00860A3C">
        <w:tab/>
        <w:t xml:space="preserve">que le codage avec réduction du débit binaire pour la TVDC numérique a trouvé un vaste champ d'application pour la diffusion de Terre ou par satellite, </w:t>
      </w:r>
      <w:r>
        <w:t xml:space="preserve">pour </w:t>
      </w:r>
      <w:r w:rsidRPr="00860A3C">
        <w:t>le RAS</w:t>
      </w:r>
      <w:r w:rsidRPr="00860A3C">
        <w:rPr>
          <w:rStyle w:val="FootnoteReference"/>
        </w:rPr>
        <w:footnoteReference w:id="3"/>
      </w:r>
      <w:r w:rsidRPr="00860A3C">
        <w:t xml:space="preserve"> et l'ENG</w:t>
      </w:r>
      <w:r w:rsidRPr="00860A3C">
        <w:rPr>
          <w:rStyle w:val="FootnoteReference"/>
        </w:rPr>
        <w:footnoteReference w:id="4"/>
      </w:r>
      <w:r w:rsidRPr="00860A3C">
        <w:t>, la contribution et la distribution primaire ou secondaire par réseaux de télécommunication et par réseaux câblés;</w:t>
      </w:r>
    </w:p>
    <w:p w:rsidR="00742445" w:rsidRPr="00860A3C" w:rsidRDefault="00742445" w:rsidP="00742445">
      <w:r>
        <w:t>c)</w:t>
      </w:r>
      <w:r>
        <w:tab/>
        <w:t>que certaines c</w:t>
      </w:r>
      <w:r w:rsidRPr="00860A3C">
        <w:t>ommissions d'études des radiocommunications étudient les utilisations du codage avec réduction du débit binaire dans les diverses applications;</w:t>
      </w:r>
    </w:p>
    <w:p w:rsidR="00742445" w:rsidRPr="00860A3C" w:rsidRDefault="00742445" w:rsidP="00742445">
      <w:r w:rsidRPr="00860A3C">
        <w:t>d)</w:t>
      </w:r>
      <w:r w:rsidRPr="00860A3C">
        <w:tab/>
        <w:t>que des Recommandations UIT-R relatives aux besoins des usagers ont été établies pour la diffusion de Terre ou par satellite, pour la contribution, pour la distribution primaire ou secondaire par réseaux de télécommunication et par réseaux câblés;</w:t>
      </w:r>
    </w:p>
    <w:p w:rsidR="00742445" w:rsidRDefault="00742445" w:rsidP="00742445">
      <w:r w:rsidRPr="00860A3C">
        <w:t>e)</w:t>
      </w:r>
      <w:r w:rsidRPr="00860A3C">
        <w:tab/>
        <w:t>que la Recommandation UIT-R BT.1203 relative aux besoins des usagers en matière de systèmes génériques de codage avec réduction du débit binaire pour un système de télévision de bout en bout (RAS</w:t>
      </w:r>
      <w:r>
        <w:t>/</w:t>
      </w:r>
      <w:r w:rsidRPr="00860A3C">
        <w:t>ENG,</w:t>
      </w:r>
      <w:r>
        <w:t xml:space="preserve"> </w:t>
      </w:r>
      <w:r w:rsidRPr="00860A3C">
        <w:t xml:space="preserve">contribution, distribution primaire </w:t>
      </w:r>
      <w:r w:rsidR="002B21F8">
        <w:t>et</w:t>
      </w:r>
      <w:r w:rsidRPr="00860A3C">
        <w:t xml:space="preserve"> secondaire, diffusion et applications connexes) a été établie;</w:t>
      </w:r>
    </w:p>
    <w:p w:rsidR="00742445" w:rsidRPr="00860A3C" w:rsidRDefault="00742445" w:rsidP="00742445">
      <w:r w:rsidRPr="00860A3C">
        <w:t>f)</w:t>
      </w:r>
      <w:r w:rsidRPr="00860A3C">
        <w:tab/>
        <w:t>que la Recommandation UIT-T H.264 (MPEG-4 AVC) offre un choix d'</w:t>
      </w:r>
      <w:r>
        <w:t>outils de </w:t>
      </w:r>
      <w:r w:rsidRPr="00860A3C">
        <w:t>compression plus large et une méthode de compression plus eff</w:t>
      </w:r>
      <w:r>
        <w:t>icace que la Recommandation UIT</w:t>
      </w:r>
      <w:r>
        <w:noBreakHyphen/>
      </w:r>
      <w:r w:rsidRPr="00860A3C">
        <w:t xml:space="preserve">T H.262 (MPEG-2 Vidéo) et qu'elle peut constituer, pour certaines </w:t>
      </w:r>
      <w:r w:rsidRPr="00860A3C">
        <w:lastRenderedPageBreak/>
        <w:t>applications, un choix plus judicieux étant donné qu'elle permet d'obtenir une plus grande profondeur de pixels et un codage plus efficace par rapport à la Recommandation UIT-T H.262,</w:t>
      </w:r>
    </w:p>
    <w:p w:rsidR="00742445" w:rsidRPr="00860A3C" w:rsidRDefault="00742445" w:rsidP="00B46735">
      <w:pPr>
        <w:pStyle w:val="Call"/>
      </w:pPr>
      <w:proofErr w:type="gramStart"/>
      <w:r w:rsidRPr="00860A3C">
        <w:t>recommande</w:t>
      </w:r>
      <w:proofErr w:type="gramEnd"/>
    </w:p>
    <w:p w:rsidR="00742445" w:rsidRDefault="00742445" w:rsidP="00742445">
      <w:r w:rsidRPr="00860A3C">
        <w:rPr>
          <w:b/>
          <w:bCs/>
        </w:rPr>
        <w:t>1</w:t>
      </w:r>
      <w:r w:rsidRPr="00860A3C">
        <w:tab/>
      </w:r>
      <w:r>
        <w:t xml:space="preserve">que, </w:t>
      </w:r>
      <w:r w:rsidRPr="00860A3C">
        <w:t>pour l'utilisation de la Recommandation UIT-T H.262, les profils et les niveaux suivants soient utilisés de préférence, et respectivement, pour le</w:t>
      </w:r>
      <w:r>
        <w:t xml:space="preserve">s RAS/ENG, la contribution, la production en studio, la distribution primaire </w:t>
      </w:r>
      <w:r w:rsidR="002B21F8">
        <w:t>et</w:t>
      </w:r>
      <w:r>
        <w:t xml:space="preserve"> secondaire et pour</w:t>
      </w:r>
      <w:r w:rsidRPr="00860A3C">
        <w:t xml:space="preserve"> </w:t>
      </w:r>
      <w:r>
        <w:t>la diffusion de signaux de TVDC de Terre ou par satellite.</w:t>
      </w:r>
    </w:p>
    <w:p w:rsidR="00742445" w:rsidRDefault="00742445" w:rsidP="00742445"/>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2"/>
        <w:gridCol w:w="1588"/>
        <w:gridCol w:w="1440"/>
        <w:gridCol w:w="1440"/>
        <w:gridCol w:w="1260"/>
        <w:gridCol w:w="1260"/>
        <w:gridCol w:w="1359"/>
      </w:tblGrid>
      <w:tr w:rsidR="00742445" w:rsidTr="000431D0">
        <w:trPr>
          <w:cantSplit/>
          <w:jc w:val="center"/>
        </w:trPr>
        <w:tc>
          <w:tcPr>
            <w:tcW w:w="1292" w:type="dxa"/>
            <w:vAlign w:val="center"/>
          </w:tcPr>
          <w:p w:rsidR="00742445" w:rsidRDefault="00742445" w:rsidP="000431D0">
            <w:pPr>
              <w:pStyle w:val="Tablehead"/>
            </w:pPr>
            <w:r>
              <w:t>RAS/</w:t>
            </w:r>
            <w:r w:rsidRPr="00860A3C">
              <w:t>ENG</w:t>
            </w:r>
          </w:p>
        </w:tc>
        <w:tc>
          <w:tcPr>
            <w:tcW w:w="1588" w:type="dxa"/>
            <w:vAlign w:val="center"/>
          </w:tcPr>
          <w:p w:rsidR="00742445" w:rsidRDefault="00742445" w:rsidP="000431D0">
            <w:pPr>
              <w:pStyle w:val="Tablehead"/>
            </w:pPr>
            <w:r>
              <w:t>Contribution</w:t>
            </w:r>
          </w:p>
        </w:tc>
        <w:tc>
          <w:tcPr>
            <w:tcW w:w="1440" w:type="dxa"/>
            <w:vAlign w:val="center"/>
          </w:tcPr>
          <w:p w:rsidR="00742445" w:rsidRDefault="00742445" w:rsidP="000431D0">
            <w:pPr>
              <w:pStyle w:val="Tablehead"/>
            </w:pPr>
            <w:r>
              <w:t>Production en studio</w:t>
            </w:r>
          </w:p>
        </w:tc>
        <w:tc>
          <w:tcPr>
            <w:tcW w:w="1440" w:type="dxa"/>
            <w:vAlign w:val="center"/>
          </w:tcPr>
          <w:p w:rsidR="00742445" w:rsidRDefault="00742445" w:rsidP="000431D0">
            <w:pPr>
              <w:pStyle w:val="Tablehead"/>
            </w:pPr>
            <w:r>
              <w:t>Distribution primaire</w:t>
            </w:r>
          </w:p>
        </w:tc>
        <w:tc>
          <w:tcPr>
            <w:tcW w:w="1260" w:type="dxa"/>
            <w:vAlign w:val="center"/>
          </w:tcPr>
          <w:p w:rsidR="00742445" w:rsidRDefault="00742445" w:rsidP="000431D0">
            <w:pPr>
              <w:pStyle w:val="Tablehead"/>
            </w:pPr>
            <w:r>
              <w:t>Diffusion de Terre</w:t>
            </w:r>
          </w:p>
        </w:tc>
        <w:tc>
          <w:tcPr>
            <w:tcW w:w="1260" w:type="dxa"/>
            <w:vAlign w:val="center"/>
          </w:tcPr>
          <w:p w:rsidR="00742445" w:rsidRDefault="00742445" w:rsidP="000431D0">
            <w:pPr>
              <w:pStyle w:val="Tablehead"/>
            </w:pPr>
            <w:r>
              <w:t>Diffusion par satellite</w:t>
            </w:r>
          </w:p>
        </w:tc>
        <w:tc>
          <w:tcPr>
            <w:tcW w:w="1359" w:type="dxa"/>
            <w:vAlign w:val="center"/>
          </w:tcPr>
          <w:p w:rsidR="00742445" w:rsidRDefault="00742445" w:rsidP="000431D0">
            <w:pPr>
              <w:pStyle w:val="Tablehead"/>
              <w:ind w:right="-57"/>
            </w:pPr>
            <w:r>
              <w:t>Distribution secondaire</w:t>
            </w:r>
          </w:p>
        </w:tc>
      </w:tr>
      <w:tr w:rsidR="00742445">
        <w:trPr>
          <w:cantSplit/>
          <w:jc w:val="center"/>
        </w:trPr>
        <w:tc>
          <w:tcPr>
            <w:tcW w:w="1292" w:type="dxa"/>
          </w:tcPr>
          <w:p w:rsidR="00742445" w:rsidRDefault="00742445" w:rsidP="00B46735">
            <w:pPr>
              <w:pStyle w:val="Tabletext"/>
            </w:pPr>
            <w:r>
              <w:t>MP@ML</w:t>
            </w:r>
          </w:p>
        </w:tc>
        <w:tc>
          <w:tcPr>
            <w:tcW w:w="1588" w:type="dxa"/>
          </w:tcPr>
          <w:p w:rsidR="00742445" w:rsidRDefault="00742445" w:rsidP="00B46735">
            <w:pPr>
              <w:pStyle w:val="Tabletext"/>
            </w:pPr>
            <w:r>
              <w:t>422P@ML</w:t>
            </w:r>
            <w:r>
              <w:rPr>
                <w:vertAlign w:val="superscript"/>
              </w:rPr>
              <w:t>(1)</w:t>
            </w:r>
          </w:p>
        </w:tc>
        <w:tc>
          <w:tcPr>
            <w:tcW w:w="1440" w:type="dxa"/>
          </w:tcPr>
          <w:p w:rsidR="00742445" w:rsidRDefault="00742445" w:rsidP="00B46735">
            <w:pPr>
              <w:pStyle w:val="Tabletext"/>
            </w:pPr>
            <w:r>
              <w:t>422P@ML</w:t>
            </w:r>
            <w:r>
              <w:rPr>
                <w:vertAlign w:val="superscript"/>
              </w:rPr>
              <w:t>(2)</w:t>
            </w:r>
          </w:p>
        </w:tc>
        <w:tc>
          <w:tcPr>
            <w:tcW w:w="1440" w:type="dxa"/>
          </w:tcPr>
          <w:p w:rsidR="00742445" w:rsidRPr="00F01818" w:rsidRDefault="00742445" w:rsidP="00B46735">
            <w:pPr>
              <w:pStyle w:val="Tabletext"/>
              <w:rPr>
                <w:vertAlign w:val="superscript"/>
              </w:rPr>
            </w:pPr>
            <w:r>
              <w:t>422P@ML</w:t>
            </w:r>
            <w:r>
              <w:rPr>
                <w:vertAlign w:val="superscript"/>
              </w:rPr>
              <w:t>(1)</w:t>
            </w:r>
          </w:p>
        </w:tc>
        <w:tc>
          <w:tcPr>
            <w:tcW w:w="1260" w:type="dxa"/>
          </w:tcPr>
          <w:p w:rsidR="00742445" w:rsidRDefault="00742445" w:rsidP="00B46735">
            <w:pPr>
              <w:pStyle w:val="Tabletext"/>
            </w:pPr>
            <w:r>
              <w:t>MP@ML</w:t>
            </w:r>
          </w:p>
        </w:tc>
        <w:tc>
          <w:tcPr>
            <w:tcW w:w="1260" w:type="dxa"/>
          </w:tcPr>
          <w:p w:rsidR="00742445" w:rsidRDefault="00742445" w:rsidP="00B46735">
            <w:pPr>
              <w:pStyle w:val="Tabletext"/>
            </w:pPr>
            <w:r>
              <w:t>MP@ML</w:t>
            </w:r>
          </w:p>
        </w:tc>
        <w:tc>
          <w:tcPr>
            <w:tcW w:w="1359" w:type="dxa"/>
          </w:tcPr>
          <w:p w:rsidR="00742445" w:rsidRDefault="00742445" w:rsidP="00B46735">
            <w:pPr>
              <w:pStyle w:val="Tabletext"/>
            </w:pPr>
            <w:r>
              <w:t>MP@ML</w:t>
            </w:r>
          </w:p>
        </w:tc>
      </w:tr>
      <w:tr w:rsidR="00742445" w:rsidRPr="00860A3C">
        <w:trPr>
          <w:cantSplit/>
          <w:jc w:val="center"/>
        </w:trPr>
        <w:tc>
          <w:tcPr>
            <w:tcW w:w="9639" w:type="dxa"/>
            <w:gridSpan w:val="7"/>
            <w:tcBorders>
              <w:top w:val="single" w:sz="4" w:space="0" w:color="auto"/>
              <w:left w:val="nil"/>
              <w:bottom w:val="nil"/>
              <w:right w:val="nil"/>
            </w:tcBorders>
          </w:tcPr>
          <w:p w:rsidR="00742445" w:rsidRPr="00DB693C" w:rsidRDefault="00742445" w:rsidP="00B46735">
            <w:pPr>
              <w:pStyle w:val="Tablelegend"/>
            </w:pPr>
            <w:r w:rsidRPr="00DB693C">
              <w:t>NOTE</w:t>
            </w:r>
            <w:r w:rsidR="002B21F8">
              <w:t xml:space="preserve"> 1</w:t>
            </w:r>
            <w:r>
              <w:t xml:space="preserve"> </w:t>
            </w:r>
            <w:r w:rsidRPr="00DB693C">
              <w:t>– Pour la production en studio, on peut également utiliser un codage DV</w:t>
            </w:r>
            <w:r w:rsidRPr="00DB693C">
              <w:rPr>
                <w:vertAlign w:val="superscript"/>
              </w:rPr>
              <w:t>(3)</w:t>
            </w:r>
            <w:r>
              <w:t>.</w:t>
            </w:r>
            <w:r w:rsidRPr="00DB693C">
              <w:t xml:space="preserve"> </w:t>
            </w:r>
          </w:p>
          <w:p w:rsidR="00742445" w:rsidRPr="00DB693C" w:rsidRDefault="00742445" w:rsidP="00B46735">
            <w:pPr>
              <w:pStyle w:val="Tablelegend"/>
            </w:pPr>
            <w:r w:rsidRPr="00DB693C">
              <w:rPr>
                <w:vertAlign w:val="superscript"/>
              </w:rPr>
              <w:t xml:space="preserve">(1) </w:t>
            </w:r>
            <w:r>
              <w:rPr>
                <w:vertAlign w:val="superscript"/>
              </w:rPr>
              <w:tab/>
            </w:r>
            <w:r w:rsidRPr="00DB693C">
              <w:t>D'après l</w:t>
            </w:r>
            <w:r w:rsidR="002B21F8">
              <w:t xml:space="preserve">a </w:t>
            </w:r>
            <w:r w:rsidRPr="00DB693C">
              <w:t>Recommandation UIT-T J.89.</w:t>
            </w:r>
          </w:p>
          <w:p w:rsidR="00742445" w:rsidRPr="00DB693C" w:rsidRDefault="00742445" w:rsidP="00B46735">
            <w:pPr>
              <w:pStyle w:val="Tablelegend"/>
            </w:pPr>
            <w:r>
              <w:rPr>
                <w:vertAlign w:val="superscript"/>
              </w:rPr>
              <w:t>(2)</w:t>
            </w:r>
            <w:r>
              <w:rPr>
                <w:vertAlign w:val="superscript"/>
              </w:rPr>
              <w:tab/>
            </w:r>
            <w:r w:rsidRPr="00DB693C">
              <w:t>Débit binaire limité à 50 Mbit/s, d'après la Recommandation UIT-R BR.1376.</w:t>
            </w:r>
          </w:p>
          <w:p w:rsidR="00742445" w:rsidRPr="00860A3C" w:rsidRDefault="00742445" w:rsidP="00B46735">
            <w:pPr>
              <w:pStyle w:val="Tablelegend"/>
            </w:pPr>
            <w:r w:rsidRPr="00DB693C">
              <w:rPr>
                <w:vertAlign w:val="superscript"/>
              </w:rPr>
              <w:t xml:space="preserve">(3) </w:t>
            </w:r>
            <w:r>
              <w:rPr>
                <w:vertAlign w:val="superscript"/>
              </w:rPr>
              <w:tab/>
            </w:r>
            <w:r w:rsidRPr="00DB693C">
              <w:t>Débit binaire limité à 25 Mbit/s pour la structure d'échantillonnage 4:2:0 ou 4:1:1 et à 50 Mbit/s pour la structure d'échantillonnage 4:2:2, d'après la Recommandation UIT-R BR.1376.</w:t>
            </w:r>
          </w:p>
        </w:tc>
      </w:tr>
    </w:tbl>
    <w:p w:rsidR="00B46735" w:rsidRPr="00AB730C" w:rsidRDefault="00B46735" w:rsidP="00B46735">
      <w:pPr>
        <w:pStyle w:val="Tablefin"/>
        <w:rPr>
          <w:lang w:val="fr-CH"/>
        </w:rPr>
      </w:pPr>
    </w:p>
    <w:p w:rsidR="00742445" w:rsidRPr="00860A3C" w:rsidRDefault="00742445" w:rsidP="00742445">
      <w:pPr>
        <w:spacing w:before="240" w:after="240"/>
      </w:pPr>
      <w:r w:rsidRPr="00860A3C">
        <w:rPr>
          <w:b/>
          <w:bCs/>
        </w:rPr>
        <w:t>2</w:t>
      </w:r>
      <w:r w:rsidRPr="00860A3C">
        <w:rPr>
          <w:b/>
          <w:bCs/>
        </w:rPr>
        <w:tab/>
      </w:r>
      <w:r w:rsidRPr="00860A3C">
        <w:t>que</w:t>
      </w:r>
      <w:r>
        <w:t>,</w:t>
      </w:r>
      <w:r w:rsidRPr="00860A3C">
        <w:t xml:space="preserve"> pour l'utilisation de la Recommandation UIT-T H.264, les profils et les niveaux suivants soient utilisés de préférence, et respectivement, pour les </w:t>
      </w:r>
      <w:r>
        <w:t>RAS/</w:t>
      </w:r>
      <w:r w:rsidRPr="00860A3C">
        <w:t xml:space="preserve">ENG, la contribution, la production en studio, la distribution primaire </w:t>
      </w:r>
      <w:r w:rsidR="002B21F8">
        <w:t>et</w:t>
      </w:r>
      <w:r w:rsidRPr="00860A3C">
        <w:t xml:space="preserve"> secondaire et pour la diffusion de signaux de TVDC de Terre ou par satellite.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2"/>
        <w:gridCol w:w="1646"/>
        <w:gridCol w:w="1361"/>
        <w:gridCol w:w="1414"/>
        <w:gridCol w:w="1343"/>
        <w:gridCol w:w="1245"/>
        <w:gridCol w:w="1338"/>
      </w:tblGrid>
      <w:tr w:rsidR="00742445" w:rsidRPr="00860A3C" w:rsidTr="000431D0">
        <w:trPr>
          <w:cantSplit/>
          <w:jc w:val="center"/>
        </w:trPr>
        <w:tc>
          <w:tcPr>
            <w:tcW w:w="1299" w:type="dxa"/>
            <w:vAlign w:val="center"/>
          </w:tcPr>
          <w:p w:rsidR="00742445" w:rsidRPr="00860A3C" w:rsidRDefault="00742445" w:rsidP="000431D0">
            <w:pPr>
              <w:pStyle w:val="Tablehead"/>
            </w:pPr>
            <w:r w:rsidRPr="00860A3C">
              <w:t>SNG/</w:t>
            </w:r>
            <w:r w:rsidRPr="00860A3C" w:rsidDel="00DC34F3">
              <w:t xml:space="preserve"> </w:t>
            </w:r>
            <w:r w:rsidRPr="00860A3C">
              <w:t>ENG</w:t>
            </w:r>
          </w:p>
        </w:tc>
        <w:tc>
          <w:tcPr>
            <w:tcW w:w="1654" w:type="dxa"/>
            <w:vAlign w:val="center"/>
          </w:tcPr>
          <w:p w:rsidR="00742445" w:rsidRPr="00860A3C" w:rsidRDefault="00742445" w:rsidP="000431D0">
            <w:pPr>
              <w:pStyle w:val="Tablehead"/>
            </w:pPr>
            <w:r w:rsidRPr="00860A3C">
              <w:t>Contribution</w:t>
            </w:r>
          </w:p>
        </w:tc>
        <w:tc>
          <w:tcPr>
            <w:tcW w:w="1367" w:type="dxa"/>
            <w:vAlign w:val="center"/>
          </w:tcPr>
          <w:p w:rsidR="00742445" w:rsidRPr="00860A3C" w:rsidRDefault="00742445" w:rsidP="000431D0">
            <w:pPr>
              <w:pStyle w:val="Tablehead"/>
            </w:pPr>
            <w:r w:rsidRPr="00860A3C">
              <w:t>Production en studio</w:t>
            </w:r>
          </w:p>
        </w:tc>
        <w:tc>
          <w:tcPr>
            <w:tcW w:w="1421" w:type="dxa"/>
            <w:vAlign w:val="center"/>
          </w:tcPr>
          <w:p w:rsidR="00742445" w:rsidRPr="00860A3C" w:rsidRDefault="00742445" w:rsidP="000431D0">
            <w:pPr>
              <w:pStyle w:val="Tablehead"/>
            </w:pPr>
            <w:r w:rsidRPr="00860A3C">
              <w:t>Distribution primaire</w:t>
            </w:r>
          </w:p>
        </w:tc>
        <w:tc>
          <w:tcPr>
            <w:tcW w:w="1349" w:type="dxa"/>
            <w:vAlign w:val="center"/>
          </w:tcPr>
          <w:p w:rsidR="00742445" w:rsidRPr="00860A3C" w:rsidRDefault="00742445" w:rsidP="000431D0">
            <w:pPr>
              <w:pStyle w:val="Tablehead"/>
            </w:pPr>
            <w:r w:rsidRPr="00860A3C">
              <w:t>Diffusion de Terre</w:t>
            </w:r>
          </w:p>
        </w:tc>
        <w:tc>
          <w:tcPr>
            <w:tcW w:w="1251" w:type="dxa"/>
            <w:vAlign w:val="center"/>
          </w:tcPr>
          <w:p w:rsidR="00742445" w:rsidRPr="00860A3C" w:rsidRDefault="00742445" w:rsidP="000431D0">
            <w:pPr>
              <w:pStyle w:val="Tablehead"/>
            </w:pPr>
            <w:r w:rsidRPr="00860A3C">
              <w:t>Diffusion par satellite</w:t>
            </w:r>
          </w:p>
        </w:tc>
        <w:tc>
          <w:tcPr>
            <w:tcW w:w="1344" w:type="dxa"/>
            <w:vAlign w:val="center"/>
          </w:tcPr>
          <w:p w:rsidR="00742445" w:rsidRPr="00860A3C" w:rsidRDefault="00742445" w:rsidP="000431D0">
            <w:pPr>
              <w:pStyle w:val="Tablehead"/>
              <w:ind w:right="-57"/>
            </w:pPr>
            <w:r w:rsidRPr="00860A3C">
              <w:t>Distribution secondaire</w:t>
            </w:r>
          </w:p>
        </w:tc>
      </w:tr>
      <w:tr w:rsidR="00742445" w:rsidRPr="00860A3C">
        <w:trPr>
          <w:cantSplit/>
          <w:jc w:val="center"/>
        </w:trPr>
        <w:tc>
          <w:tcPr>
            <w:tcW w:w="1299" w:type="dxa"/>
            <w:tcBorders>
              <w:bottom w:val="single" w:sz="6" w:space="0" w:color="auto"/>
            </w:tcBorders>
          </w:tcPr>
          <w:p w:rsidR="00742445" w:rsidRPr="00860A3C" w:rsidRDefault="00742445" w:rsidP="00742445">
            <w:pPr>
              <w:pStyle w:val="Tabletext"/>
              <w:jc w:val="center"/>
            </w:pPr>
            <w:r w:rsidRPr="00860A3C">
              <w:t>Niveau 3/ profil 10 élevé</w:t>
            </w:r>
          </w:p>
        </w:tc>
        <w:tc>
          <w:tcPr>
            <w:tcW w:w="1654" w:type="dxa"/>
            <w:tcBorders>
              <w:bottom w:val="single" w:sz="6" w:space="0" w:color="auto"/>
            </w:tcBorders>
          </w:tcPr>
          <w:p w:rsidR="00742445" w:rsidRPr="00860A3C" w:rsidRDefault="00742445" w:rsidP="00742445">
            <w:pPr>
              <w:pStyle w:val="Tabletext"/>
              <w:jc w:val="center"/>
            </w:pPr>
            <w:r w:rsidRPr="00860A3C">
              <w:t>Niveau 3/</w:t>
            </w:r>
            <w:r w:rsidR="002B21F8">
              <w:br/>
            </w:r>
            <w:r w:rsidRPr="00860A3C">
              <w:t>profil  4:2:2 élevé</w:t>
            </w:r>
          </w:p>
        </w:tc>
        <w:tc>
          <w:tcPr>
            <w:tcW w:w="1367" w:type="dxa"/>
            <w:tcBorders>
              <w:bottom w:val="single" w:sz="6" w:space="0" w:color="auto"/>
            </w:tcBorders>
          </w:tcPr>
          <w:p w:rsidR="00742445" w:rsidRPr="00860A3C" w:rsidRDefault="00742445" w:rsidP="00742445">
            <w:pPr>
              <w:pStyle w:val="Tabletext"/>
              <w:jc w:val="center"/>
            </w:pPr>
            <w:r w:rsidRPr="00860A3C">
              <w:t>Niveau 3/ profil 4:2:2 élevé</w:t>
            </w:r>
          </w:p>
        </w:tc>
        <w:tc>
          <w:tcPr>
            <w:tcW w:w="1421" w:type="dxa"/>
            <w:tcBorders>
              <w:bottom w:val="single" w:sz="6" w:space="0" w:color="auto"/>
            </w:tcBorders>
          </w:tcPr>
          <w:p w:rsidR="00742445" w:rsidRPr="00860A3C" w:rsidRDefault="00742445" w:rsidP="00742445">
            <w:pPr>
              <w:pStyle w:val="Tabletext"/>
              <w:jc w:val="center"/>
            </w:pPr>
            <w:r w:rsidRPr="00860A3C">
              <w:t>Niveau 3/ profil 4:2:2 élevé</w:t>
            </w:r>
          </w:p>
        </w:tc>
        <w:tc>
          <w:tcPr>
            <w:tcW w:w="1349" w:type="dxa"/>
            <w:tcBorders>
              <w:bottom w:val="single" w:sz="6" w:space="0" w:color="auto"/>
            </w:tcBorders>
          </w:tcPr>
          <w:p w:rsidR="00742445" w:rsidRPr="00860A3C" w:rsidRDefault="00742445" w:rsidP="00742445">
            <w:pPr>
              <w:pStyle w:val="Tabletext"/>
              <w:jc w:val="center"/>
              <w:rPr>
                <w:vertAlign w:val="superscript"/>
              </w:rPr>
            </w:pPr>
            <w:r w:rsidRPr="00860A3C">
              <w:t>Niveau 3/ profil principal</w:t>
            </w:r>
            <w:r w:rsidRPr="00860A3C">
              <w:rPr>
                <w:vertAlign w:val="superscript"/>
              </w:rPr>
              <w:t>(1)</w:t>
            </w:r>
          </w:p>
        </w:tc>
        <w:tc>
          <w:tcPr>
            <w:tcW w:w="1251" w:type="dxa"/>
            <w:tcBorders>
              <w:bottom w:val="single" w:sz="6" w:space="0" w:color="auto"/>
            </w:tcBorders>
          </w:tcPr>
          <w:p w:rsidR="00742445" w:rsidRPr="00860A3C" w:rsidRDefault="00742445" w:rsidP="00742445">
            <w:pPr>
              <w:pStyle w:val="Tabletext"/>
              <w:jc w:val="center"/>
            </w:pPr>
            <w:r w:rsidRPr="00860A3C">
              <w:t>Niveau 3/ profil principal</w:t>
            </w:r>
          </w:p>
        </w:tc>
        <w:tc>
          <w:tcPr>
            <w:tcW w:w="1344" w:type="dxa"/>
            <w:tcBorders>
              <w:bottom w:val="single" w:sz="6" w:space="0" w:color="auto"/>
            </w:tcBorders>
          </w:tcPr>
          <w:p w:rsidR="00742445" w:rsidRPr="00860A3C" w:rsidRDefault="00742445" w:rsidP="00742445">
            <w:pPr>
              <w:pStyle w:val="Tabletext"/>
              <w:jc w:val="center"/>
            </w:pPr>
            <w:r w:rsidRPr="00860A3C">
              <w:t>Niveau 3/ profil principal</w:t>
            </w:r>
          </w:p>
        </w:tc>
      </w:tr>
      <w:tr w:rsidR="00742445" w:rsidRPr="00860A3C">
        <w:trPr>
          <w:cantSplit/>
          <w:jc w:val="center"/>
        </w:trPr>
        <w:tc>
          <w:tcPr>
            <w:tcW w:w="9685" w:type="dxa"/>
            <w:gridSpan w:val="7"/>
            <w:tcBorders>
              <w:left w:val="nil"/>
              <w:bottom w:val="nil"/>
              <w:right w:val="nil"/>
            </w:tcBorders>
          </w:tcPr>
          <w:p w:rsidR="00742445" w:rsidRPr="00860A3C" w:rsidRDefault="00742445" w:rsidP="00B46735">
            <w:pPr>
              <w:pStyle w:val="Tablelegend"/>
            </w:pPr>
            <w:r>
              <w:rPr>
                <w:vertAlign w:val="superscript"/>
              </w:rPr>
              <w:t>(1)</w:t>
            </w:r>
            <w:r>
              <w:rPr>
                <w:vertAlign w:val="superscript"/>
              </w:rPr>
              <w:tab/>
            </w:r>
            <w:r w:rsidRPr="00860A3C">
              <w:t>Certaines administrations ont déjà choisi ce profil principal pour cette application.</w:t>
            </w:r>
          </w:p>
        </w:tc>
      </w:tr>
    </w:tbl>
    <w:p w:rsidR="00B46735" w:rsidRPr="00AB730C" w:rsidRDefault="00B46735" w:rsidP="00B46735">
      <w:pPr>
        <w:pStyle w:val="Tablefin"/>
        <w:rPr>
          <w:lang w:val="fr-CH"/>
        </w:rPr>
      </w:pPr>
    </w:p>
    <w:p w:rsidR="00742445" w:rsidRPr="00860A3C" w:rsidRDefault="00742445" w:rsidP="00B46735">
      <w:r w:rsidRPr="00860A3C">
        <w:t>NOTE</w:t>
      </w:r>
      <w:r w:rsidR="002B21F8">
        <w:t> 1 </w:t>
      </w:r>
      <w:r w:rsidRPr="00860A3C">
        <w:t>–</w:t>
      </w:r>
      <w:r w:rsidR="002B21F8">
        <w:t> </w:t>
      </w:r>
      <w:r w:rsidRPr="00860A3C">
        <w:t>Lorsqu'elles devront choisir entre la Recommandation U</w:t>
      </w:r>
      <w:r>
        <w:t>IT-T H.262 et la Recommandation </w:t>
      </w:r>
      <w:r w:rsidRPr="00860A3C">
        <w:t>UIT-T H.264 en ce qui concerne la méthode à utiliser pour le codage de la source, les différentes administrations prendront en compte un certain nombre de considérations telles que l'interopérabilité avec les équipements encore en service, l'utilisation efficace du débit binaire disponible dans le canal de diffusion, l'harmonisation avec les méthodes de codage de la source adoptées par les administrations voisines pour les canaux de la radiodiffusion numérique de Terre ou satellite, etc.</w:t>
      </w:r>
    </w:p>
    <w:p w:rsidR="00742445" w:rsidRDefault="00742445" w:rsidP="00742445">
      <w:r w:rsidRPr="008E0B70">
        <w:rPr>
          <w:i/>
        </w:rPr>
        <w:t>N</w:t>
      </w:r>
      <w:r w:rsidR="002B21F8" w:rsidRPr="008E0B70">
        <w:rPr>
          <w:i/>
        </w:rPr>
        <w:t xml:space="preserve">ote </w:t>
      </w:r>
      <w:r w:rsidRPr="008E0B70">
        <w:rPr>
          <w:i/>
        </w:rPr>
        <w:t>du secrétariat</w:t>
      </w:r>
      <w:r w:rsidR="002B21F8">
        <w:t>:</w:t>
      </w:r>
      <w:r w:rsidRPr="00860A3C">
        <w:t xml:space="preserve"> Les </w:t>
      </w:r>
      <w:r>
        <w:t xml:space="preserve">versions électroniques des </w:t>
      </w:r>
      <w:r w:rsidRPr="00860A3C">
        <w:t xml:space="preserve">Recommandations UIT-T H.262 et </w:t>
      </w:r>
      <w:r w:rsidR="008E0B70">
        <w:t>UIT</w:t>
      </w:r>
      <w:r w:rsidR="008E0B70">
        <w:noBreakHyphen/>
        <w:t>T </w:t>
      </w:r>
      <w:r w:rsidRPr="00860A3C">
        <w:t xml:space="preserve">H.264 sont disponibles à l'adresse suivante: </w:t>
      </w:r>
      <w:hyperlink r:id="rId13" w:history="1">
        <w:r w:rsidRPr="00860A3C">
          <w:rPr>
            <w:rStyle w:val="Hyperlink"/>
          </w:rPr>
          <w:t>http://www.itu.int/md/R03-WP6A-C-0110/en</w:t>
        </w:r>
      </w:hyperlink>
      <w:r w:rsidRPr="00860A3C">
        <w:t>.</w:t>
      </w:r>
    </w:p>
    <w:p w:rsidR="00742445" w:rsidRDefault="00742445" w:rsidP="00742445"/>
    <w:p w:rsidR="00742445" w:rsidRPr="002B21F8" w:rsidRDefault="00742445" w:rsidP="00742445">
      <w:pPr>
        <w:pStyle w:val="Line"/>
        <w:rPr>
          <w:lang w:val="fr-FR"/>
        </w:rPr>
      </w:pPr>
    </w:p>
    <w:sectPr w:rsidR="00742445" w:rsidRPr="002B21F8" w:rsidSect="00E228C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1F8" w:rsidRDefault="002B21F8">
      <w:r>
        <w:separator/>
      </w:r>
    </w:p>
  </w:endnote>
  <w:endnote w:type="continuationSeparator" w:id="0">
    <w:p w:rsidR="002B21F8" w:rsidRDefault="002B2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1F8" w:rsidRDefault="002B21F8">
      <w:r>
        <w:separator/>
      </w:r>
    </w:p>
  </w:footnote>
  <w:footnote w:type="continuationSeparator" w:id="0">
    <w:p w:rsidR="002B21F8" w:rsidRDefault="002B21F8">
      <w:r>
        <w:continuationSeparator/>
      </w:r>
    </w:p>
  </w:footnote>
  <w:footnote w:id="1">
    <w:p w:rsidR="002B21F8" w:rsidRPr="00E228C1" w:rsidRDefault="002B21F8" w:rsidP="00E228C1">
      <w:pPr>
        <w:pStyle w:val="FootnoteText"/>
        <w:rPr>
          <w:rStyle w:val="FootnoteReference"/>
          <w:position w:val="0"/>
          <w:sz w:val="22"/>
        </w:rPr>
      </w:pPr>
      <w:r w:rsidRPr="00E228C1">
        <w:rPr>
          <w:rStyle w:val="FootnoteReference"/>
        </w:rPr>
        <w:t xml:space="preserve">* </w:t>
      </w:r>
      <w:r w:rsidRPr="00E228C1">
        <w:rPr>
          <w:rStyle w:val="FootnoteReference"/>
          <w:position w:val="0"/>
          <w:sz w:val="22"/>
        </w:rPr>
        <w:tab/>
        <w:t>Dans la présente Recommandation, l'abréviation TVDC se rapporte aux signaux conformes à la Recommandation UIT-R BT.601 (Partie A).</w:t>
      </w:r>
    </w:p>
  </w:footnote>
  <w:footnote w:id="2">
    <w:p w:rsidR="000431D0" w:rsidRPr="00E228C1" w:rsidRDefault="000431D0" w:rsidP="00E228C1">
      <w:pPr>
        <w:pStyle w:val="FootnoteText"/>
        <w:rPr>
          <w:rStyle w:val="FootnoteReference"/>
          <w:position w:val="0"/>
          <w:sz w:val="22"/>
        </w:rPr>
      </w:pPr>
      <w:r w:rsidRPr="00E228C1">
        <w:rPr>
          <w:rStyle w:val="FootnoteReference"/>
        </w:rPr>
        <w:t>**</w:t>
      </w:r>
      <w:r w:rsidRPr="00E228C1">
        <w:rPr>
          <w:rStyle w:val="FootnoteReference"/>
          <w:position w:val="0"/>
          <w:szCs w:val="18"/>
        </w:rPr>
        <w:tab/>
      </w:r>
      <w:r w:rsidRPr="00E228C1">
        <w:rPr>
          <w:rStyle w:val="FootnoteReference"/>
          <w:position w:val="0"/>
          <w:sz w:val="22"/>
        </w:rPr>
        <w:t>La Commission d'études 6 des radiocommunications a apporté des modifications rédactionnelles à la présente Recommandation en octobre 2010, conformément aux dispositions de la Résolution UIT-R 1.</w:t>
      </w:r>
    </w:p>
  </w:footnote>
  <w:footnote w:id="3">
    <w:p w:rsidR="002B21F8" w:rsidRPr="00E228C1" w:rsidRDefault="002B21F8" w:rsidP="00E228C1">
      <w:pPr>
        <w:pStyle w:val="FootnoteText"/>
        <w:rPr>
          <w:rStyle w:val="FootnoteReference"/>
          <w:position w:val="0"/>
          <w:sz w:val="22"/>
        </w:rPr>
      </w:pPr>
      <w:r w:rsidRPr="00E228C1">
        <w:rPr>
          <w:rStyle w:val="FootnoteReference"/>
        </w:rPr>
        <w:footnoteRef/>
      </w:r>
      <w:r w:rsidRPr="00E228C1">
        <w:rPr>
          <w:rStyle w:val="FootnoteReference"/>
          <w:position w:val="0"/>
          <w:sz w:val="22"/>
        </w:rPr>
        <w:tab/>
        <w:t>La définition du RAS (Reportage d'actualités par satellite) se trouve dans l'Annexe 1</w:t>
      </w:r>
      <w:r w:rsidR="008E0B70" w:rsidRPr="00E228C1">
        <w:rPr>
          <w:rStyle w:val="FootnoteReference"/>
          <w:position w:val="0"/>
          <w:sz w:val="22"/>
        </w:rPr>
        <w:t>,</w:t>
      </w:r>
      <w:r w:rsidRPr="00E228C1">
        <w:rPr>
          <w:rStyle w:val="FootnoteReference"/>
          <w:position w:val="0"/>
          <w:sz w:val="22"/>
        </w:rPr>
        <w:t xml:space="preserve"> § 1.1 de la Recommandation UIT-R SNG.770 et dans le § 1 de la Recommandation UIT-R BT.1205.  </w:t>
      </w:r>
    </w:p>
  </w:footnote>
  <w:footnote w:id="4">
    <w:p w:rsidR="002B21F8" w:rsidRPr="00E228C1" w:rsidRDefault="002B21F8" w:rsidP="00E228C1">
      <w:pPr>
        <w:pStyle w:val="FootnoteText"/>
        <w:rPr>
          <w:rStyle w:val="FootnoteReference"/>
          <w:position w:val="0"/>
          <w:sz w:val="22"/>
        </w:rPr>
      </w:pPr>
      <w:r w:rsidRPr="00E228C1">
        <w:rPr>
          <w:rStyle w:val="FootnoteReference"/>
        </w:rPr>
        <w:footnoteRef/>
      </w:r>
      <w:r w:rsidRPr="00E228C1">
        <w:rPr>
          <w:rStyle w:val="FootnoteReference"/>
          <w:position w:val="0"/>
          <w:sz w:val="22"/>
        </w:rPr>
        <w:tab/>
        <w:t>La définition de l'ENG (Reportage électronique d'actualités) se trouve dans l'Annexe 3</w:t>
      </w:r>
      <w:r w:rsidR="008E0B70" w:rsidRPr="00E228C1">
        <w:rPr>
          <w:rStyle w:val="FootnoteReference"/>
          <w:position w:val="0"/>
          <w:sz w:val="22"/>
        </w:rPr>
        <w:t>,</w:t>
      </w:r>
      <w:r w:rsidRPr="00E228C1">
        <w:rPr>
          <w:rStyle w:val="FootnoteReference"/>
          <w:position w:val="0"/>
          <w:sz w:val="22"/>
        </w:rPr>
        <w:t xml:space="preserve"> § 2 de la Recommandation UIT-R SA.1154 et dans le § 3 du Rapport UIT-R BT.2069.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D0" w:rsidRDefault="000431D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D0" w:rsidRDefault="000431D0" w:rsidP="0014322C">
    <w:pPr>
      <w:pStyle w:val="Header"/>
      <w:ind w:right="360" w:firstLine="360"/>
    </w:pPr>
    <w:r>
      <w:rPr>
        <w:noProof/>
        <w:lang w:val="en-US" w:eastAsia="zh-CN"/>
      </w:rPr>
      <w:drawing>
        <wp:anchor distT="0" distB="0" distL="114300" distR="114300" simplePos="0" relativeHeight="251659264" behindDoc="1" locked="0" layoutInCell="1" allowOverlap="1" wp14:anchorId="3C82C0E1" wp14:editId="7F2E4702">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D0" w:rsidRPr="000431D0" w:rsidRDefault="000431D0">
    <w:pPr>
      <w:pStyle w:val="Header"/>
      <w:jc w:val="left"/>
      <w:rPr>
        <w:lang w:val="fr-CH"/>
      </w:rPr>
    </w:pPr>
    <w:r>
      <w:rPr>
        <w:rStyle w:val="PageNumber"/>
        <w:b/>
        <w:bCs/>
      </w:rPr>
      <w:fldChar w:fldCharType="begin"/>
    </w:r>
    <w:r w:rsidRPr="000431D0">
      <w:rPr>
        <w:rStyle w:val="PageNumber"/>
        <w:b/>
        <w:bCs/>
        <w:lang w:val="fr-CH"/>
      </w:rPr>
      <w:instrText xml:space="preserve"> PAGE </w:instrText>
    </w:r>
    <w:r>
      <w:rPr>
        <w:rStyle w:val="PageNumber"/>
        <w:b/>
        <w:bCs/>
      </w:rPr>
      <w:fldChar w:fldCharType="separate"/>
    </w:r>
    <w:r w:rsidR="00AB730C">
      <w:rPr>
        <w:rStyle w:val="PageNumber"/>
        <w:b/>
        <w:bCs/>
        <w:noProof/>
        <w:lang w:val="fr-CH"/>
      </w:rPr>
      <w:t>ii</w:t>
    </w:r>
    <w:r>
      <w:rPr>
        <w:rStyle w:val="PageNumber"/>
        <w:b/>
        <w:bCs/>
      </w:rPr>
      <w:fldChar w:fldCharType="end"/>
    </w:r>
    <w:r w:rsidRPr="000431D0">
      <w:rPr>
        <w:lang w:val="fr-CH"/>
      </w:rPr>
      <w:tab/>
    </w:r>
    <w:fldSimple w:instr=" DOCPROPERTY &quot;Header&quot; \* MERGEFORMAT ">
      <w:r w:rsidR="00AB730C" w:rsidRPr="00AB730C">
        <w:rPr>
          <w:b/>
          <w:bCs/>
          <w:lang w:val="fr-CH"/>
        </w:rPr>
        <w:t xml:space="preserve">Rec. </w:t>
      </w:r>
    </w:fldSimple>
    <w:r>
      <w:rPr>
        <w:b/>
        <w:bCs/>
      </w:rPr>
      <w:t xml:space="preserve"> </w:t>
    </w:r>
    <w:r>
      <w:rPr>
        <w:b/>
        <w:bCs/>
      </w:rPr>
      <w:fldChar w:fldCharType="begin"/>
    </w:r>
    <w:r w:rsidRPr="000431D0">
      <w:rPr>
        <w:b/>
        <w:bCs/>
        <w:lang w:val="fr-CH"/>
      </w:rPr>
      <w:instrText>styleref href</w:instrText>
    </w:r>
    <w:r>
      <w:rPr>
        <w:b/>
        <w:bCs/>
      </w:rPr>
      <w:fldChar w:fldCharType="separate"/>
    </w:r>
    <w:r w:rsidR="00AB730C">
      <w:rPr>
        <w:b/>
        <w:bCs/>
        <w:noProof/>
      </w:rPr>
      <w:t>UIT-R  BT.1380-1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D0" w:rsidRDefault="000431D0">
    <w:pPr>
      <w:pStyle w:val="Header"/>
    </w:pPr>
    <w:r>
      <w:tab/>
    </w:r>
    <w:fldSimple w:instr=" DOCPROPERTY &quot;Header&quot; \* MERGEFORMAT ">
      <w:r w:rsidR="00AB730C" w:rsidRPr="00AB730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730C">
      <w:rPr>
        <w:b/>
        <w:bCs/>
        <w:noProof/>
      </w:rPr>
      <w:t>UIT-R  BT.1380-1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F8" w:rsidRDefault="002B21F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730C">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B730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B730C">
      <w:rPr>
        <w:b/>
        <w:bCs/>
        <w:noProof/>
      </w:rPr>
      <w:t>UIT-R  BT.1380-1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F8" w:rsidRDefault="002B21F8">
    <w:pPr>
      <w:pStyle w:val="Header"/>
    </w:pPr>
    <w:r>
      <w:tab/>
    </w:r>
    <w:r>
      <w:rPr>
        <w:b/>
        <w:bCs/>
      </w:rPr>
      <w:fldChar w:fldCharType="begin"/>
    </w:r>
    <w:r>
      <w:rPr>
        <w:b/>
        <w:bCs/>
      </w:rPr>
      <w:instrText xml:space="preserve"> DOCPROPERTY "Header" \* MERGEFORMAT </w:instrText>
    </w:r>
    <w:r>
      <w:rPr>
        <w:b/>
        <w:bCs/>
      </w:rPr>
      <w:fldChar w:fldCharType="separate"/>
    </w:r>
    <w:r w:rsidR="00AB730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B730C">
      <w:rPr>
        <w:b/>
        <w:bCs/>
        <w:noProof/>
      </w:rPr>
      <w:t>UIT-R  BT.1380-1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730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445"/>
    <w:rsid w:val="000431D0"/>
    <w:rsid w:val="00077F37"/>
    <w:rsid w:val="00147A77"/>
    <w:rsid w:val="002B21F8"/>
    <w:rsid w:val="0054681D"/>
    <w:rsid w:val="00742445"/>
    <w:rsid w:val="008E0B70"/>
    <w:rsid w:val="00927A1C"/>
    <w:rsid w:val="00AB730C"/>
    <w:rsid w:val="00B46735"/>
    <w:rsid w:val="00C858E8"/>
    <w:rsid w:val="00CB3DCF"/>
    <w:rsid w:val="00E228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Text0">
    <w:name w:val="Table_Text"/>
    <w:basedOn w:val="Normal"/>
    <w:rsid w:val="007424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szCs w:val="22"/>
      <w:lang w:eastAsia="zh-CN"/>
    </w:rPr>
  </w:style>
  <w:style w:type="paragraph" w:customStyle="1" w:styleId="Figure">
    <w:name w:val="Figure"/>
    <w:basedOn w:val="FigureNo"/>
    <w:next w:val="Figuretitle"/>
    <w:pPr>
      <w:spacing w:before="0" w:after="240"/>
    </w:pPr>
  </w:style>
  <w:style w:type="paragraph" w:customStyle="1" w:styleId="TableHead0">
    <w:name w:val="Table_Head"/>
    <w:basedOn w:val="TableText0"/>
    <w:rsid w:val="00742445"/>
    <w:pPr>
      <w:keepNext/>
      <w:spacing w:before="80" w:after="80"/>
      <w:jc w:val="center"/>
    </w:pPr>
    <w:rPr>
      <w:b/>
      <w:bCs/>
    </w:rPr>
  </w:style>
  <w:style w:type="paragraph" w:customStyle="1" w:styleId="Normalaftertitle0">
    <w:name w:val="Normal after title"/>
    <w:basedOn w:val="Normal"/>
    <w:next w:val="Normal"/>
    <w:rsid w:val="00742445"/>
    <w:pPr>
      <w:spacing w:before="320"/>
      <w:jc w:val="left"/>
    </w:pPr>
    <w:rPr>
      <w:szCs w:val="24"/>
      <w:lang w:eastAsia="zh-CN"/>
    </w:rPr>
  </w:style>
  <w:style w:type="paragraph" w:customStyle="1" w:styleId="call0">
    <w:name w:val="call"/>
    <w:basedOn w:val="Normal"/>
    <w:next w:val="Normal"/>
    <w:rsid w:val="00742445"/>
    <w:pPr>
      <w:keepNext/>
      <w:keepLines/>
      <w:spacing w:before="160"/>
      <w:ind w:left="794"/>
      <w:jc w:val="left"/>
    </w:pPr>
    <w:rPr>
      <w:i/>
      <w:iCs/>
      <w:szCs w:val="24"/>
      <w:lang w:eastAsia="zh-CN"/>
    </w:rPr>
  </w:style>
  <w:style w:type="character" w:styleId="Hyperlink">
    <w:name w:val="Hyperlink"/>
    <w:basedOn w:val="DefaultParagraphFont"/>
    <w:rsid w:val="0074244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Text0">
    <w:name w:val="Table_Text"/>
    <w:basedOn w:val="Normal"/>
    <w:rsid w:val="007424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szCs w:val="22"/>
      <w:lang w:eastAsia="zh-CN"/>
    </w:rPr>
  </w:style>
  <w:style w:type="paragraph" w:customStyle="1" w:styleId="Figure">
    <w:name w:val="Figure"/>
    <w:basedOn w:val="FigureNo"/>
    <w:next w:val="Figuretitle"/>
    <w:pPr>
      <w:spacing w:before="0" w:after="240"/>
    </w:pPr>
  </w:style>
  <w:style w:type="paragraph" w:customStyle="1" w:styleId="TableHead0">
    <w:name w:val="Table_Head"/>
    <w:basedOn w:val="TableText0"/>
    <w:rsid w:val="00742445"/>
    <w:pPr>
      <w:keepNext/>
      <w:spacing w:before="80" w:after="80"/>
      <w:jc w:val="center"/>
    </w:pPr>
    <w:rPr>
      <w:b/>
      <w:bCs/>
    </w:rPr>
  </w:style>
  <w:style w:type="paragraph" w:customStyle="1" w:styleId="Normalaftertitle0">
    <w:name w:val="Normal after title"/>
    <w:basedOn w:val="Normal"/>
    <w:next w:val="Normal"/>
    <w:rsid w:val="00742445"/>
    <w:pPr>
      <w:spacing w:before="320"/>
      <w:jc w:val="left"/>
    </w:pPr>
    <w:rPr>
      <w:szCs w:val="24"/>
      <w:lang w:eastAsia="zh-CN"/>
    </w:rPr>
  </w:style>
  <w:style w:type="paragraph" w:customStyle="1" w:styleId="call0">
    <w:name w:val="call"/>
    <w:basedOn w:val="Normal"/>
    <w:next w:val="Normal"/>
    <w:rsid w:val="00742445"/>
    <w:pPr>
      <w:keepNext/>
      <w:keepLines/>
      <w:spacing w:before="160"/>
      <w:ind w:left="794"/>
      <w:jc w:val="left"/>
    </w:pPr>
    <w:rPr>
      <w:i/>
      <w:iCs/>
      <w:szCs w:val="24"/>
      <w:lang w:eastAsia="zh-CN"/>
    </w:rPr>
  </w:style>
  <w:style w:type="character" w:styleId="Hyperlink">
    <w:name w:val="Hyperlink"/>
    <w:basedOn w:val="DefaultParagraphFont"/>
    <w:rsid w:val="007424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md/R03-WP6A-C-0110/en"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112</TotalTime>
  <Pages>4</Pages>
  <Words>1019</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RECOMMANDATION  UIT-R  BT. 1380-1 - Normes pour systèmes de codage avec réduction du débit binaire pour la TVDC*,**</vt:lpstr>
    </vt:vector>
  </TitlesOfParts>
  <Manager/>
  <Company>ITU</Company>
  <LinksUpToDate>false</LinksUpToDate>
  <CharactersWithSpaces>7268</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 1380-1 - Normes pour systèmes de codage avec réduction du débit binaire pour la TVDC*,**</dc:title>
  <dc:subject>Série BT = Service de radiodiffusion (télévision)</dc:subject>
  <dc:creator>Bureau des radiocommunications de l'UIT (BR)</dc:creator>
  <cp:keywords>BT,</cp:keywords>
  <dc:description>Soby, 21.04.2011, MS-106344</dc:description>
  <cp:lastModifiedBy>brice</cp:lastModifiedBy>
  <cp:revision>7</cp:revision>
  <cp:lastPrinted>2005-02-10T14:54:00Z</cp:lastPrinted>
  <dcterms:created xsi:type="dcterms:W3CDTF">2011-04-21T09:57:00Z</dcterms:created>
  <dcterms:modified xsi:type="dcterms:W3CDTF">2011-05-11T13:12:00Z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French</vt:lpwstr>
  </property>
  <property fmtid="{D5CDD505-2E9C-101B-9397-08002B2CF9AE}" pid="7" name="Typist">
    <vt:lpwstr>Soby</vt:lpwstr>
  </property>
  <property fmtid="{D5CDD505-2E9C-101B-9397-08002B2CF9AE}" pid="8" name="Date completed">
    <vt:lpwstr>jeudi, 21. avril 2011</vt:lpwstr>
  </property>
</Properties>
</file>