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F7" w:rsidRDefault="000510F7">
      <w:bookmarkStart w:id="0" w:name="Doc_title"/>
    </w:p>
    <w:p w:rsidR="000510F7" w:rsidRDefault="000510F7"/>
    <w:p w:rsidR="000510F7" w:rsidRDefault="000510F7"/>
    <w:p w:rsidR="000510F7" w:rsidRDefault="000510F7"/>
    <w:p w:rsidR="000510F7" w:rsidRDefault="000510F7"/>
    <w:p w:rsidR="000510F7" w:rsidRDefault="000510F7"/>
    <w:p w:rsidR="000510F7" w:rsidRDefault="000510F7"/>
    <w:p w:rsidR="000510F7" w:rsidRDefault="000510F7"/>
    <w:p w:rsidR="000510F7" w:rsidRDefault="000510F7"/>
    <w:p w:rsidR="000510F7" w:rsidRDefault="000510F7"/>
    <w:p w:rsidR="000510F7" w:rsidRDefault="000510F7"/>
    <w:p w:rsidR="000510F7" w:rsidRDefault="000510F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510F7" w:rsidRPr="00A443C2">
        <w:tc>
          <w:tcPr>
            <w:tcW w:w="10089" w:type="dxa"/>
          </w:tcPr>
          <w:p w:rsidR="000510F7" w:rsidRPr="00B033C8" w:rsidRDefault="000510F7" w:rsidP="003F046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510F7" w:rsidRPr="00A443C2" w:rsidRDefault="000510F7" w:rsidP="000510F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1358-1</w:t>
            </w:r>
          </w:p>
          <w:p w:rsidR="000510F7" w:rsidRPr="00A443C2" w:rsidRDefault="000510F7" w:rsidP="000510F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09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2007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0510F7" w:rsidRPr="00F54FBD">
        <w:tc>
          <w:tcPr>
            <w:tcW w:w="10089" w:type="dxa"/>
          </w:tcPr>
          <w:p w:rsidR="000510F7" w:rsidRPr="0043089F" w:rsidRDefault="000510F7" w:rsidP="003F04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0510F7" w:rsidRDefault="00F21020" w:rsidP="00F2102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 w:rsidRPr="00F21020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Paramètres de studio des systèmes de télévision à balayage progressif 625 </w:t>
            </w:r>
            <w:r w:rsidRPr="00F21020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  <w:t>et 525 lignes</w:t>
            </w:r>
          </w:p>
          <w:p w:rsidR="000510F7" w:rsidRPr="0043089F" w:rsidRDefault="000510F7" w:rsidP="003F04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0510F7" w:rsidRPr="00F54FBD">
        <w:tc>
          <w:tcPr>
            <w:tcW w:w="10089" w:type="dxa"/>
          </w:tcPr>
          <w:p w:rsidR="000510F7" w:rsidRPr="00F54FBD" w:rsidRDefault="000510F7" w:rsidP="003F04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0510F7" w:rsidRPr="00F54FBD" w:rsidRDefault="000510F7" w:rsidP="003F04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0510F7" w:rsidRPr="00F54FBD" w:rsidRDefault="000510F7" w:rsidP="003F046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510F7" w:rsidRPr="00F54FBD" w:rsidRDefault="000510F7" w:rsidP="003F046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0510F7" w:rsidRPr="0043089F" w:rsidRDefault="000510F7" w:rsidP="003F0463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0510F7" w:rsidRPr="00F54FBD" w:rsidRDefault="000510F7" w:rsidP="003F0463">
      <w:pPr>
        <w:spacing w:before="80"/>
        <w:rPr>
          <w:i/>
          <w:sz w:val="22"/>
        </w:rPr>
      </w:pPr>
    </w:p>
    <w:p w:rsidR="000510F7" w:rsidRPr="00F54FBD" w:rsidRDefault="000510F7" w:rsidP="003F0463">
      <w:pPr>
        <w:spacing w:before="80"/>
        <w:rPr>
          <w:i/>
          <w:sz w:val="22"/>
        </w:rPr>
      </w:pPr>
    </w:p>
    <w:p w:rsidR="000510F7" w:rsidRPr="00F54FBD" w:rsidRDefault="000510F7" w:rsidP="003F0463">
      <w:pPr>
        <w:spacing w:before="80"/>
        <w:rPr>
          <w:i/>
          <w:sz w:val="22"/>
        </w:rPr>
      </w:pPr>
    </w:p>
    <w:p w:rsidR="000510F7" w:rsidRPr="00F54FBD" w:rsidRDefault="000510F7" w:rsidP="003F0463">
      <w:pPr>
        <w:spacing w:before="80"/>
        <w:rPr>
          <w:i/>
          <w:sz w:val="22"/>
        </w:rPr>
      </w:pPr>
    </w:p>
    <w:p w:rsidR="000510F7" w:rsidRPr="00F54FBD" w:rsidRDefault="000510F7" w:rsidP="003F0463">
      <w:pPr>
        <w:spacing w:before="80"/>
        <w:rPr>
          <w:i/>
          <w:sz w:val="22"/>
        </w:rPr>
      </w:pPr>
    </w:p>
    <w:p w:rsidR="000510F7" w:rsidRPr="00F54FBD" w:rsidRDefault="000510F7" w:rsidP="003F0463">
      <w:pPr>
        <w:spacing w:before="80"/>
        <w:rPr>
          <w:i/>
          <w:sz w:val="22"/>
        </w:rPr>
      </w:pPr>
    </w:p>
    <w:p w:rsidR="000510F7" w:rsidRPr="00F54FBD" w:rsidRDefault="000510F7" w:rsidP="003F046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0510F7" w:rsidRPr="00F54FBD" w:rsidSect="003F0463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0510F7" w:rsidRPr="00F54FBD" w:rsidRDefault="000510F7" w:rsidP="003F0463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0510F7" w:rsidRPr="00F54FBD" w:rsidRDefault="000510F7" w:rsidP="003F0463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0510F7" w:rsidRPr="00F54FBD" w:rsidRDefault="000510F7" w:rsidP="003F0463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0510F7" w:rsidRPr="00E44CBB" w:rsidRDefault="000510F7" w:rsidP="003F0463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0510F7" w:rsidRPr="00E44CBB" w:rsidRDefault="000510F7" w:rsidP="003F0463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0510F7" w:rsidRPr="00C57597" w:rsidRDefault="000510F7" w:rsidP="003F0463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510F7" w:rsidRPr="009454F8">
        <w:tc>
          <w:tcPr>
            <w:tcW w:w="9360" w:type="dxa"/>
            <w:gridSpan w:val="2"/>
          </w:tcPr>
          <w:p w:rsidR="000510F7" w:rsidRPr="009454F8" w:rsidRDefault="000510F7" w:rsidP="003F046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0510F7" w:rsidRPr="009454F8" w:rsidRDefault="000510F7" w:rsidP="003F04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0510F7" w:rsidRPr="00036EE3">
        <w:tc>
          <w:tcPr>
            <w:tcW w:w="1140" w:type="dxa"/>
          </w:tcPr>
          <w:p w:rsidR="000510F7" w:rsidRPr="00614CC6" w:rsidRDefault="000510F7" w:rsidP="003F0463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0510F7" w:rsidRPr="00036EE3" w:rsidTr="003F0463">
        <w:tc>
          <w:tcPr>
            <w:tcW w:w="1140" w:type="dxa"/>
            <w:tcBorders>
              <w:bottom w:val="nil"/>
            </w:tcBorders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0510F7" w:rsidRPr="00614CC6" w:rsidRDefault="000510F7" w:rsidP="003F04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0510F7" w:rsidRPr="009454F8" w:rsidTr="003F046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510F7" w:rsidRPr="0014322C" w:rsidRDefault="000510F7" w:rsidP="003F0463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510F7" w:rsidRPr="0014322C" w:rsidRDefault="000510F7" w:rsidP="003F04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0510F7" w:rsidRPr="00036EE3" w:rsidTr="003F0463">
        <w:tc>
          <w:tcPr>
            <w:tcW w:w="1140" w:type="dxa"/>
            <w:tcBorders>
              <w:top w:val="nil"/>
              <w:bottom w:val="nil"/>
            </w:tcBorders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0510F7" w:rsidRPr="00614CC6" w:rsidRDefault="000510F7" w:rsidP="003F04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0510F7" w:rsidRPr="00ED2695" w:rsidTr="003F046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0510F7" w:rsidRPr="0014322C" w:rsidRDefault="000510F7" w:rsidP="003F0463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0510F7" w:rsidRPr="0014322C" w:rsidRDefault="000510F7" w:rsidP="003F04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0510F7" w:rsidRPr="00036EE3" w:rsidTr="003F046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510F7" w:rsidRPr="00614CC6" w:rsidRDefault="000510F7" w:rsidP="003F04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0510F7" w:rsidRPr="00592F9F" w:rsidTr="003F046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510F7" w:rsidRPr="00766861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510F7" w:rsidRPr="00766861" w:rsidRDefault="000510F7" w:rsidP="003F04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0510F7" w:rsidRPr="00036EE3" w:rsidTr="003F0463">
        <w:tc>
          <w:tcPr>
            <w:tcW w:w="1140" w:type="dxa"/>
            <w:tcBorders>
              <w:top w:val="nil"/>
            </w:tcBorders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0510F7" w:rsidRPr="00614CC6" w:rsidRDefault="000510F7" w:rsidP="003F0463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0510F7" w:rsidRPr="00036EE3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0510F7" w:rsidRPr="00036EE3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0510F7" w:rsidRPr="00036EE3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0510F7" w:rsidRPr="00036EE3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0510F7" w:rsidRPr="00614CC6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0510F7" w:rsidRPr="00036EE3">
        <w:tc>
          <w:tcPr>
            <w:tcW w:w="1140" w:type="dxa"/>
            <w:shd w:val="clear" w:color="auto" w:fill="auto"/>
          </w:tcPr>
          <w:p w:rsidR="000510F7" w:rsidRPr="00592F9F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510F7" w:rsidRPr="00592F9F" w:rsidRDefault="000510F7" w:rsidP="003F0463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0510F7" w:rsidRPr="00036EE3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0510F7" w:rsidRPr="00614CC6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0510F7" w:rsidRPr="00036EE3">
        <w:tc>
          <w:tcPr>
            <w:tcW w:w="1140" w:type="dxa"/>
          </w:tcPr>
          <w:p w:rsidR="000510F7" w:rsidRPr="00614CC6" w:rsidRDefault="000510F7" w:rsidP="003F0463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510F7" w:rsidRPr="00614CC6" w:rsidRDefault="000510F7" w:rsidP="003F0463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0510F7" w:rsidRPr="00036EE3" w:rsidRDefault="000510F7" w:rsidP="003F0463">
      <w:pPr>
        <w:spacing w:before="0"/>
        <w:jc w:val="center"/>
        <w:rPr>
          <w:sz w:val="20"/>
          <w:lang w:val="en-US"/>
        </w:rPr>
      </w:pPr>
    </w:p>
    <w:p w:rsidR="000510F7" w:rsidRPr="00036EE3" w:rsidRDefault="000510F7" w:rsidP="003F0463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510F7" w:rsidRPr="00756B4D">
        <w:tc>
          <w:tcPr>
            <w:tcW w:w="9360" w:type="dxa"/>
          </w:tcPr>
          <w:p w:rsidR="000510F7" w:rsidRPr="00756B4D" w:rsidRDefault="000510F7" w:rsidP="003F0463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0510F7" w:rsidRPr="00756B4D" w:rsidRDefault="000510F7" w:rsidP="003F0463">
      <w:pPr>
        <w:spacing w:before="0"/>
        <w:jc w:val="center"/>
        <w:rPr>
          <w:sz w:val="22"/>
        </w:rPr>
      </w:pPr>
    </w:p>
    <w:p w:rsidR="000510F7" w:rsidRPr="00614CC6" w:rsidRDefault="000510F7" w:rsidP="003F0463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0510F7" w:rsidRPr="00614CC6" w:rsidRDefault="000510F7" w:rsidP="003F0463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12</w:t>
      </w:r>
    </w:p>
    <w:p w:rsidR="000510F7" w:rsidRPr="00614CC6" w:rsidRDefault="000510F7" w:rsidP="003F0463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12</w:t>
      </w:r>
    </w:p>
    <w:p w:rsidR="000510F7" w:rsidRPr="00614CC6" w:rsidRDefault="000510F7" w:rsidP="003F0463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0510F7" w:rsidRPr="00614CC6" w:rsidRDefault="000510F7" w:rsidP="003F0463">
      <w:pPr>
        <w:spacing w:before="160"/>
        <w:rPr>
          <w:i/>
          <w:sz w:val="20"/>
          <w:highlight w:val="yellow"/>
        </w:rPr>
        <w:sectPr w:rsidR="000510F7" w:rsidRPr="00614CC6" w:rsidSect="003F0463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510F7" w:rsidRDefault="000510F7" w:rsidP="003F0463">
      <w:pPr>
        <w:pStyle w:val="RecNo"/>
        <w:spacing w:before="0"/>
      </w:pPr>
      <w:bookmarkStart w:id="3" w:name="irecnoe"/>
      <w:bookmarkEnd w:id="3"/>
      <w:r>
        <w:lastRenderedPageBreak/>
        <w:t xml:space="preserve">RECOMMANDATION  </w:t>
      </w:r>
      <w:r>
        <w:rPr>
          <w:rStyle w:val="href"/>
        </w:rPr>
        <w:t>UIT-R  BT</w:t>
      </w:r>
      <w:bookmarkEnd w:id="0"/>
      <w:r>
        <w:rPr>
          <w:rStyle w:val="href"/>
        </w:rPr>
        <w:t>.1358-1</w:t>
      </w:r>
      <w:r w:rsidR="003F0463" w:rsidRPr="00856A29">
        <w:rPr>
          <w:rStyle w:val="FootnoteReference"/>
          <w:rFonts w:asciiTheme="majorBidi" w:hAnsiTheme="majorBidi" w:cstheme="majorBidi"/>
        </w:rPr>
        <w:footnoteReference w:customMarkFollows="1" w:id="1"/>
        <w:sym w:font="Symbol" w:char="F02A"/>
      </w:r>
    </w:p>
    <w:p w:rsidR="00CB3644" w:rsidRPr="00CB3644" w:rsidRDefault="00CB3644" w:rsidP="00CB3644">
      <w:pPr>
        <w:pStyle w:val="Rectitle"/>
      </w:pPr>
      <w:r w:rsidRPr="00CB3644">
        <w:t xml:space="preserve">Paramètres de studio des systèmes de télévision à </w:t>
      </w:r>
      <w:r w:rsidRPr="00CB3644">
        <w:br/>
        <w:t>balayage progressif 625 et 525 lignes</w:t>
      </w:r>
      <w:r w:rsidRPr="00856A29">
        <w:rPr>
          <w:rStyle w:val="FootnoteReference"/>
          <w:rFonts w:asciiTheme="majorBidi" w:hAnsiTheme="majorBidi" w:cstheme="majorBidi"/>
          <w:b w:val="0"/>
        </w:rPr>
        <w:footnoteReference w:customMarkFollows="1" w:id="2"/>
        <w:t>**</w:t>
      </w:r>
    </w:p>
    <w:p w:rsidR="00CB3644" w:rsidRPr="00CB3644" w:rsidRDefault="00CB3644" w:rsidP="00CB3644">
      <w:pPr>
        <w:pStyle w:val="Recref"/>
      </w:pPr>
      <w:r w:rsidRPr="00CB3644">
        <w:t>(Question UIT-R 1/6)</w:t>
      </w:r>
    </w:p>
    <w:p w:rsidR="00CB3644" w:rsidRPr="00CB3644" w:rsidRDefault="00CB3644" w:rsidP="00CB3644">
      <w:pPr>
        <w:pStyle w:val="Recdate"/>
      </w:pPr>
      <w:r w:rsidRPr="00CB3644">
        <w:t>(1998-2007)</w:t>
      </w:r>
    </w:p>
    <w:p w:rsidR="005D7F88" w:rsidRPr="00871D2E" w:rsidRDefault="005D7F88" w:rsidP="005D7F88">
      <w:pPr>
        <w:pStyle w:val="HeadingSum"/>
        <w:rPr>
          <w:lang w:val="fr-CH"/>
        </w:rPr>
      </w:pPr>
      <w:r>
        <w:rPr>
          <w:lang w:val="fr-CH"/>
        </w:rPr>
        <w:t>Champ d'appplication</w:t>
      </w:r>
    </w:p>
    <w:p w:rsidR="005D7F88" w:rsidRPr="00871D2E" w:rsidRDefault="005D7F88" w:rsidP="005D7F88">
      <w:pPr>
        <w:pStyle w:val="Summary"/>
        <w:rPr>
          <w:lang w:val="fr-CH"/>
        </w:rPr>
      </w:pPr>
      <w:r w:rsidRPr="00871D2E">
        <w:rPr>
          <w:lang w:val="fr-CH"/>
        </w:rPr>
        <w:t>La présente Recommandation définit les paramètres de signaux pour les systèmes à balayage progressif 625 et 525 lignes. On assure l'harmonisation des paramètres de signaux communs avec ceux de la Recommandation UIT-R BT.601 au moyen de références directes.</w:t>
      </w:r>
    </w:p>
    <w:p w:rsidR="005D7F88" w:rsidRPr="003C5395" w:rsidRDefault="005D7F88" w:rsidP="005D7F88">
      <w:pPr>
        <w:pStyle w:val="Normalaftertitle"/>
        <w:rPr>
          <w:rFonts w:asciiTheme="majorBidi" w:hAnsiTheme="majorBidi" w:cstheme="majorBidi"/>
        </w:rPr>
      </w:pPr>
      <w:r w:rsidRPr="003C5395">
        <w:rPr>
          <w:rFonts w:asciiTheme="majorBidi" w:hAnsiTheme="majorBidi" w:cstheme="majorBidi"/>
        </w:rPr>
        <w:t>L'Assemblée des radiocommunications de l'UIT,</w:t>
      </w:r>
    </w:p>
    <w:p w:rsidR="005D7F88" w:rsidRPr="005D7F88" w:rsidRDefault="005D7F88" w:rsidP="005D7F88">
      <w:pPr>
        <w:pStyle w:val="Call"/>
      </w:pPr>
      <w:r w:rsidRPr="005D7F88">
        <w:t>considérant</w:t>
      </w:r>
    </w:p>
    <w:p w:rsidR="005D7F88" w:rsidRPr="003C5395" w:rsidRDefault="005D7F88" w:rsidP="005D7F88">
      <w:pPr>
        <w:rPr>
          <w:rFonts w:asciiTheme="majorBidi" w:hAnsiTheme="majorBidi" w:cstheme="majorBidi"/>
          <w:lang w:val="fr-CH"/>
        </w:rPr>
      </w:pPr>
      <w:r w:rsidRPr="003C5395">
        <w:rPr>
          <w:rFonts w:asciiTheme="majorBidi" w:hAnsiTheme="majorBidi" w:cstheme="majorBidi"/>
          <w:lang w:val="fr-CH"/>
        </w:rPr>
        <w:t>a)</w:t>
      </w:r>
      <w:r w:rsidRPr="003C5395">
        <w:rPr>
          <w:rFonts w:asciiTheme="majorBidi" w:hAnsiTheme="majorBidi" w:cstheme="majorBidi"/>
          <w:lang w:val="fr-CH"/>
        </w:rPr>
        <w:tab/>
        <w:t>que des systèmes à balayage progressif ont été appliqués aux services analogiques améliorés et à la radiodiffusion télévisuelle numérique;</w:t>
      </w:r>
    </w:p>
    <w:p w:rsidR="005D7F88" w:rsidRPr="003C5395" w:rsidRDefault="005D7F88" w:rsidP="005D7F88">
      <w:pPr>
        <w:rPr>
          <w:rFonts w:asciiTheme="majorBidi" w:hAnsiTheme="majorBidi" w:cstheme="majorBidi"/>
          <w:lang w:val="fr-CH"/>
        </w:rPr>
      </w:pPr>
      <w:r w:rsidRPr="003C5395">
        <w:rPr>
          <w:rFonts w:asciiTheme="majorBidi" w:hAnsiTheme="majorBidi" w:cstheme="majorBidi"/>
          <w:lang w:val="fr-CH"/>
        </w:rPr>
        <w:t>b)</w:t>
      </w:r>
      <w:r w:rsidRPr="003C5395">
        <w:rPr>
          <w:rFonts w:asciiTheme="majorBidi" w:hAnsiTheme="majorBidi" w:cstheme="majorBidi"/>
          <w:lang w:val="fr-CH"/>
        </w:rPr>
        <w:tab/>
        <w:t>que le signal progressif offre une meilleure résolution verticale et temporelle que le signal de télévision à définition normale</w:t>
      </w:r>
      <w:r w:rsidRPr="003C5395">
        <w:rPr>
          <w:rStyle w:val="FootnoteReference"/>
          <w:rFonts w:asciiTheme="majorBidi" w:hAnsiTheme="majorBidi" w:cstheme="majorBidi"/>
        </w:rPr>
        <w:footnoteReference w:id="3"/>
      </w:r>
      <w:r w:rsidRPr="003C5395">
        <w:rPr>
          <w:rFonts w:asciiTheme="majorBidi" w:hAnsiTheme="majorBidi" w:cstheme="majorBidi"/>
          <w:lang w:val="fr-CH"/>
        </w:rPr>
        <w:t xml:space="preserve"> (TVDN) entrelacé à 525 et 625 lignes;</w:t>
      </w:r>
    </w:p>
    <w:p w:rsidR="005D7F88" w:rsidRPr="003C5395" w:rsidRDefault="005D7F88" w:rsidP="005D7F88">
      <w:pPr>
        <w:rPr>
          <w:rFonts w:asciiTheme="majorBidi" w:hAnsiTheme="majorBidi" w:cstheme="majorBidi"/>
          <w:lang w:val="fr-CH"/>
        </w:rPr>
      </w:pPr>
      <w:r w:rsidRPr="003C5395">
        <w:rPr>
          <w:rFonts w:asciiTheme="majorBidi" w:hAnsiTheme="majorBidi" w:cstheme="majorBidi"/>
          <w:lang w:val="fr-CH"/>
        </w:rPr>
        <w:t>c)</w:t>
      </w:r>
      <w:r w:rsidRPr="003C5395">
        <w:rPr>
          <w:rFonts w:asciiTheme="majorBidi" w:hAnsiTheme="majorBidi" w:cstheme="majorBidi"/>
          <w:lang w:val="fr-CH"/>
        </w:rPr>
        <w:tab/>
        <w:t>qu'il doit y avoir la plus grande similitude possible entre les valeurs de paramètre applicables aux systèmes progressifs et celles applicables aux systèmes TVDN et aux systèmes de télévision haute définition</w:t>
      </w:r>
      <w:r w:rsidRPr="003C5395">
        <w:rPr>
          <w:rStyle w:val="FootnoteReference"/>
          <w:rFonts w:asciiTheme="majorBidi" w:hAnsiTheme="majorBidi" w:cstheme="majorBidi"/>
        </w:rPr>
        <w:footnoteReference w:id="4"/>
      </w:r>
      <w:r w:rsidRPr="003C5395">
        <w:rPr>
          <w:rFonts w:asciiTheme="majorBidi" w:hAnsiTheme="majorBidi" w:cstheme="majorBidi"/>
          <w:lang w:val="fr-CH"/>
        </w:rPr>
        <w:t xml:space="preserve"> (TVHD) existants;</w:t>
      </w:r>
    </w:p>
    <w:p w:rsidR="005D7F88" w:rsidRPr="003C5395" w:rsidRDefault="005D7F88" w:rsidP="005D7F88">
      <w:pPr>
        <w:rPr>
          <w:rFonts w:asciiTheme="majorBidi" w:hAnsiTheme="majorBidi" w:cstheme="majorBidi"/>
          <w:lang w:val="fr-CH"/>
        </w:rPr>
      </w:pPr>
      <w:r w:rsidRPr="003C5395">
        <w:rPr>
          <w:rFonts w:asciiTheme="majorBidi" w:hAnsiTheme="majorBidi" w:cstheme="majorBidi"/>
          <w:lang w:val="fr-CH"/>
        </w:rPr>
        <w:t>d)</w:t>
      </w:r>
      <w:r w:rsidRPr="003C5395">
        <w:rPr>
          <w:rFonts w:asciiTheme="majorBidi" w:hAnsiTheme="majorBidi" w:cstheme="majorBidi"/>
          <w:lang w:val="fr-CH"/>
        </w:rPr>
        <w:tab/>
        <w:t>qu'on peut, par conversion ascendante, obtenir des systèmes à balayage progressif à partir de systèmes TVDN entrelacés à 625 et 525 lignes;</w:t>
      </w:r>
    </w:p>
    <w:p w:rsidR="005D7F88" w:rsidRPr="003C5395" w:rsidRDefault="005D7F88" w:rsidP="005D7F88">
      <w:pPr>
        <w:rPr>
          <w:rFonts w:asciiTheme="majorBidi" w:hAnsiTheme="majorBidi" w:cstheme="majorBidi"/>
          <w:lang w:val="fr-CH"/>
        </w:rPr>
      </w:pPr>
      <w:r w:rsidRPr="003C5395">
        <w:rPr>
          <w:rFonts w:asciiTheme="majorBidi" w:hAnsiTheme="majorBidi" w:cstheme="majorBidi"/>
          <w:lang w:val="fr-CH"/>
        </w:rPr>
        <w:t>e)</w:t>
      </w:r>
      <w:r w:rsidRPr="003C5395">
        <w:rPr>
          <w:rFonts w:asciiTheme="majorBidi" w:hAnsiTheme="majorBidi" w:cstheme="majorBidi"/>
          <w:lang w:val="fr-CH"/>
        </w:rPr>
        <w:tab/>
        <w:t>qu'on peut, par conversion descendante, obtenir des systèmes à balayage progressif 625 et 525 lignes à partir de systèmes TVHD qui mettront en œuvre des paramètres de colorimétrie unifiés reconnus au niveau international;</w:t>
      </w:r>
    </w:p>
    <w:p w:rsidR="005D7F88" w:rsidRPr="003C5395" w:rsidRDefault="005D7F88" w:rsidP="005D7F88">
      <w:pPr>
        <w:rPr>
          <w:rFonts w:asciiTheme="majorBidi" w:hAnsiTheme="majorBidi" w:cstheme="majorBidi"/>
          <w:lang w:val="fr-CH"/>
        </w:rPr>
      </w:pPr>
      <w:r w:rsidRPr="003C5395">
        <w:rPr>
          <w:rFonts w:asciiTheme="majorBidi" w:hAnsiTheme="majorBidi" w:cstheme="majorBidi"/>
          <w:lang w:val="fr-CH"/>
        </w:rPr>
        <w:t>f)</w:t>
      </w:r>
      <w:r w:rsidRPr="003C5395">
        <w:rPr>
          <w:rFonts w:asciiTheme="majorBidi" w:hAnsiTheme="majorBidi" w:cstheme="majorBidi"/>
          <w:lang w:val="fr-CH"/>
        </w:rPr>
        <w:tab/>
        <w:t>qu'avec les deux méthodes ci-dessus on pourrait avoir des systèmes présentant des paramètres différents, signaux de colorimétrie et de synchronisation, par exemple,</w:t>
      </w:r>
    </w:p>
    <w:p w:rsidR="005D7F88" w:rsidRPr="003C5395" w:rsidRDefault="005D7F88" w:rsidP="005D7F88">
      <w:pPr>
        <w:pStyle w:val="Call"/>
      </w:pPr>
      <w:r w:rsidRPr="005D7F88">
        <w:t>recommande</w:t>
      </w:r>
    </w:p>
    <w:p w:rsidR="005D7F88" w:rsidRPr="003C5395" w:rsidRDefault="005D7F88" w:rsidP="005D7F88">
      <w:pPr>
        <w:rPr>
          <w:rFonts w:asciiTheme="majorBidi" w:hAnsiTheme="majorBidi" w:cstheme="majorBidi"/>
          <w:lang w:val="fr-CH"/>
        </w:rPr>
      </w:pPr>
      <w:r w:rsidRPr="003C5395">
        <w:rPr>
          <w:rFonts w:asciiTheme="majorBidi" w:hAnsiTheme="majorBidi" w:cstheme="majorBidi"/>
          <w:b/>
          <w:lang w:val="fr-CH"/>
        </w:rPr>
        <w:t>1</w:t>
      </w:r>
      <w:r w:rsidRPr="003C5395">
        <w:rPr>
          <w:rFonts w:asciiTheme="majorBidi" w:hAnsiTheme="majorBidi" w:cstheme="majorBidi"/>
          <w:b/>
          <w:lang w:val="fr-CH"/>
        </w:rPr>
        <w:tab/>
      </w:r>
      <w:r w:rsidRPr="003C5395">
        <w:rPr>
          <w:rFonts w:asciiTheme="majorBidi" w:hAnsiTheme="majorBidi" w:cstheme="majorBidi"/>
          <w:lang w:val="fr-CH"/>
        </w:rPr>
        <w:t>d'utiliser pour les systèmes de TVDN à balayage progressif 625 et 525 lignes, les paramètres suivants établis à partir de ceux des systèmes TVDN entrelacés.</w:t>
      </w:r>
    </w:p>
    <w:p w:rsidR="005D7F88" w:rsidRDefault="005D7F88" w:rsidP="005D7F88">
      <w:pPr>
        <w:rPr>
          <w:b/>
          <w:sz w:val="28"/>
        </w:rPr>
      </w:pPr>
      <w:r w:rsidRPr="00615ECD">
        <w:rPr>
          <w:lang w:val="fr-CH"/>
        </w:rPr>
        <w:br w:type="page"/>
      </w:r>
    </w:p>
    <w:p w:rsidR="005D7F88" w:rsidRDefault="005D7F88" w:rsidP="005D7F88">
      <w:pPr>
        <w:pStyle w:val="AnnexNoTitle"/>
      </w:pPr>
      <w:r>
        <w:lastRenderedPageBreak/>
        <w:t>Annexe 1</w:t>
      </w:r>
      <w:r>
        <w:br/>
      </w:r>
      <w:r>
        <w:br/>
        <w:t>Valeurs de paramètre du signal pour les systèmes à balayage</w:t>
      </w:r>
      <w:r>
        <w:br/>
        <w:t>progressif TVDN 625/50/P et 525/59.94/P calculées à partir</w:t>
      </w:r>
      <w:r>
        <w:br/>
        <w:t>des normes applicables aux systèmes TVDN</w:t>
      </w:r>
      <w:r>
        <w:br/>
        <w:t>entrelacés à 625 et 525 lignes</w:t>
      </w:r>
    </w:p>
    <w:p w:rsidR="005D7F88" w:rsidRDefault="005D7F88" w:rsidP="005D7F88">
      <w:pPr>
        <w:pStyle w:val="Heading1"/>
      </w:pPr>
      <w:r>
        <w:t>1</w:t>
      </w:r>
      <w:r>
        <w:tab/>
        <w:t>Conversion optoélectronique</w:t>
      </w:r>
    </w:p>
    <w:p w:rsidR="005D7F88" w:rsidRPr="00C92BEC" w:rsidRDefault="005D7F88" w:rsidP="005D7F88"/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0"/>
        <w:gridCol w:w="3707"/>
        <w:gridCol w:w="2613"/>
        <w:gridCol w:w="2649"/>
      </w:tblGrid>
      <w:tr w:rsidR="005D7F88" w:rsidTr="003F0463">
        <w:trPr>
          <w:jc w:val="center"/>
        </w:trPr>
        <w:tc>
          <w:tcPr>
            <w:tcW w:w="670" w:type="dxa"/>
            <w:tcBorders>
              <w:bottom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</w:p>
        </w:tc>
        <w:tc>
          <w:tcPr>
            <w:tcW w:w="8969" w:type="dxa"/>
            <w:gridSpan w:val="3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Caractéristiques</w:t>
            </w:r>
          </w:p>
        </w:tc>
      </w:tr>
      <w:tr w:rsidR="005D7F88" w:rsidTr="003F0463">
        <w:trPr>
          <w:jc w:val="center"/>
        </w:trPr>
        <w:tc>
          <w:tcPr>
            <w:tcW w:w="670" w:type="dxa"/>
            <w:tcBorders>
              <w:top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Point</w:t>
            </w:r>
          </w:p>
        </w:tc>
        <w:tc>
          <w:tcPr>
            <w:tcW w:w="3707" w:type="dxa"/>
            <w:tcBorders>
              <w:top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Paramètre</w:t>
            </w:r>
          </w:p>
        </w:tc>
        <w:tc>
          <w:tcPr>
            <w:tcW w:w="2613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2649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525/59.94/P</w:t>
            </w:r>
          </w:p>
        </w:tc>
      </w:tr>
      <w:tr w:rsidR="005D7F88" w:rsidRPr="00A3052D" w:rsidTr="003F0463">
        <w:trPr>
          <w:jc w:val="center"/>
        </w:trPr>
        <w:tc>
          <w:tcPr>
            <w:tcW w:w="670" w:type="dxa"/>
            <w:tcBorders>
              <w:top w:val="nil"/>
              <w:bottom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1.1</w:t>
            </w:r>
          </w:p>
        </w:tc>
        <w:tc>
          <w:tcPr>
            <w:tcW w:w="3707" w:type="dxa"/>
            <w:tcBorders>
              <w:top w:val="single" w:sz="6" w:space="0" w:color="auto"/>
              <w:bottom w:val="nil"/>
            </w:tcBorders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Cordonnées de chromaticité, CIE 1931</w:t>
            </w:r>
            <w:r>
              <w:rPr>
                <w:position w:val="6"/>
                <w:sz w:val="14"/>
                <w:lang w:val="fr-FR"/>
              </w:rPr>
              <w:t>(1)</w:t>
            </w:r>
          </w:p>
        </w:tc>
        <w:tc>
          <w:tcPr>
            <w:tcW w:w="5262" w:type="dxa"/>
            <w:gridSpan w:val="2"/>
            <w:vAlign w:val="center"/>
          </w:tcPr>
          <w:p w:rsidR="005D7F88" w:rsidRPr="00925359" w:rsidRDefault="005D7F88" w:rsidP="003F0463">
            <w:pPr>
              <w:pStyle w:val="TableText0"/>
              <w:jc w:val="center"/>
              <w:rPr>
                <w:iCs/>
                <w:lang w:val="fr-FR"/>
              </w:rPr>
            </w:pPr>
            <w:r w:rsidRPr="00F35165">
              <w:rPr>
                <w:lang w:val="fr-FR"/>
              </w:rPr>
              <w:t xml:space="preserve">Voir </w:t>
            </w:r>
            <w:r>
              <w:rPr>
                <w:lang w:val="fr-FR"/>
              </w:rPr>
              <w:t xml:space="preserve">le § </w:t>
            </w:r>
            <w:r w:rsidRPr="00F35165">
              <w:rPr>
                <w:lang w:val="fr-FR"/>
              </w:rPr>
              <w:t>3.6.1 de la Recommandation UIT-R BT.601</w:t>
            </w:r>
          </w:p>
        </w:tc>
      </w:tr>
      <w:tr w:rsidR="005D7F88" w:rsidRPr="00A3052D" w:rsidTr="003F0463">
        <w:trPr>
          <w:trHeight w:val="1203"/>
          <w:jc w:val="center"/>
        </w:trPr>
        <w:tc>
          <w:tcPr>
            <w:tcW w:w="67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1.2</w:t>
            </w:r>
          </w:p>
        </w:tc>
        <w:tc>
          <w:tcPr>
            <w:tcW w:w="3707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 xml:space="preserve">Chromaticité supposée pour des signaux </w:t>
            </w:r>
            <w:r>
              <w:rPr>
                <w:lang w:val="fr-FR"/>
              </w:rPr>
              <w:br/>
              <w:t>primaires égaux  – Blanc de référence</w:t>
            </w:r>
          </w:p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</w:p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i/>
                <w:iCs/>
                <w:lang w:val="fr-FR"/>
              </w:rPr>
              <w:t>E</w:t>
            </w:r>
            <w:r>
              <w:rPr>
                <w:i/>
                <w:iCs/>
                <w:position w:val="-4"/>
                <w:sz w:val="14"/>
              </w:rPr>
              <w:t>R</w:t>
            </w:r>
            <w:r>
              <w:rPr>
                <w:lang w:val="fr-FR"/>
              </w:rPr>
              <w:t xml:space="preserve"> </w:t>
            </w:r>
            <w:r w:rsidRPr="00871D2E">
              <w:t>=</w:t>
            </w:r>
            <w:r>
              <w:rPr>
                <w:lang w:val="fr-FR"/>
              </w:rPr>
              <w:t xml:space="preserve"> </w:t>
            </w:r>
            <w:r>
              <w:rPr>
                <w:i/>
                <w:iCs/>
              </w:rPr>
              <w:t>E</w:t>
            </w:r>
            <w:r>
              <w:rPr>
                <w:i/>
                <w:iCs/>
                <w:position w:val="-4"/>
                <w:sz w:val="14"/>
              </w:rPr>
              <w:t>G</w:t>
            </w:r>
            <w:r>
              <w:rPr>
                <w:lang w:val="fr-FR"/>
              </w:rPr>
              <w:t xml:space="preserve"> </w:t>
            </w:r>
            <w:r w:rsidRPr="00871D2E">
              <w:t>=</w:t>
            </w:r>
            <w:r>
              <w:rPr>
                <w:lang w:val="fr-FR"/>
              </w:rPr>
              <w:t xml:space="preserve"> </w:t>
            </w:r>
            <w:r>
              <w:rPr>
                <w:i/>
                <w:iCs/>
                <w:lang w:val="fr-FR"/>
              </w:rPr>
              <w:t>E</w:t>
            </w:r>
            <w:r>
              <w:rPr>
                <w:i/>
                <w:iCs/>
                <w:position w:val="-4"/>
                <w:sz w:val="14"/>
              </w:rPr>
              <w:t>B</w:t>
            </w:r>
          </w:p>
        </w:tc>
        <w:tc>
          <w:tcPr>
            <w:tcW w:w="5262" w:type="dxa"/>
            <w:gridSpan w:val="2"/>
            <w:vAlign w:val="center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Voir le § 3.6.2</w:t>
            </w:r>
            <w:r w:rsidRPr="00F35165">
              <w:rPr>
                <w:lang w:val="fr-FR"/>
              </w:rPr>
              <w:t xml:space="preserve"> de la Recommandation UIT-R BT.601</w:t>
            </w:r>
          </w:p>
        </w:tc>
      </w:tr>
      <w:tr w:rsidR="005D7F88" w:rsidRPr="00A3052D" w:rsidTr="003F0463">
        <w:trPr>
          <w:jc w:val="center"/>
        </w:trPr>
        <w:tc>
          <w:tcPr>
            <w:tcW w:w="670" w:type="dxa"/>
            <w:tcBorders>
              <w:bottom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1.3</w:t>
            </w:r>
          </w:p>
        </w:tc>
        <w:tc>
          <w:tcPr>
            <w:tcW w:w="3707" w:type="dxa"/>
            <w:tcBorders>
              <w:bottom w:val="nil"/>
            </w:tcBorders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Caractéristique de transfert optoélectronique avant précorrection non linéaire</w:t>
            </w:r>
          </w:p>
        </w:tc>
        <w:tc>
          <w:tcPr>
            <w:tcW w:w="5262" w:type="dxa"/>
            <w:gridSpan w:val="2"/>
            <w:tcBorders>
              <w:bottom w:val="nil"/>
            </w:tcBorders>
            <w:vAlign w:val="center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Voir le § 3.6.3</w:t>
            </w:r>
            <w:r w:rsidRPr="00F35165">
              <w:rPr>
                <w:lang w:val="fr-FR"/>
              </w:rPr>
              <w:t xml:space="preserve"> de la Recommandation UIT-R BT.601</w:t>
            </w:r>
          </w:p>
        </w:tc>
      </w:tr>
      <w:tr w:rsidR="005D7F88" w:rsidRPr="00A3052D" w:rsidTr="003F0463">
        <w:trPr>
          <w:jc w:val="center"/>
        </w:trPr>
        <w:tc>
          <w:tcPr>
            <w:tcW w:w="67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1.4</w:t>
            </w:r>
          </w:p>
        </w:tc>
        <w:tc>
          <w:tcPr>
            <w:tcW w:w="3707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Caractéristique de transfert optoélectronique globale à la source</w:t>
            </w:r>
          </w:p>
        </w:tc>
        <w:tc>
          <w:tcPr>
            <w:tcW w:w="5262" w:type="dxa"/>
            <w:gridSpan w:val="2"/>
            <w:vAlign w:val="center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Voir le § 3.6.4</w:t>
            </w:r>
            <w:r w:rsidRPr="00F35165">
              <w:rPr>
                <w:lang w:val="fr-FR"/>
              </w:rPr>
              <w:t xml:space="preserve"> de la Recommandation UIT-R BT.601</w:t>
            </w:r>
          </w:p>
        </w:tc>
      </w:tr>
      <w:tr w:rsidR="005D7F88" w:rsidRPr="00A3052D" w:rsidTr="003F0463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5D7F88" w:rsidRDefault="005D7F88" w:rsidP="003F0463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ind w:left="284" w:hanging="284"/>
              <w:rPr>
                <w:lang w:val="fr-FR"/>
              </w:rPr>
            </w:pPr>
            <w:r w:rsidRPr="0049525B">
              <w:rPr>
                <w:position w:val="6"/>
                <w:sz w:val="14"/>
                <w:lang w:val="fr-FR"/>
              </w:rPr>
              <w:t>(1)</w:t>
            </w:r>
            <w:r>
              <w:rPr>
                <w:vertAlign w:val="superscript"/>
                <w:lang w:val="fr-FR"/>
              </w:rPr>
              <w:tab/>
            </w:r>
            <w:r>
              <w:rPr>
                <w:lang w:val="fr-FR"/>
              </w:rPr>
              <w:t>Les coordonnées de chromaticité indiquées sont celles actuellement utilisées par les systèmes TVDN entrelacés à 625 et 525 lignes.</w:t>
            </w:r>
          </w:p>
        </w:tc>
      </w:tr>
    </w:tbl>
    <w:p w:rsidR="005D7F88" w:rsidRDefault="005D7F88" w:rsidP="005D7F88">
      <w:pPr>
        <w:pStyle w:val="Tablefin"/>
        <w:rPr>
          <w:lang w:val="fr-FR"/>
        </w:rPr>
      </w:pPr>
    </w:p>
    <w:p w:rsidR="005D7F88" w:rsidRDefault="005D7F88" w:rsidP="005D7F88">
      <w:pPr>
        <w:pStyle w:val="Note"/>
      </w:pPr>
      <w:r>
        <w:t>NOTE 1 – Voir la Recommandation UIT-R BT.1361 – Caractéristiques colorimétriques et caractéristiques connexes unifiées à l'échelle mondiale des futurs systèmes de télévision et d'imagerie.</w:t>
      </w:r>
    </w:p>
    <w:p w:rsidR="005D7F88" w:rsidRDefault="005D7F88" w:rsidP="005D7F88">
      <w:pPr>
        <w:pStyle w:val="Heading1"/>
      </w:pPr>
      <w:r>
        <w:t>2</w:t>
      </w:r>
      <w:r>
        <w:tab/>
        <w:t>Caractéristiques de l'image et caractéristiques de balayage</w:t>
      </w:r>
    </w:p>
    <w:p w:rsidR="005D7F88" w:rsidRDefault="005D7F88" w:rsidP="005D7F88"/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3634"/>
        <w:gridCol w:w="2541"/>
        <w:gridCol w:w="2714"/>
      </w:tblGrid>
      <w:tr w:rsidR="005D7F88" w:rsidTr="003F0463">
        <w:trPr>
          <w:jc w:val="center"/>
        </w:trPr>
        <w:tc>
          <w:tcPr>
            <w:tcW w:w="761" w:type="dxa"/>
            <w:tcBorders>
              <w:bottom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</w:p>
        </w:tc>
        <w:tc>
          <w:tcPr>
            <w:tcW w:w="9073" w:type="dxa"/>
            <w:gridSpan w:val="3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Caractéristiques</w:t>
            </w:r>
          </w:p>
        </w:tc>
      </w:tr>
      <w:tr w:rsidR="005D7F88" w:rsidTr="003F0463">
        <w:trPr>
          <w:jc w:val="center"/>
        </w:trPr>
        <w:tc>
          <w:tcPr>
            <w:tcW w:w="761" w:type="dxa"/>
            <w:tcBorders>
              <w:top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Point</w:t>
            </w:r>
          </w:p>
        </w:tc>
        <w:tc>
          <w:tcPr>
            <w:tcW w:w="3710" w:type="dxa"/>
            <w:tcBorders>
              <w:top w:val="nil"/>
            </w:tcBorders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Paramètre</w:t>
            </w:r>
          </w:p>
        </w:tc>
        <w:tc>
          <w:tcPr>
            <w:tcW w:w="2593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277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525/59.94/P</w:t>
            </w:r>
          </w:p>
        </w:tc>
      </w:tr>
      <w:tr w:rsidR="005D7F88" w:rsidRPr="00A3052D" w:rsidTr="003F0463">
        <w:trPr>
          <w:jc w:val="center"/>
        </w:trPr>
        <w:tc>
          <w:tcPr>
            <w:tcW w:w="761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2.1</w:t>
            </w:r>
          </w:p>
        </w:tc>
        <w:tc>
          <w:tcPr>
            <w:tcW w:w="3710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Ordre de balayage</w:t>
            </w:r>
          </w:p>
        </w:tc>
        <w:tc>
          <w:tcPr>
            <w:tcW w:w="5363" w:type="dxa"/>
            <w:gridSpan w:val="2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De gauche à droite et de haut en bas</w:t>
            </w:r>
          </w:p>
        </w:tc>
      </w:tr>
      <w:tr w:rsidR="005D7F88" w:rsidTr="003F0463">
        <w:trPr>
          <w:jc w:val="center"/>
        </w:trPr>
        <w:tc>
          <w:tcPr>
            <w:tcW w:w="761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2.2</w:t>
            </w:r>
          </w:p>
        </w:tc>
        <w:tc>
          <w:tcPr>
            <w:tcW w:w="3710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 xml:space="preserve">Format de balayage </w:t>
            </w:r>
          </w:p>
        </w:tc>
        <w:tc>
          <w:tcPr>
            <w:tcW w:w="5363" w:type="dxa"/>
            <w:gridSpan w:val="2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Progressif</w:t>
            </w:r>
          </w:p>
        </w:tc>
      </w:tr>
      <w:tr w:rsidR="005D7F88" w:rsidTr="003F0463">
        <w:trPr>
          <w:jc w:val="center"/>
        </w:trPr>
        <w:tc>
          <w:tcPr>
            <w:tcW w:w="761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2.3</w:t>
            </w:r>
          </w:p>
        </w:tc>
        <w:tc>
          <w:tcPr>
            <w:tcW w:w="3710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Fréquence image (Hz)</w:t>
            </w:r>
          </w:p>
        </w:tc>
        <w:tc>
          <w:tcPr>
            <w:tcW w:w="2593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</w:tc>
        <w:tc>
          <w:tcPr>
            <w:tcW w:w="277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60/1,001</w:t>
            </w:r>
          </w:p>
        </w:tc>
      </w:tr>
      <w:tr w:rsidR="005D7F88" w:rsidTr="003F0463">
        <w:trPr>
          <w:jc w:val="center"/>
        </w:trPr>
        <w:tc>
          <w:tcPr>
            <w:tcW w:w="761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2.4</w:t>
            </w:r>
          </w:p>
        </w:tc>
        <w:tc>
          <w:tcPr>
            <w:tcW w:w="3710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Nombre total de lignes</w:t>
            </w:r>
          </w:p>
        </w:tc>
        <w:tc>
          <w:tcPr>
            <w:tcW w:w="2593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625</w:t>
            </w:r>
          </w:p>
        </w:tc>
        <w:tc>
          <w:tcPr>
            <w:tcW w:w="277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525</w:t>
            </w:r>
          </w:p>
        </w:tc>
      </w:tr>
      <w:tr w:rsidR="005D7F88" w:rsidTr="003F0463">
        <w:trPr>
          <w:jc w:val="center"/>
        </w:trPr>
        <w:tc>
          <w:tcPr>
            <w:tcW w:w="761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2.5</w:t>
            </w:r>
          </w:p>
        </w:tc>
        <w:tc>
          <w:tcPr>
            <w:tcW w:w="3710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Nombre de lignes actives par image</w:t>
            </w:r>
          </w:p>
        </w:tc>
        <w:tc>
          <w:tcPr>
            <w:tcW w:w="2593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576 (lignes 45 – 620)</w:t>
            </w:r>
          </w:p>
        </w:tc>
        <w:tc>
          <w:tcPr>
            <w:tcW w:w="277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483 (lignes 43 – 525)</w:t>
            </w:r>
          </w:p>
        </w:tc>
      </w:tr>
      <w:tr w:rsidR="005D7F88" w:rsidTr="003F0463">
        <w:trPr>
          <w:jc w:val="center"/>
        </w:trPr>
        <w:tc>
          <w:tcPr>
            <w:tcW w:w="761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2.6</w:t>
            </w:r>
          </w:p>
        </w:tc>
        <w:tc>
          <w:tcPr>
            <w:tcW w:w="3710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Format d'image</w:t>
            </w:r>
            <w:r>
              <w:rPr>
                <w:position w:val="6"/>
                <w:sz w:val="14"/>
                <w:lang w:val="fr-FR"/>
              </w:rPr>
              <w:t>(</w:t>
            </w:r>
            <w:r>
              <w:rPr>
                <w:position w:val="6"/>
                <w:sz w:val="14"/>
              </w:rPr>
              <w:t>1)</w:t>
            </w:r>
          </w:p>
        </w:tc>
        <w:tc>
          <w:tcPr>
            <w:tcW w:w="5363" w:type="dxa"/>
            <w:gridSpan w:val="2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16:9 (4:3)</w:t>
            </w:r>
          </w:p>
        </w:tc>
      </w:tr>
      <w:tr w:rsidR="005D7F88" w:rsidTr="003F0463">
        <w:trPr>
          <w:jc w:val="center"/>
        </w:trPr>
        <w:tc>
          <w:tcPr>
            <w:tcW w:w="761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2.7</w:t>
            </w:r>
          </w:p>
        </w:tc>
        <w:tc>
          <w:tcPr>
            <w:tcW w:w="3710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Fréquence de ligne (Hz)</w:t>
            </w:r>
          </w:p>
        </w:tc>
        <w:tc>
          <w:tcPr>
            <w:tcW w:w="2593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31</w:t>
            </w:r>
            <w:r>
              <w:rPr>
                <w:rFonts w:ascii="Tms Rmn" w:hAnsi="Tms Rmn"/>
                <w:sz w:val="12"/>
                <w:lang w:val="fr-FR"/>
              </w:rPr>
              <w:t> </w:t>
            </w:r>
            <w:r>
              <w:rPr>
                <w:lang w:val="fr-FR"/>
              </w:rPr>
              <w:t xml:space="preserve">250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0,0001%</w:t>
            </w:r>
          </w:p>
        </w:tc>
        <w:tc>
          <w:tcPr>
            <w:tcW w:w="277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31</w:t>
            </w:r>
            <w:r>
              <w:rPr>
                <w:rFonts w:ascii="Tms Rmn" w:hAnsi="Tms Rmn"/>
                <w:sz w:val="12"/>
                <w:lang w:val="fr-FR"/>
              </w:rPr>
              <w:t> </w:t>
            </w:r>
            <w:r>
              <w:rPr>
                <w:lang w:val="fr-FR"/>
              </w:rPr>
              <w:t xml:space="preserve">500/1,001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3 ppm</w:t>
            </w:r>
          </w:p>
        </w:tc>
      </w:tr>
      <w:tr w:rsidR="005D7F88" w:rsidRPr="00A3052D" w:rsidTr="003F0463">
        <w:trPr>
          <w:jc w:val="center"/>
        </w:trPr>
        <w:tc>
          <w:tcPr>
            <w:tcW w:w="9834" w:type="dxa"/>
            <w:gridSpan w:val="4"/>
            <w:tcBorders>
              <w:left w:val="nil"/>
              <w:bottom w:val="nil"/>
              <w:right w:val="nil"/>
            </w:tcBorders>
          </w:tcPr>
          <w:p w:rsidR="005D7F88" w:rsidRDefault="005D7F88" w:rsidP="003F0463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ind w:left="284" w:hanging="284"/>
              <w:rPr>
                <w:lang w:val="fr-FR"/>
              </w:rPr>
            </w:pPr>
            <w:r w:rsidRPr="0049525B">
              <w:rPr>
                <w:position w:val="6"/>
                <w:sz w:val="14"/>
                <w:lang w:val="fr-FR"/>
              </w:rPr>
              <w:t>(1)</w:t>
            </w:r>
            <w:r>
              <w:rPr>
                <w:vertAlign w:val="superscript"/>
                <w:lang w:val="fr-FR"/>
              </w:rPr>
              <w:tab/>
            </w:r>
            <w:r>
              <w:rPr>
                <w:lang w:val="fr-FR"/>
              </w:rPr>
              <w:t>Pour les applications de TVHD, le format d'image utilisé sera normalement le format 16:9. Il est possible que des systèmes TVDN à balayage progressif aient un format d'image de 16:9 ou 4:3. Les paramètres applicables à ces systèmes sont indiqués entre parenthèses, par exemple (4:3).</w:t>
            </w:r>
          </w:p>
        </w:tc>
      </w:tr>
    </w:tbl>
    <w:p w:rsidR="005D7F88" w:rsidRDefault="005D7F88" w:rsidP="005D7F88">
      <w:pPr>
        <w:pStyle w:val="Tablefin"/>
        <w:rPr>
          <w:lang w:val="fr-FR"/>
        </w:rPr>
      </w:pPr>
    </w:p>
    <w:p w:rsidR="005D7F88" w:rsidRDefault="005D7F88" w:rsidP="005D7F88">
      <w:pPr>
        <w:pStyle w:val="Heading1"/>
      </w:pPr>
      <w:r>
        <w:lastRenderedPageBreak/>
        <w:t>3</w:t>
      </w:r>
      <w:r>
        <w:tab/>
        <w:t>Représentation analogique</w:t>
      </w:r>
    </w:p>
    <w:p w:rsidR="005D7F88" w:rsidRPr="003C5395" w:rsidRDefault="005D7F88" w:rsidP="005D7F88">
      <w:pPr>
        <w:rPr>
          <w:lang w:val="fr-CH"/>
        </w:rPr>
      </w:pPr>
      <w:r w:rsidRPr="003C5395">
        <w:rPr>
          <w:lang w:val="fr-CH"/>
        </w:rPr>
        <w:t xml:space="preserve">Les termes </w:t>
      </w:r>
      <w:r w:rsidRPr="007230E5">
        <w:rPr>
          <w:position w:val="-14"/>
        </w:rPr>
        <w:object w:dxaOrig="387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15pt;height:17.7pt" o:ole="">
            <v:imagedata r:id="rId13" o:title=""/>
          </v:shape>
          <o:OLEObject Type="Embed" ProgID="Equation.3" ShapeID="_x0000_i1025" DrawAspect="Content" ObjectID="_1411284968" r:id="rId14"/>
        </w:object>
      </w:r>
      <w:r w:rsidRPr="003C5395">
        <w:rPr>
          <w:lang w:val="fr-CH"/>
        </w:rPr>
        <w:t xml:space="preserve"> renvoient à des signaux gamma précorrigés.</w:t>
      </w:r>
    </w:p>
    <w:p w:rsidR="005D7F88" w:rsidRPr="003C5395" w:rsidRDefault="005D7F88" w:rsidP="005D7F88">
      <w:pPr>
        <w:rPr>
          <w:lang w:val="fr-CH"/>
        </w:rPr>
      </w:pPr>
      <w:r w:rsidRPr="003C5395">
        <w:rPr>
          <w:lang w:val="fr-CH"/>
        </w:rPr>
        <w:t>Les niveaux sont exprimés en millivolts mesurés au bord d'une résistance terminale adaptée de 75 </w:t>
      </w:r>
      <w:r>
        <w:sym w:font="Symbol" w:char="F057"/>
      </w:r>
      <w:r w:rsidRPr="003C5395">
        <w:rPr>
          <w:lang w:val="fr-CH"/>
        </w:rPr>
        <w:t>.</w:t>
      </w:r>
    </w:p>
    <w:p w:rsidR="005D7F88" w:rsidRPr="003C5395" w:rsidRDefault="005D7F88" w:rsidP="005D7F88">
      <w:pPr>
        <w:rPr>
          <w:lang w:val="fr-CH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0"/>
        <w:gridCol w:w="4191"/>
        <w:gridCol w:w="2395"/>
        <w:gridCol w:w="2383"/>
      </w:tblGrid>
      <w:tr w:rsidR="005D7F88" w:rsidRPr="00502913" w:rsidTr="003F0463">
        <w:trPr>
          <w:jc w:val="center"/>
        </w:trPr>
        <w:tc>
          <w:tcPr>
            <w:tcW w:w="663" w:type="dxa"/>
            <w:tcBorders>
              <w:bottom w:val="nil"/>
            </w:tcBorders>
          </w:tcPr>
          <w:p w:rsidR="005D7F88" w:rsidRPr="003C5395" w:rsidRDefault="005D7F88" w:rsidP="003F0463">
            <w:pPr>
              <w:pStyle w:val="TableText0"/>
              <w:jc w:val="center"/>
              <w:rPr>
                <w:lang w:val="fr-CH"/>
              </w:rPr>
            </w:pPr>
          </w:p>
        </w:tc>
        <w:tc>
          <w:tcPr>
            <w:tcW w:w="8886" w:type="dxa"/>
            <w:gridSpan w:val="3"/>
          </w:tcPr>
          <w:p w:rsidR="005D7F88" w:rsidRPr="00CA03F6" w:rsidRDefault="005D7F88" w:rsidP="003F0463">
            <w:pPr>
              <w:pStyle w:val="TableText0"/>
              <w:jc w:val="center"/>
              <w:rPr>
                <w:lang w:val="fr-CH"/>
              </w:rPr>
            </w:pPr>
            <w:r w:rsidRPr="00CA03F6">
              <w:rPr>
                <w:lang w:val="fr-CH"/>
              </w:rPr>
              <w:t>Caractéristiques</w: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  <w:tcBorders>
              <w:top w:val="nil"/>
            </w:tcBorders>
          </w:tcPr>
          <w:p w:rsidR="005D7F88" w:rsidRPr="00502913" w:rsidRDefault="005D7F88" w:rsidP="003F0463">
            <w:pPr>
              <w:pStyle w:val="TableText0"/>
              <w:jc w:val="center"/>
            </w:pPr>
            <w:r>
              <w:t>Point</w:t>
            </w:r>
          </w:p>
        </w:tc>
        <w:tc>
          <w:tcPr>
            <w:tcW w:w="4152" w:type="dxa"/>
            <w:tcBorders>
              <w:top w:val="nil"/>
            </w:tcBorders>
          </w:tcPr>
          <w:p w:rsidR="005D7F88" w:rsidRPr="00CA03F6" w:rsidRDefault="005D7F88" w:rsidP="003F0463">
            <w:pPr>
              <w:pStyle w:val="TableText0"/>
              <w:jc w:val="center"/>
              <w:rPr>
                <w:lang w:val="fr-CH"/>
              </w:rPr>
            </w:pPr>
            <w:r w:rsidRPr="00CA03F6">
              <w:rPr>
                <w:lang w:val="fr-CH"/>
              </w:rPr>
              <w:t>Paramètre</w:t>
            </w:r>
          </w:p>
        </w:tc>
        <w:tc>
          <w:tcPr>
            <w:tcW w:w="237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625/50/P</w:t>
            </w:r>
          </w:p>
        </w:tc>
        <w:tc>
          <w:tcPr>
            <w:tcW w:w="2361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525/59</w:t>
            </w:r>
            <w:r>
              <w:t>,</w:t>
            </w:r>
            <w:r w:rsidRPr="00502913">
              <w:t>94/P</w:t>
            </w:r>
          </w:p>
        </w:tc>
      </w:tr>
      <w:tr w:rsidR="005D7F88" w:rsidRPr="00A3052D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3.1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  <w:rPr>
                <w:lang w:val="fr-FR"/>
              </w:rPr>
            </w:pPr>
            <w:r>
              <w:rPr>
                <w:lang w:val="fr-FR"/>
              </w:rPr>
              <w:t>Niveau nominal des signaux primaires,</w:t>
            </w:r>
            <w:r>
              <w:rPr>
                <w:lang w:val="fr-FR"/>
              </w:rPr>
              <w:br/>
              <w:t>Colorimétrie standard</w:t>
            </w:r>
          </w:p>
          <w:p w:rsidR="005D7F88" w:rsidRPr="00502913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</w:pPr>
            <w:r w:rsidRPr="00E03AC4">
              <w:rPr>
                <w:lang w:val="fr-FR"/>
              </w:rPr>
              <w:tab/>
            </w:r>
            <w:r w:rsidRPr="00502913">
              <w:rPr>
                <w:position w:val="-10"/>
              </w:rPr>
              <w:object w:dxaOrig="980" w:dyaOrig="279">
                <v:shape id="_x0000_i1026" type="#_x0000_t75" style="width:49pt;height:14.15pt" o:ole="" fillcolor="window">
                  <v:imagedata r:id="rId15" o:title=""/>
                </v:shape>
                <o:OLEObject Type="Embed" ProgID="Equation.3" ShapeID="_x0000_i1026" DrawAspect="Content" ObjectID="_1411284969" r:id="rId16"/>
              </w:object>
            </w:r>
          </w:p>
        </w:tc>
        <w:tc>
          <w:tcPr>
            <w:tcW w:w="4734" w:type="dxa"/>
            <w:gridSpan w:val="2"/>
          </w:tcPr>
          <w:p w:rsidR="005D7F88" w:rsidRPr="00E03AC4" w:rsidRDefault="005D7F88" w:rsidP="003F0463">
            <w:pPr>
              <w:pStyle w:val="TableText0"/>
              <w:jc w:val="center"/>
              <w:rPr>
                <w:lang w:val="fr-FR"/>
              </w:rPr>
            </w:pPr>
            <w:r w:rsidRPr="00E03AC4">
              <w:rPr>
                <w:lang w:val="fr-FR"/>
              </w:rPr>
              <w:t xml:space="preserve">Noir de référence: 0%, 0 mV </w:t>
            </w:r>
            <w:r w:rsidRPr="00E03AC4">
              <w:rPr>
                <w:lang w:val="fr-FR"/>
              </w:rPr>
              <w:br/>
            </w:r>
            <w:r>
              <w:rPr>
                <w:lang w:val="fr-FR"/>
              </w:rPr>
              <w:t>Niveau de crête de référence</w:t>
            </w:r>
            <w:r w:rsidRPr="00E03AC4">
              <w:rPr>
                <w:lang w:val="fr-FR"/>
              </w:rPr>
              <w:t>: 100%, 700 mV</w: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3.2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  <w:rPr>
                <w:lang w:val="fr-FR"/>
              </w:rPr>
            </w:pPr>
            <w:r>
              <w:rPr>
                <w:lang w:val="fr-FR"/>
              </w:rPr>
              <w:t>Détermination du signal de luminance en</w:t>
            </w:r>
            <w:r>
              <w:rPr>
                <w:lang w:val="fr-FR"/>
              </w:rPr>
              <w:br/>
              <w:t>composantes</w:t>
            </w:r>
            <w:r w:rsidRPr="00E03AC4">
              <w:rPr>
                <w:lang w:val="fr-FR"/>
              </w:rPr>
              <w:t xml:space="preserve"> </w:t>
            </w:r>
            <w:r w:rsidRPr="00502913">
              <w:rPr>
                <w:position w:val="-10"/>
              </w:rPr>
              <w:object w:dxaOrig="440" w:dyaOrig="340">
                <v:shape id="_x0000_i1027" type="#_x0000_t75" style="width:21.85pt;height:17.7pt" o:ole="" fillcolor="window">
                  <v:imagedata r:id="rId17" o:title=""/>
                </v:shape>
                <o:OLEObject Type="Embed" ProgID="Equation.3" ShapeID="_x0000_i1027" DrawAspect="Content" ObjectID="_1411284970" r:id="rId18"/>
              </w:object>
            </w:r>
          </w:p>
        </w:tc>
        <w:tc>
          <w:tcPr>
            <w:tcW w:w="4734" w:type="dxa"/>
            <w:gridSpan w:val="2"/>
          </w:tcPr>
          <w:p w:rsidR="005D7F88" w:rsidRPr="00E03AC4" w:rsidRDefault="005D7F88" w:rsidP="003F0463">
            <w:pPr>
              <w:pStyle w:val="TableText0"/>
              <w:spacing w:line="0" w:lineRule="atLeast"/>
              <w:jc w:val="center"/>
              <w:rPr>
                <w:lang w:val="fr-FR"/>
              </w:rPr>
            </w:pPr>
            <w:r w:rsidRPr="00502913">
              <w:rPr>
                <w:position w:val="-10"/>
              </w:rPr>
              <w:object w:dxaOrig="2860" w:dyaOrig="279">
                <v:shape id="_x0000_i1028" type="#_x0000_t75" style="width:143.4pt;height:14.15pt" o:ole="" fillcolor="window">
                  <v:imagedata r:id="rId19" o:title=""/>
                </v:shape>
                <o:OLEObject Type="Embed" ProgID="Equation.3" ShapeID="_x0000_i1028" DrawAspect="Content" ObjectID="_1411284971" r:id="rId20"/>
              </w:objec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</w:tcPr>
          <w:p w:rsidR="005D7F88" w:rsidRPr="00E03AC4" w:rsidRDefault="005D7F88" w:rsidP="003F0463">
            <w:pPr>
              <w:pStyle w:val="TableText0"/>
              <w:jc w:val="center"/>
              <w:rPr>
                <w:lang w:val="fr-FR"/>
              </w:rPr>
            </w:pPr>
            <w:r w:rsidRPr="00E03AC4">
              <w:rPr>
                <w:lang w:val="fr-FR"/>
              </w:rPr>
              <w:t>3.3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Détermination des signaux de différence de couleur</w:t>
            </w:r>
            <w:r>
              <w:rPr>
                <w:lang w:val="fr-FR"/>
              </w:rPr>
              <w:br/>
              <w:t>en composantes</w:t>
            </w:r>
            <w:r w:rsidRPr="00E03AC4">
              <w:rPr>
                <w:lang w:val="fr-FR"/>
              </w:rPr>
              <w:t xml:space="preserve"> </w:t>
            </w:r>
            <w:r w:rsidRPr="00502913">
              <w:rPr>
                <w:position w:val="-12"/>
              </w:rPr>
              <w:object w:dxaOrig="820" w:dyaOrig="360">
                <v:shape id="_x0000_i1029" type="#_x0000_t75" style="width:41.3pt;height:18.3pt" o:ole="" fillcolor="window">
                  <v:imagedata r:id="rId21" o:title=""/>
                </v:shape>
                <o:OLEObject Type="Embed" ProgID="Equation.3" ShapeID="_x0000_i1029" DrawAspect="Content" ObjectID="_1411284972" r:id="rId22"/>
              </w:object>
            </w:r>
          </w:p>
        </w:tc>
        <w:tc>
          <w:tcPr>
            <w:tcW w:w="4734" w:type="dxa"/>
            <w:gridSpan w:val="2"/>
          </w:tcPr>
          <w:p w:rsidR="005D7F88" w:rsidRPr="00E03AC4" w:rsidRDefault="005D7F88" w:rsidP="003F0463">
            <w:pPr>
              <w:pStyle w:val="TableText0"/>
              <w:spacing w:line="240" w:lineRule="auto"/>
              <w:jc w:val="center"/>
              <w:rPr>
                <w:lang w:val="fr-FR"/>
              </w:rPr>
            </w:pPr>
            <w:r w:rsidRPr="00E03AC4">
              <w:rPr>
                <w:position w:val="-74"/>
              </w:rPr>
              <w:object w:dxaOrig="3180" w:dyaOrig="1560">
                <v:shape id="_x0000_i1030" type="#_x0000_t75" style="width:158.15pt;height:79.1pt" o:ole="" fillcolor="window">
                  <v:imagedata r:id="rId23" o:title=""/>
                </v:shape>
                <o:OLEObject Type="Embed" ProgID="Equation.3" ShapeID="_x0000_i1030" DrawAspect="Content" ObjectID="_1411284973" r:id="rId24"/>
              </w:object>
            </w:r>
          </w:p>
        </w:tc>
      </w:tr>
      <w:tr w:rsidR="005D7F88" w:rsidRPr="00A3052D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3.4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  <w:rPr>
                <w:lang w:val="fr-FR"/>
              </w:rPr>
            </w:pPr>
            <w:r>
              <w:rPr>
                <w:lang w:val="fr-FR"/>
              </w:rPr>
              <w:t>Niveau nominal des signaux en composantes</w:t>
            </w:r>
            <w:r>
              <w:rPr>
                <w:lang w:val="fr-FR"/>
              </w:rPr>
              <w:br/>
              <w:t>Colorimétrie standard et élargie</w:t>
            </w:r>
          </w:p>
          <w:p w:rsidR="005D7F88" w:rsidRPr="00502913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before="0"/>
              <w:jc w:val="left"/>
            </w:pPr>
            <w:r w:rsidRPr="00E03AC4">
              <w:rPr>
                <w:lang w:val="fr-FR"/>
              </w:rPr>
              <w:tab/>
            </w:r>
            <w:r w:rsidRPr="00502913">
              <w:t xml:space="preserve">Luminance </w:t>
            </w:r>
            <w:r w:rsidRPr="00502913">
              <w:rPr>
                <w:position w:val="-10"/>
              </w:rPr>
              <w:object w:dxaOrig="360" w:dyaOrig="300">
                <v:shape id="_x0000_i1031" type="#_x0000_t75" style="width:18.3pt;height:14.15pt" o:ole="" fillcolor="window">
                  <v:imagedata r:id="rId25" o:title=""/>
                </v:shape>
                <o:OLEObject Type="Embed" ProgID="Equation.3" ShapeID="_x0000_i1031" DrawAspect="Content" ObjectID="_1411284974" r:id="rId26"/>
              </w:object>
            </w:r>
          </w:p>
          <w:p w:rsidR="005D7F88" w:rsidRPr="00502913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before="0"/>
              <w:jc w:val="left"/>
            </w:pPr>
            <w:r w:rsidRPr="00502913">
              <w:rPr>
                <w:vertAlign w:val="subscript"/>
              </w:rPr>
              <w:tab/>
            </w:r>
            <w:r>
              <w:rPr>
                <w:lang w:val="fr-FR"/>
              </w:rPr>
              <w:t>Différence de couleur</w:t>
            </w:r>
            <w:r w:rsidRPr="00502913">
              <w:t xml:space="preserve"> </w:t>
            </w:r>
            <w:r w:rsidRPr="00502913">
              <w:rPr>
                <w:position w:val="-12"/>
              </w:rPr>
              <w:object w:dxaOrig="760" w:dyaOrig="300">
                <v:shape id="_x0000_i1032" type="#_x0000_t75" style="width:38.35pt;height:14.15pt" o:ole="" fillcolor="window">
                  <v:imagedata r:id="rId27" o:title=""/>
                </v:shape>
                <o:OLEObject Type="Embed" ProgID="Equation.3" ShapeID="_x0000_i1032" DrawAspect="Content" ObjectID="_1411284975" r:id="rId28"/>
              </w:object>
            </w:r>
          </w:p>
        </w:tc>
        <w:tc>
          <w:tcPr>
            <w:tcW w:w="4734" w:type="dxa"/>
            <w:gridSpan w:val="2"/>
          </w:tcPr>
          <w:p w:rsidR="005D7F88" w:rsidRPr="00E03AC4" w:rsidRDefault="005D7F88" w:rsidP="00856A29">
            <w:pPr>
              <w:pStyle w:val="TableText0"/>
              <w:jc w:val="center"/>
              <w:rPr>
                <w:lang w:val="fr-FR"/>
              </w:rPr>
            </w:pPr>
            <w:r w:rsidRPr="00E03AC4">
              <w:rPr>
                <w:lang w:val="fr-FR"/>
              </w:rPr>
              <w:br/>
            </w:r>
            <w:r w:rsidRPr="00E03AC4">
              <w:rPr>
                <w:lang w:val="fr-FR"/>
              </w:rPr>
              <w:br/>
            </w:r>
            <w:r>
              <w:rPr>
                <w:lang w:val="fr-FR"/>
              </w:rPr>
              <w:t xml:space="preserve">Noir de référence: 0%, 0 mV </w:t>
            </w:r>
            <w:r>
              <w:rPr>
                <w:lang w:val="fr-FR"/>
              </w:rPr>
              <w:br/>
              <w:t>Blanc de référence: 100%, 700 Mv</w:t>
            </w:r>
            <w:r>
              <w:rPr>
                <w:lang w:val="fr-FR"/>
              </w:rPr>
              <w:br/>
              <w:t>Aucun signal: 0%, 0 mV</w:t>
            </w:r>
            <w:r>
              <w:rPr>
                <w:lang w:val="fr-FR"/>
              </w:rPr>
              <w:br/>
              <w:t xml:space="preserve">Différence de couleur maximale: </w:t>
            </w:r>
            <w:r>
              <w:sym w:font="Symbol" w:char="F0B1"/>
            </w:r>
            <w:r>
              <w:rPr>
                <w:lang w:val="fr-FR"/>
              </w:rPr>
              <w:t xml:space="preserve">50%, </w:t>
            </w:r>
            <w:r>
              <w:sym w:font="Symbol" w:char="F0B1"/>
            </w:r>
            <w:r>
              <w:rPr>
                <w:lang w:val="fr-FR"/>
              </w:rPr>
              <w:t>350 mV</w:t>
            </w:r>
          </w:p>
        </w:tc>
      </w:tr>
      <w:tr w:rsidR="005D7F88" w:rsidRPr="002D7658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3.5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Largeur de bande maximale du signal</w:t>
            </w:r>
            <w:r w:rsidRPr="00E03AC4">
              <w:rPr>
                <w:lang w:val="fr-FR"/>
              </w:rPr>
              <w:br/>
            </w:r>
            <w:r w:rsidRPr="00E03AC4">
              <w:rPr>
                <w:lang w:val="fr-FR"/>
              </w:rPr>
              <w:tab/>
            </w:r>
            <w:r w:rsidRPr="00502913">
              <w:rPr>
                <w:position w:val="-26"/>
              </w:rPr>
              <w:object w:dxaOrig="1200" w:dyaOrig="600">
                <v:shape id="_x0000_i1033" type="#_x0000_t75" style="width:60.2pt;height:30.1pt" o:ole="" fillcolor="window">
                  <v:imagedata r:id="rId29" o:title=""/>
                </v:shape>
                <o:OLEObject Type="Embed" ProgID="Equation.3" ShapeID="_x0000_i1033" DrawAspect="Content" ObjectID="_1411284976" r:id="rId30"/>
              </w:object>
            </w:r>
          </w:p>
        </w:tc>
        <w:tc>
          <w:tcPr>
            <w:tcW w:w="4734" w:type="dxa"/>
            <w:gridSpan w:val="2"/>
          </w:tcPr>
          <w:p w:rsidR="005D7F88" w:rsidRPr="00502913" w:rsidRDefault="005D7F88" w:rsidP="003F0463">
            <w:pPr>
              <w:pStyle w:val="TableText0"/>
              <w:spacing w:before="140" w:after="0"/>
              <w:jc w:val="center"/>
            </w:pPr>
            <w:r w:rsidRPr="00E03AC4">
              <w:rPr>
                <w:lang w:val="fr-FR"/>
              </w:rPr>
              <w:br/>
            </w:r>
            <w:r w:rsidRPr="00502913">
              <w:t>12 MHz</w:t>
            </w:r>
          </w:p>
          <w:p w:rsidR="005D7F88" w:rsidRPr="00502913" w:rsidRDefault="005D7F88" w:rsidP="003F0463">
            <w:pPr>
              <w:pStyle w:val="TableText0"/>
              <w:spacing w:before="140" w:after="0"/>
              <w:jc w:val="center"/>
            </w:pPr>
            <w:r w:rsidRPr="00502913">
              <w:t>6 MHz</w:t>
            </w:r>
          </w:p>
        </w:tc>
      </w:tr>
      <w:tr w:rsidR="005D7F88" w:rsidRPr="00A3052D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3.6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spacing w:line="240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Forme du signal de synchronisation dans les signaux primaires et en composantes</w:t>
            </w:r>
            <w:r>
              <w:rPr>
                <w:position w:val="6"/>
                <w:sz w:val="14"/>
                <w:lang w:val="fr-FR"/>
              </w:rPr>
              <w:t>(</w:t>
            </w:r>
            <w:r w:rsidRPr="0049525B">
              <w:rPr>
                <w:position w:val="6"/>
                <w:sz w:val="14"/>
                <w:lang w:val="fr-FR"/>
              </w:rPr>
              <w:t>2)</w:t>
            </w:r>
          </w:p>
        </w:tc>
        <w:tc>
          <w:tcPr>
            <w:tcW w:w="4734" w:type="dxa"/>
            <w:gridSpan w:val="2"/>
          </w:tcPr>
          <w:p w:rsidR="005D7F88" w:rsidRPr="00E03AC4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Bipolaire à deux niveaux (Fig. 1)</w: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3.7</w:t>
            </w:r>
          </w:p>
        </w:tc>
        <w:tc>
          <w:tcPr>
            <w:tcW w:w="4152" w:type="dxa"/>
          </w:tcPr>
          <w:p w:rsidR="005D7F88" w:rsidRPr="00502913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</w:pPr>
            <w:r>
              <w:rPr>
                <w:lang w:val="fr-FR"/>
              </w:rPr>
              <w:t>Référence de synchronisation horizontale</w:t>
            </w:r>
          </w:p>
        </w:tc>
        <w:tc>
          <w:tcPr>
            <w:tcW w:w="4734" w:type="dxa"/>
            <w:gridSpan w:val="2"/>
          </w:tcPr>
          <w:p w:rsidR="005D7F88" w:rsidRPr="00502913" w:rsidRDefault="005D7F88" w:rsidP="003F0463">
            <w:pPr>
              <w:pStyle w:val="TableText0"/>
              <w:jc w:val="center"/>
            </w:pPr>
            <w:r>
              <w:rPr>
                <w:lang w:val="fr-FR"/>
              </w:rPr>
              <w:t>O</w:t>
            </w:r>
            <w:r>
              <w:rPr>
                <w:position w:val="-4"/>
                <w:sz w:val="14"/>
              </w:rPr>
              <w:t>H</w:t>
            </w:r>
            <w:r>
              <w:rPr>
                <w:vertAlign w:val="subscript"/>
                <w:lang w:val="fr-FR"/>
              </w:rPr>
              <w:t xml:space="preserve"> </w:t>
            </w:r>
            <w:r>
              <w:rPr>
                <w:lang w:val="fr-FR"/>
              </w:rPr>
              <w:t>(Fig. 1)</w: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3.8</w:t>
            </w:r>
          </w:p>
        </w:tc>
        <w:tc>
          <w:tcPr>
            <w:tcW w:w="4152" w:type="dxa"/>
          </w:tcPr>
          <w:p w:rsidR="005D7F88" w:rsidRPr="00502913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</w:pPr>
            <w:r>
              <w:rPr>
                <w:lang w:val="fr-FR"/>
              </w:rPr>
              <w:t>Niveau de synchronisation (mV)</w:t>
            </w:r>
          </w:p>
        </w:tc>
        <w:tc>
          <w:tcPr>
            <w:tcW w:w="4734" w:type="dxa"/>
            <w:gridSpan w:val="2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 xml:space="preserve">–300 </w:t>
            </w:r>
            <w:r w:rsidRPr="00871D2E">
              <w:sym w:font="Symbol" w:char="F0B1"/>
            </w:r>
            <w:r w:rsidRPr="00502913">
              <w:t xml:space="preserve"> 7</w:t>
            </w:r>
            <w:r>
              <w:t>,</w:t>
            </w:r>
            <w:r w:rsidRPr="00502913">
              <w:t>5 mV</w: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3.9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  <w:rPr>
                <w:lang w:val="fr-FR"/>
              </w:rPr>
            </w:pPr>
            <w:r>
              <w:rPr>
                <w:lang w:val="fr-FR"/>
              </w:rPr>
              <w:t>Précision de synchronisation entre composantes</w:t>
            </w:r>
          </w:p>
        </w:tc>
        <w:tc>
          <w:tcPr>
            <w:tcW w:w="4734" w:type="dxa"/>
            <w:gridSpan w:val="2"/>
          </w:tcPr>
          <w:p w:rsidR="005D7F88" w:rsidRPr="00502913" w:rsidRDefault="005D7F88" w:rsidP="003F0463">
            <w:pPr>
              <w:pStyle w:val="TableText0"/>
              <w:jc w:val="center"/>
            </w:pPr>
            <w:r w:rsidRPr="00871D2E">
              <w:sym w:font="Symbol" w:char="F0B1"/>
            </w:r>
            <w:r w:rsidRPr="00502913">
              <w:t>10 ns</w: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3.10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  <w:rPr>
                <w:lang w:val="fr-FR"/>
              </w:rPr>
            </w:pPr>
            <w:r>
              <w:rPr>
                <w:lang w:val="fr-FR"/>
              </w:rPr>
              <w:t>Structure temporelle du signal d'intervalle de suppression de trame et du signal de synchronisation horizontale</w:t>
            </w:r>
          </w:p>
        </w:tc>
        <w:tc>
          <w:tcPr>
            <w:tcW w:w="4734" w:type="dxa"/>
            <w:gridSpan w:val="2"/>
          </w:tcPr>
          <w:p w:rsidR="005D7F88" w:rsidRPr="00502913" w:rsidRDefault="005D7F88" w:rsidP="003F0463">
            <w:pPr>
              <w:pStyle w:val="TableText0"/>
              <w:jc w:val="center"/>
            </w:pPr>
            <w:r>
              <w:rPr>
                <w:lang w:val="fr-FR"/>
              </w:rPr>
              <w:t>Fig. 1 et Tableau 1</w:t>
            </w:r>
          </w:p>
        </w:tc>
      </w:tr>
      <w:tr w:rsidR="005D7F88" w:rsidRPr="00502913" w:rsidTr="003F0463">
        <w:trPr>
          <w:jc w:val="center"/>
        </w:trPr>
        <w:tc>
          <w:tcPr>
            <w:tcW w:w="663" w:type="dxa"/>
          </w:tcPr>
          <w:p w:rsidR="005D7F88" w:rsidRPr="00502913" w:rsidRDefault="005D7F88" w:rsidP="003F0463">
            <w:pPr>
              <w:pStyle w:val="TableText0"/>
              <w:jc w:val="center"/>
            </w:pPr>
            <w:r w:rsidRPr="00502913">
              <w:t>3.11</w:t>
            </w:r>
          </w:p>
        </w:tc>
        <w:tc>
          <w:tcPr>
            <w:tcW w:w="4152" w:type="dxa"/>
          </w:tcPr>
          <w:p w:rsidR="005D7F88" w:rsidRPr="00E03AC4" w:rsidRDefault="005D7F88" w:rsidP="003F0463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454"/>
              </w:tabs>
              <w:jc w:val="left"/>
              <w:rPr>
                <w:lang w:val="fr-FR"/>
              </w:rPr>
            </w:pPr>
            <w:r>
              <w:rPr>
                <w:lang w:val="fr-FR"/>
              </w:rPr>
              <w:t>Structure temporelle du signal de suppression d'intervalle de suppression de trame et du signal de synchronisation verticale</w:t>
            </w:r>
          </w:p>
        </w:tc>
        <w:tc>
          <w:tcPr>
            <w:tcW w:w="4734" w:type="dxa"/>
            <w:gridSpan w:val="2"/>
          </w:tcPr>
          <w:p w:rsidR="005D7F88" w:rsidRPr="00502913" w:rsidRDefault="005D7F88" w:rsidP="003F0463">
            <w:pPr>
              <w:pStyle w:val="TableText0"/>
              <w:jc w:val="center"/>
            </w:pPr>
            <w:r>
              <w:rPr>
                <w:lang w:val="fr-FR"/>
              </w:rPr>
              <w:t>Fig. 2 et Tableaux 2 et 3</w:t>
            </w:r>
          </w:p>
        </w:tc>
      </w:tr>
      <w:tr w:rsidR="005D7F88" w:rsidRPr="00A3052D" w:rsidTr="003F0463">
        <w:trPr>
          <w:jc w:val="center"/>
        </w:trPr>
        <w:tc>
          <w:tcPr>
            <w:tcW w:w="9549" w:type="dxa"/>
            <w:gridSpan w:val="4"/>
            <w:tcBorders>
              <w:left w:val="nil"/>
              <w:bottom w:val="nil"/>
              <w:right w:val="nil"/>
            </w:tcBorders>
          </w:tcPr>
          <w:p w:rsidR="005D7F88" w:rsidRPr="00E03AC4" w:rsidRDefault="005D7F88" w:rsidP="003F0463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84" w:hanging="369"/>
              <w:rPr>
                <w:lang w:val="fr-FR"/>
              </w:rPr>
            </w:pPr>
            <w:r w:rsidRPr="00E03AC4">
              <w:rPr>
                <w:position w:val="6"/>
                <w:sz w:val="14"/>
                <w:lang w:val="fr-FR"/>
              </w:rPr>
              <w:t>(1)</w:t>
            </w:r>
            <w:r w:rsidRPr="00E03AC4">
              <w:rPr>
                <w:vertAlign w:val="superscript"/>
                <w:lang w:val="fr-FR"/>
              </w:rPr>
              <w:tab/>
            </w:r>
            <w:r>
              <w:rPr>
                <w:lang w:val="fr-FR"/>
              </w:rPr>
              <w:t xml:space="preserve">Les équations de codage des signaux de luminance et de différence de couleur utilisées ici sont équivalentes à celles utilisées dans </w:t>
            </w:r>
            <w:r w:rsidRPr="00F35165">
              <w:rPr>
                <w:lang w:val="fr-FR"/>
              </w:rPr>
              <w:t>la Recommandation UIT-R BT.601</w:t>
            </w:r>
            <w:r>
              <w:rPr>
                <w:lang w:val="fr-FR"/>
              </w:rPr>
              <w:t>.</w:t>
            </w:r>
          </w:p>
          <w:p w:rsidR="005D7F88" w:rsidRPr="00E03AC4" w:rsidRDefault="005D7F88" w:rsidP="003F0463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</w:tabs>
              <w:ind w:left="284" w:hanging="369"/>
              <w:rPr>
                <w:lang w:val="fr-FR"/>
              </w:rPr>
            </w:pPr>
            <w:r w:rsidRPr="00E03AC4">
              <w:rPr>
                <w:position w:val="6"/>
                <w:sz w:val="14"/>
                <w:lang w:val="fr-FR"/>
              </w:rPr>
              <w:t>(2)</w:t>
            </w:r>
            <w:r w:rsidRPr="00E03AC4">
              <w:rPr>
                <w:vertAlign w:val="superscript"/>
                <w:lang w:val="fr-FR"/>
              </w:rPr>
              <w:tab/>
            </w:r>
            <w:r>
              <w:rPr>
                <w:lang w:val="fr-FR"/>
              </w:rPr>
              <w:t xml:space="preserve">L'adjonction d'un signal de synchronisation sur les signaux </w:t>
            </w: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P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 et </w:t>
            </w:r>
            <w:r>
              <w:rPr>
                <w:i/>
                <w:iCs/>
                <w:lang w:val="fr-FR"/>
              </w:rPr>
              <w:t>P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  <w:r>
              <w:rPr>
                <w:lang w:val="fr-FR"/>
              </w:rPr>
              <w:t xml:space="preserve"> est facultative.</w:t>
            </w:r>
          </w:p>
        </w:tc>
      </w:tr>
    </w:tbl>
    <w:p w:rsidR="005D7F88" w:rsidRPr="00E03AC4" w:rsidRDefault="005D7F88" w:rsidP="005D7F88">
      <w:pPr>
        <w:pStyle w:val="Tablefin"/>
        <w:rPr>
          <w:lang w:val="fr-FR"/>
        </w:rPr>
      </w:pPr>
    </w:p>
    <w:p w:rsidR="005D7F88" w:rsidRDefault="005D7F88" w:rsidP="005D7F88">
      <w:pPr>
        <w:pStyle w:val="FigureNo"/>
      </w:pPr>
      <w:r>
        <w:lastRenderedPageBreak/>
        <w:t>FIGURE 1</w:t>
      </w:r>
    </w:p>
    <w:p w:rsidR="005D7F88" w:rsidRDefault="005D7F88" w:rsidP="005D7F88">
      <w:pPr>
        <w:pStyle w:val="Figuretitle"/>
      </w:pPr>
      <w:r>
        <w:t>Impulsion analogique de synchronisation horizontale</w:t>
      </w:r>
    </w:p>
    <w:p w:rsidR="005D7F88" w:rsidRDefault="005D7F88" w:rsidP="005D7F88">
      <w:pPr>
        <w:pStyle w:val="Figure"/>
      </w:pPr>
      <w:r>
        <w:object w:dxaOrig="5965" w:dyaOrig="3080">
          <v:shape id="_x0000_i1034" type="#_x0000_t75" style="width:298.6pt;height:154.05pt" o:ole="">
            <v:imagedata r:id="rId31" o:title=""/>
          </v:shape>
          <o:OLEObject Type="Embed" ProgID="CorelDRAW.Graphic.14" ShapeID="_x0000_i1034" DrawAspect="Content" ObjectID="_1411284977" r:id="rId32"/>
        </w:object>
      </w:r>
    </w:p>
    <w:p w:rsidR="005D7F88" w:rsidRDefault="005D7F88" w:rsidP="005D7F88">
      <w:pPr>
        <w:pStyle w:val="TableNo"/>
      </w:pPr>
      <w:r>
        <w:t>TABLEAU  1</w:t>
      </w:r>
    </w:p>
    <w:p w:rsidR="005D7F88" w:rsidRPr="005E3617" w:rsidRDefault="005D7F88" w:rsidP="005D7F88">
      <w:pPr>
        <w:pStyle w:val="Tabletitle"/>
      </w:pPr>
      <w:r w:rsidRPr="005E3617">
        <w:t>Structure des signaux analogiques de synchronisation horizontale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9"/>
        <w:gridCol w:w="5492"/>
        <w:gridCol w:w="1410"/>
        <w:gridCol w:w="1698"/>
      </w:tblGrid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Symbole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Caractéristiques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525/59,94/P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H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Période de ligne nominale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32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1001/31,5 (31,778)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a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Intervalle de suppression de trame horizontale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6,0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1,5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5,35 </w:t>
            </w:r>
            <w:r w:rsidRPr="00871D2E">
              <w:t>+</w:t>
            </w:r>
            <w:r>
              <w:rPr>
                <w:lang w:val="fr-FR"/>
              </w:rPr>
              <w:t xml:space="preserve"> 0,15</w:t>
            </w:r>
          </w:p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–</w:t>
            </w:r>
            <w:r>
              <w:rPr>
                <w:rFonts w:ascii="Tms Rmn" w:hAnsi="Tms Rmn"/>
                <w:sz w:val="12"/>
                <w:lang w:val="fr-FR"/>
              </w:rPr>
              <w:t> </w:t>
            </w:r>
            <w:r>
              <w:rPr>
                <w:lang w:val="fr-FR"/>
              </w:rPr>
              <w:t>0,1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b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Intervalle entre la référence de temps (</w:t>
            </w:r>
            <w:r w:rsidRPr="00E03AC4">
              <w:rPr>
                <w:i/>
                <w:iCs/>
                <w:lang w:val="fr-FR"/>
              </w:rPr>
              <w:t>O</w:t>
            </w:r>
            <w:r w:rsidRPr="00E03AC4">
              <w:rPr>
                <w:i/>
                <w:iCs/>
                <w:position w:val="-4"/>
                <w:sz w:val="14"/>
                <w:lang w:val="fr-FR"/>
              </w:rPr>
              <w:t>H</w:t>
            </w:r>
            <w:r>
              <w:rPr>
                <w:lang w:val="fr-FR"/>
              </w:rPr>
              <w:t>) et le front arrière de l'impulsion de suppression de trame horizontale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5,25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4,6 + 0,1</w:t>
            </w:r>
          </w:p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–</w:t>
            </w:r>
            <w:r>
              <w:rPr>
                <w:rFonts w:ascii="Tms Rmn" w:hAnsi="Tms Rmn"/>
                <w:sz w:val="12"/>
                <w:lang w:val="fr-FR"/>
              </w:rPr>
              <w:t> </w:t>
            </w:r>
            <w:r>
              <w:rPr>
                <w:lang w:val="fr-FR"/>
              </w:rPr>
              <w:t>0,05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c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Palier avant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0,75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0,15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0,75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d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Impulsion de synchronisation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0,1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e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Temps de formation (10 à 90%) des fronts de l'impulsion de suppression de trame horizontale (</w:t>
            </w:r>
            <w:r w:rsidRPr="00871D2E"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0,15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f</w:t>
            </w:r>
          </w:p>
        </w:tc>
        <w:tc>
          <w:tcPr>
            <w:tcW w:w="5492" w:type="dxa"/>
          </w:tcPr>
          <w:p w:rsidR="005D7F88" w:rsidRDefault="005D7F88" w:rsidP="003F0463">
            <w:pPr>
              <w:pStyle w:val="TableText0"/>
              <w:rPr>
                <w:lang w:val="fr-FR"/>
              </w:rPr>
            </w:pPr>
            <w:r>
              <w:rPr>
                <w:lang w:val="fr-FR"/>
              </w:rPr>
              <w:t>Temps de formation (10 à 90%) des fronts des impulsions de synchronisation horizontale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6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</w:tbl>
    <w:p w:rsidR="005D7F88" w:rsidRDefault="005D7F88" w:rsidP="005D7F88">
      <w:pPr>
        <w:pStyle w:val="Tablefin"/>
        <w:rPr>
          <w:lang w:val="fr-FR"/>
        </w:rPr>
      </w:pPr>
    </w:p>
    <w:p w:rsidR="005D7F88" w:rsidRDefault="005D7F88" w:rsidP="005D7F88">
      <w:pPr>
        <w:pStyle w:val="FigureNo"/>
      </w:pPr>
      <w:r>
        <w:t>FIGURE 2</w:t>
      </w:r>
    </w:p>
    <w:p w:rsidR="005D7F88" w:rsidRDefault="005D7F88" w:rsidP="005D7F88">
      <w:pPr>
        <w:pStyle w:val="Figuretitle"/>
      </w:pPr>
      <w:r>
        <w:t>Impulsions analogiques de synchronisation verticale</w:t>
      </w:r>
    </w:p>
    <w:p w:rsidR="005D7F88" w:rsidRDefault="005D7F88" w:rsidP="005D7F88">
      <w:pPr>
        <w:pStyle w:val="Figure"/>
      </w:pPr>
      <w:r>
        <w:object w:dxaOrig="6053" w:dyaOrig="3460">
          <v:shape id="_x0000_i1035" type="#_x0000_t75" style="width:302.15pt;height:173.5pt" o:ole="">
            <v:imagedata r:id="rId33" o:title=""/>
          </v:shape>
          <o:OLEObject Type="Embed" ProgID="CorelDRAW.Graphic.14" ShapeID="_x0000_i1035" DrawAspect="Content" ObjectID="_1411284978" r:id="rId34"/>
        </w:object>
      </w:r>
    </w:p>
    <w:p w:rsidR="005D7F88" w:rsidRDefault="005D7F88" w:rsidP="005D7F88">
      <w:pPr>
        <w:pStyle w:val="TableNo"/>
      </w:pPr>
      <w:r>
        <w:lastRenderedPageBreak/>
        <w:t>TABLEAU  2</w:t>
      </w:r>
    </w:p>
    <w:p w:rsidR="005D7F88" w:rsidRDefault="005D7F88" w:rsidP="005D7F88">
      <w:pPr>
        <w:pStyle w:val="Tabletitle"/>
      </w:pPr>
      <w:r>
        <w:t>Structure des signaux analogiques de synchronisation verticale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9"/>
        <w:gridCol w:w="5498"/>
        <w:gridCol w:w="1410"/>
        <w:gridCol w:w="1692"/>
      </w:tblGrid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Symbole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Caractéristiques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525/59,94/P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V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Période de trame nominale (ms)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>1001/60 (16,683)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lang w:val="fr-FR"/>
              </w:rPr>
              <w:t>D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Intervalle de suppression de trame verticale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en-US"/>
              </w:rPr>
            </w:pPr>
            <w:r>
              <w:rPr>
                <w:lang w:val="en-US"/>
              </w:rPr>
              <w:t>49</w:t>
            </w:r>
            <w:r>
              <w:rPr>
                <w:i/>
                <w:iCs/>
                <w:lang w:val="en-US"/>
              </w:rPr>
              <w:t>H</w:t>
            </w:r>
            <w:r>
              <w:rPr>
                <w:lang w:val="en-US"/>
              </w:rPr>
              <w:t xml:space="preserve"> </w:t>
            </w:r>
            <w:r w:rsidRPr="00871D2E">
              <w:t>+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a</w:t>
            </w:r>
            <w:r>
              <w:rPr>
                <w:iCs/>
                <w:position w:val="6"/>
                <w:sz w:val="14"/>
                <w:lang w:val="en-US"/>
              </w:rPr>
              <w:t>(1)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  <w:r>
              <w:rPr>
                <w:i/>
                <w:iCs/>
                <w:lang w:val="en-US"/>
              </w:rPr>
              <w:t>H</w:t>
            </w:r>
            <w:r>
              <w:rPr>
                <w:lang w:val="en-US"/>
              </w:rPr>
              <w:t xml:space="preserve"> + </w:t>
            </w:r>
            <w:r>
              <w:rPr>
                <w:i/>
                <w:lang w:val="en-US"/>
              </w:rPr>
              <w:t>a</w:t>
            </w:r>
            <w:r>
              <w:rPr>
                <w:iCs/>
                <w:position w:val="6"/>
                <w:sz w:val="14"/>
                <w:lang w:val="en-US"/>
              </w:rPr>
              <w:t>(1)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-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Temps de formation (10 à 90%) des fronts de l'impulsion de suppression de trame verticale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0,15 </w:t>
            </w:r>
            <w: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lang w:val="fr-FR"/>
              </w:rPr>
              <w:t>A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Intervalle entre le front avant de l'intervalle de suppression de trame verticale et le front avant de la première impulsion de synchronisation verticale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</w:pPr>
            <w:r>
              <w:t>5</w:t>
            </w:r>
            <w:r>
              <w:rPr>
                <w:i/>
                <w:iCs/>
              </w:rPr>
              <w:t>H</w:t>
            </w:r>
            <w:r>
              <w:rPr>
                <w:iCs/>
                <w:position w:val="6"/>
                <w:sz w:val="14"/>
                <w:lang w:val="en-US"/>
              </w:rPr>
              <w:t>(1)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</w:pPr>
            <w:r>
              <w:t>6</w:t>
            </w:r>
            <w:r>
              <w:rPr>
                <w:i/>
                <w:iCs/>
              </w:rPr>
              <w:t>H</w:t>
            </w:r>
            <w:r>
              <w:rPr>
                <w:iCs/>
                <w:position w:val="6"/>
                <w:sz w:val="14"/>
                <w:lang w:val="en-US"/>
              </w:rPr>
              <w:t>(1)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</w:rPr>
            </w:pPr>
            <w:r>
              <w:t>C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Intervalle entre le front arrière de la dernière impulsion de synchronisation verticale et le front arrière de l'intervalle de suppression de trame verticale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</w:pPr>
            <w:r>
              <w:t>39</w:t>
            </w:r>
            <w:r>
              <w:rPr>
                <w:i/>
                <w:iCs/>
              </w:rPr>
              <w:t>H</w:t>
            </w:r>
            <w:r>
              <w:rPr>
                <w:iCs/>
                <w:position w:val="6"/>
                <w:sz w:val="14"/>
                <w:lang w:val="en-US"/>
              </w:rPr>
              <w:t>(1)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</w:pPr>
            <w:r>
              <w:t>30</w:t>
            </w:r>
            <w:r>
              <w:rPr>
                <w:i/>
                <w:iCs/>
              </w:rPr>
              <w:t>H</w:t>
            </w:r>
            <w:r>
              <w:rPr>
                <w:iCs/>
                <w:position w:val="6"/>
                <w:sz w:val="14"/>
                <w:lang w:val="en-US"/>
              </w:rPr>
              <w:t>(1)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</w:rPr>
            </w:pPr>
            <w:r>
              <w:t>B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Durée de la séquence des impulsions de synchronisation verticale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</w:pPr>
            <w:r>
              <w:t>5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</w:pPr>
            <w:r>
              <w:t>6</w:t>
            </w:r>
            <w:r>
              <w:rPr>
                <w:i/>
                <w:iCs/>
              </w:rPr>
              <w:t>H</w:t>
            </w:r>
            <w:r>
              <w:rPr>
                <w:position w:val="6"/>
                <w:sz w:val="14"/>
              </w:rPr>
              <w:t>(1)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Durée de l'impulsion de synchronisation verticale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29,65 </w:t>
            </w:r>
            <w:r>
              <w:sym w:font="Symbol" w:char="F0B1"/>
            </w:r>
            <w:r>
              <w:rPr>
                <w:lang w:val="fr-FR"/>
              </w:rPr>
              <w:t xml:space="preserve"> 0,1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29,428 </w:t>
            </w:r>
            <w: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r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Intervalle entre les impulsions de synchronisation verticale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>
              <w:sym w:font="Symbol" w:char="F0B1"/>
            </w:r>
            <w:r>
              <w:rPr>
                <w:lang w:val="fr-FR"/>
              </w:rPr>
              <w:t xml:space="preserve"> 0,1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2,35 </w:t>
            </w:r>
            <w: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</w:tr>
      <w:tr w:rsidR="005D7F88" w:rsidTr="003F0463">
        <w:trPr>
          <w:jc w:val="center"/>
        </w:trPr>
        <w:tc>
          <w:tcPr>
            <w:tcW w:w="1039" w:type="dxa"/>
          </w:tcPr>
          <w:p w:rsidR="005D7F88" w:rsidRDefault="005D7F88" w:rsidP="003F0463">
            <w:pPr>
              <w:pStyle w:val="TableText0"/>
              <w:jc w:val="center"/>
              <w:rPr>
                <w:i/>
                <w:lang w:val="fr-FR"/>
              </w:rPr>
            </w:pPr>
            <w:r>
              <w:rPr>
                <w:i/>
                <w:lang w:val="fr-FR"/>
              </w:rPr>
              <w:t>s</w:t>
            </w:r>
          </w:p>
        </w:tc>
        <w:tc>
          <w:tcPr>
            <w:tcW w:w="5498" w:type="dxa"/>
          </w:tcPr>
          <w:p w:rsidR="005D7F88" w:rsidRDefault="005D7F88" w:rsidP="003F0463">
            <w:pPr>
              <w:pStyle w:val="TableText0"/>
              <w:jc w:val="left"/>
              <w:rPr>
                <w:lang w:val="fr-FR"/>
              </w:rPr>
            </w:pPr>
            <w:r>
              <w:rPr>
                <w:lang w:val="fr-FR"/>
              </w:rPr>
              <w:t>Temps de formation (10 à 90%) des impulsions de synchronisation verticale (</w:t>
            </w:r>
            <w:r>
              <w:sym w:font="Symbol" w:char="F06D"/>
            </w:r>
            <w:r>
              <w:rPr>
                <w:lang w:val="fr-FR"/>
              </w:rPr>
              <w:t>s)</w:t>
            </w:r>
          </w:p>
        </w:tc>
        <w:tc>
          <w:tcPr>
            <w:tcW w:w="1410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0,1 </w:t>
            </w:r>
            <w:r>
              <w:sym w:font="Symbol" w:char="F0B1"/>
            </w:r>
            <w:r>
              <w:rPr>
                <w:lang w:val="fr-FR"/>
              </w:rPr>
              <w:t xml:space="preserve"> 0,05</w:t>
            </w:r>
          </w:p>
        </w:tc>
        <w:tc>
          <w:tcPr>
            <w:tcW w:w="1692" w:type="dxa"/>
          </w:tcPr>
          <w:p w:rsidR="005D7F88" w:rsidRDefault="005D7F88" w:rsidP="003F0463">
            <w:pPr>
              <w:pStyle w:val="TableText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0,07 </w:t>
            </w:r>
            <w:r>
              <w:sym w:font="Symbol" w:char="F0B1"/>
            </w:r>
            <w:r>
              <w:rPr>
                <w:lang w:val="fr-FR"/>
              </w:rPr>
              <w:t xml:space="preserve"> 0,01</w:t>
            </w:r>
          </w:p>
        </w:tc>
      </w:tr>
      <w:tr w:rsidR="005D7F88" w:rsidRPr="00A3052D" w:rsidTr="003F0463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</w:tcPr>
          <w:p w:rsidR="005D7F88" w:rsidRDefault="005D7F88" w:rsidP="003F0463">
            <w:pPr>
              <w:pStyle w:val="TableLegend0"/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rPr>
                <w:lang w:val="fr-FR"/>
              </w:rPr>
            </w:pPr>
            <w:r w:rsidRPr="0049525B">
              <w:rPr>
                <w:position w:val="6"/>
                <w:sz w:val="14"/>
                <w:lang w:val="fr-FR"/>
              </w:rPr>
              <w:t>(1)</w:t>
            </w:r>
            <w:r>
              <w:rPr>
                <w:vertAlign w:val="superscript"/>
                <w:lang w:val="fr-FR"/>
              </w:rPr>
              <w:tab/>
            </w:r>
            <w:r>
              <w:rPr>
                <w:lang w:val="fr-FR"/>
              </w:rPr>
              <w:t xml:space="preserve">Pour </w:t>
            </w:r>
            <w:r>
              <w:rPr>
                <w:i/>
                <w:iCs/>
                <w:lang w:val="fr-FR"/>
              </w:rPr>
              <w:t>H</w:t>
            </w:r>
            <w:r>
              <w:rPr>
                <w:lang w:val="fr-FR"/>
              </w:rPr>
              <w:t xml:space="preserve"> et </w:t>
            </w:r>
            <w:r>
              <w:rPr>
                <w:i/>
                <w:lang w:val="fr-FR"/>
              </w:rPr>
              <w:t>a</w:t>
            </w:r>
            <w:r>
              <w:rPr>
                <w:lang w:val="fr-FR"/>
              </w:rPr>
              <w:t>, voir le Tableau 1.</w:t>
            </w:r>
          </w:p>
        </w:tc>
      </w:tr>
    </w:tbl>
    <w:p w:rsidR="005D7F88" w:rsidRDefault="005D7F88" w:rsidP="005D7F88">
      <w:pPr>
        <w:pStyle w:val="Tablefin"/>
        <w:rPr>
          <w:lang w:val="fr-FR"/>
        </w:rPr>
      </w:pPr>
    </w:p>
    <w:p w:rsidR="005D7F88" w:rsidRDefault="005D7F88" w:rsidP="005D7F88">
      <w:pPr>
        <w:pStyle w:val="TableNo"/>
      </w:pPr>
      <w:r>
        <w:t>TABLEAU  3</w:t>
      </w:r>
    </w:p>
    <w:p w:rsidR="005D7F88" w:rsidRDefault="005D7F88" w:rsidP="005D7F88">
      <w:pPr>
        <w:pStyle w:val="Tabletitle"/>
      </w:pPr>
      <w:r>
        <w:t>Numéros des lignes d'intervalle de suppression de trame verticale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10"/>
        <w:gridCol w:w="1238"/>
        <w:gridCol w:w="1238"/>
        <w:gridCol w:w="1238"/>
        <w:gridCol w:w="1325"/>
      </w:tblGrid>
      <w:tr w:rsidR="005D7F88" w:rsidTr="003F0463">
        <w:trPr>
          <w:jc w:val="center"/>
        </w:trPr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</w:p>
        </w:tc>
        <w:tc>
          <w:tcPr>
            <w:tcW w:w="50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Numéro de ligne</w:t>
            </w:r>
          </w:p>
        </w:tc>
      </w:tr>
      <w:tr w:rsidR="005D7F88" w:rsidTr="003F0463">
        <w:trPr>
          <w:jc w:val="center"/>
        </w:trPr>
        <w:tc>
          <w:tcPr>
            <w:tcW w:w="17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</w:pPr>
            <w:r>
              <w:sym w:font="Symbol" w:char="F061"/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</w:pPr>
            <w:r>
              <w:sym w:font="Symbol" w:char="F062"/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</w:pPr>
            <w:r>
              <w:sym w:font="Symbol" w:char="F063"/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</w:pPr>
            <w:r>
              <w:sym w:font="Symbol" w:char="F064"/>
            </w:r>
          </w:p>
        </w:tc>
      </w:tr>
      <w:tr w:rsidR="005D7F88" w:rsidTr="003F0463">
        <w:trPr>
          <w:jc w:val="center"/>
        </w:trPr>
        <w:tc>
          <w:tcPr>
            <w:tcW w:w="1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625/50/P</w:t>
            </w:r>
          </w:p>
        </w:tc>
        <w:tc>
          <w:tcPr>
            <w:tcW w:w="12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621</w:t>
            </w:r>
          </w:p>
        </w:tc>
        <w:tc>
          <w:tcPr>
            <w:tcW w:w="12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12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13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44</w:t>
            </w:r>
          </w:p>
        </w:tc>
      </w:tr>
      <w:tr w:rsidR="005D7F88" w:rsidTr="003F0463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525/59.94/P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F88" w:rsidRDefault="005D7F88" w:rsidP="003F0463">
            <w:pPr>
              <w:pStyle w:val="TableText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42</w:t>
            </w:r>
          </w:p>
        </w:tc>
      </w:tr>
    </w:tbl>
    <w:p w:rsidR="005D7F88" w:rsidRDefault="005D7F88" w:rsidP="005D7F88">
      <w:pPr>
        <w:pStyle w:val="Tablefin"/>
      </w:pPr>
    </w:p>
    <w:p w:rsidR="005D7F88" w:rsidRDefault="005D7F88" w:rsidP="005D7F88">
      <w:pPr>
        <w:pStyle w:val="Heading1"/>
      </w:pPr>
      <w:r>
        <w:t>4</w:t>
      </w:r>
      <w:r>
        <w:tab/>
        <w:t>Représentation numérique</w:t>
      </w:r>
    </w:p>
    <w:p w:rsidR="005D7F88" w:rsidRPr="003C5395" w:rsidRDefault="005D7F88" w:rsidP="005D7F88">
      <w:pPr>
        <w:rPr>
          <w:lang w:val="fr-CH"/>
        </w:rPr>
      </w:pPr>
      <w:r w:rsidRPr="003C5395">
        <w:rPr>
          <w:lang w:val="fr-CH"/>
        </w:rPr>
        <w:t xml:space="preserve">Les termes </w:t>
      </w:r>
      <w:r w:rsidRPr="003C5395">
        <w:rPr>
          <w:i/>
          <w:iCs/>
          <w:lang w:val="fr-CH"/>
        </w:rPr>
        <w:t>R</w:t>
      </w:r>
      <w:r w:rsidRPr="003C5395">
        <w:rPr>
          <w:lang w:val="fr-CH"/>
        </w:rPr>
        <w:t xml:space="preserve">, </w:t>
      </w:r>
      <w:r w:rsidRPr="003C5395">
        <w:rPr>
          <w:i/>
          <w:iCs/>
          <w:lang w:val="fr-CH"/>
        </w:rPr>
        <w:t>G</w:t>
      </w:r>
      <w:r w:rsidRPr="003C5395">
        <w:rPr>
          <w:lang w:val="fr-CH"/>
        </w:rPr>
        <w:t xml:space="preserve">, </w:t>
      </w:r>
      <w:r w:rsidRPr="003C5395">
        <w:rPr>
          <w:i/>
          <w:iCs/>
          <w:lang w:val="fr-CH"/>
        </w:rPr>
        <w:t>B</w:t>
      </w:r>
      <w:r w:rsidRPr="003C5395">
        <w:rPr>
          <w:lang w:val="fr-CH"/>
        </w:rPr>
        <w:t xml:space="preserve">, </w:t>
      </w:r>
      <w:r w:rsidRPr="003C5395">
        <w:rPr>
          <w:i/>
          <w:iCs/>
          <w:lang w:val="fr-CH"/>
        </w:rPr>
        <w:t>Y</w:t>
      </w:r>
      <w:r w:rsidRPr="003C5395">
        <w:rPr>
          <w:lang w:val="fr-CH"/>
        </w:rPr>
        <w:t xml:space="preserve">, </w:t>
      </w:r>
      <w:r w:rsidRPr="003C5395">
        <w:rPr>
          <w:i/>
          <w:iCs/>
          <w:lang w:val="fr-CH"/>
        </w:rPr>
        <w:t>C</w:t>
      </w:r>
      <w:r w:rsidRPr="003C5395">
        <w:rPr>
          <w:i/>
          <w:iCs/>
          <w:position w:val="-4"/>
          <w:sz w:val="16"/>
          <w:lang w:val="fr-CH"/>
        </w:rPr>
        <w:t>B</w:t>
      </w:r>
      <w:r w:rsidRPr="003C5395">
        <w:rPr>
          <w:lang w:val="fr-CH"/>
        </w:rPr>
        <w:t xml:space="preserve">, </w:t>
      </w:r>
      <w:r w:rsidRPr="003C5395">
        <w:rPr>
          <w:i/>
          <w:iCs/>
          <w:lang w:val="fr-CH"/>
        </w:rPr>
        <w:t>C</w:t>
      </w:r>
      <w:r w:rsidRPr="003C5395">
        <w:rPr>
          <w:i/>
          <w:iCs/>
          <w:position w:val="-4"/>
          <w:sz w:val="16"/>
          <w:lang w:val="fr-CH"/>
        </w:rPr>
        <w:t>R</w:t>
      </w:r>
      <w:r w:rsidRPr="003C5395">
        <w:rPr>
          <w:lang w:val="fr-CH"/>
        </w:rPr>
        <w:t xml:space="preserve"> renvoient à des signaux quantifiés et numériques. Ils sont obtenus à partir de signaux gamma précorrigés.</w:t>
      </w:r>
      <w:r>
        <w:rPr>
          <w:lang w:val="fr-CH"/>
        </w:rPr>
        <w:t xml:space="preserve"> </w:t>
      </w:r>
    </w:p>
    <w:p w:rsidR="005D7F88" w:rsidRPr="003C5395" w:rsidRDefault="005D7F88" w:rsidP="005D7F88">
      <w:pPr>
        <w:rPr>
          <w:lang w:val="fr-CH"/>
        </w:rPr>
      </w:pPr>
      <w:r w:rsidRPr="003C5395">
        <w:rPr>
          <w:lang w:val="fr-CH"/>
        </w:rPr>
        <w:t>La représentation numérique décrite dans le tableau ci-après est fondée sur la Recommandation UIT</w:t>
      </w:r>
      <w:r w:rsidRPr="003C5395">
        <w:rPr>
          <w:lang w:val="fr-CH"/>
        </w:rPr>
        <w:noBreakHyphen/>
        <w:t>R BT.601 qui définit la famille 4:2:2 et 4:4:4 des signaux échantillonnés à 13,5 MHz pour les systèmes 4:3 et 16/9 écran large.</w:t>
      </w:r>
    </w:p>
    <w:p w:rsidR="005D7F88" w:rsidRDefault="005D7F88" w:rsidP="005D7F88"/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3576"/>
        <w:gridCol w:w="2623"/>
        <w:gridCol w:w="53"/>
        <w:gridCol w:w="2572"/>
      </w:tblGrid>
      <w:tr w:rsidR="005D7F88" w:rsidTr="003F0463">
        <w:trPr>
          <w:jc w:val="center"/>
        </w:trPr>
        <w:tc>
          <w:tcPr>
            <w:tcW w:w="815" w:type="dxa"/>
            <w:vMerge w:val="restart"/>
            <w:vAlign w:val="center"/>
          </w:tcPr>
          <w:p w:rsidR="005D7F88" w:rsidRDefault="005D7F88" w:rsidP="003F0463">
            <w:pPr>
              <w:pStyle w:val="TableText0"/>
              <w:keepLines/>
              <w:spacing w:before="80" w:after="80"/>
              <w:jc w:val="center"/>
              <w:rPr>
                <w:lang w:val="fr-FR"/>
              </w:rPr>
            </w:pPr>
            <w:r>
              <w:rPr>
                <w:lang w:val="fr-FR"/>
              </w:rPr>
              <w:lastRenderedPageBreak/>
              <w:t>Point</w:t>
            </w:r>
          </w:p>
        </w:tc>
        <w:tc>
          <w:tcPr>
            <w:tcW w:w="8824" w:type="dxa"/>
            <w:gridSpan w:val="4"/>
          </w:tcPr>
          <w:p w:rsidR="005D7F88" w:rsidRDefault="005D7F88" w:rsidP="003F0463">
            <w:pPr>
              <w:pStyle w:val="TableText0"/>
              <w:keepLines/>
              <w:spacing w:before="80" w:after="80"/>
              <w:jc w:val="center"/>
              <w:rPr>
                <w:lang w:val="fr-FR"/>
              </w:rPr>
            </w:pPr>
            <w:r>
              <w:rPr>
                <w:lang w:val="fr-FR"/>
              </w:rPr>
              <w:t>Caractéristiques</w:t>
            </w:r>
          </w:p>
        </w:tc>
      </w:tr>
      <w:tr w:rsidR="005D7F88" w:rsidTr="003F0463">
        <w:trPr>
          <w:jc w:val="center"/>
        </w:trPr>
        <w:tc>
          <w:tcPr>
            <w:tcW w:w="815" w:type="dxa"/>
            <w:vMerge/>
          </w:tcPr>
          <w:p w:rsidR="005D7F88" w:rsidRDefault="005D7F88" w:rsidP="003F0463">
            <w:pPr>
              <w:pStyle w:val="TableText0"/>
              <w:keepLines/>
              <w:spacing w:before="80" w:after="80"/>
              <w:jc w:val="center"/>
              <w:rPr>
                <w:lang w:val="fr-FR"/>
              </w:rPr>
            </w:pPr>
          </w:p>
        </w:tc>
        <w:tc>
          <w:tcPr>
            <w:tcW w:w="3576" w:type="dxa"/>
            <w:tcBorders>
              <w:top w:val="nil"/>
            </w:tcBorders>
          </w:tcPr>
          <w:p w:rsidR="005D7F88" w:rsidRDefault="005D7F88" w:rsidP="003F0463">
            <w:pPr>
              <w:pStyle w:val="TableText0"/>
              <w:keepLines/>
              <w:spacing w:before="80" w:after="80"/>
              <w:jc w:val="center"/>
              <w:rPr>
                <w:lang w:val="fr-FR"/>
              </w:rPr>
            </w:pPr>
            <w:r>
              <w:rPr>
                <w:lang w:val="fr-FR"/>
              </w:rPr>
              <w:t>Paramètres</w:t>
            </w:r>
          </w:p>
        </w:tc>
        <w:tc>
          <w:tcPr>
            <w:tcW w:w="2676" w:type="dxa"/>
            <w:gridSpan w:val="2"/>
          </w:tcPr>
          <w:p w:rsidR="005D7F88" w:rsidRDefault="005D7F88" w:rsidP="003F0463">
            <w:pPr>
              <w:pStyle w:val="TableText0"/>
              <w:keepLines/>
              <w:spacing w:before="80" w:after="80"/>
              <w:jc w:val="center"/>
            </w:pPr>
            <w:r>
              <w:t>625/50/1:1</w:t>
            </w:r>
          </w:p>
        </w:tc>
        <w:tc>
          <w:tcPr>
            <w:tcW w:w="2572" w:type="dxa"/>
          </w:tcPr>
          <w:p w:rsidR="005D7F88" w:rsidRDefault="005D7F88" w:rsidP="003F0463">
            <w:pPr>
              <w:pStyle w:val="TableText0"/>
              <w:keepLines/>
              <w:spacing w:before="80" w:after="80"/>
              <w:jc w:val="center"/>
            </w:pPr>
            <w:r>
              <w:t>525/59,94/1:1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Lines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4.1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Lines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Signaux codés</w:t>
            </w:r>
          </w:p>
        </w:tc>
        <w:tc>
          <w:tcPr>
            <w:tcW w:w="5248" w:type="dxa"/>
            <w:gridSpan w:val="3"/>
          </w:tcPr>
          <w:p w:rsidR="005D7F88" w:rsidRPr="0049525B" w:rsidRDefault="005D7F88" w:rsidP="003F0463">
            <w:pPr>
              <w:pStyle w:val="TableText0"/>
              <w:keepLines/>
              <w:spacing w:before="40" w:after="40"/>
              <w:jc w:val="center"/>
              <w:rPr>
                <w:lang w:val="pt-BR"/>
              </w:rPr>
            </w:pPr>
            <w:r w:rsidRPr="0049525B">
              <w:rPr>
                <w:i/>
                <w:iCs/>
                <w:lang w:val="pt-BR"/>
              </w:rPr>
              <w:t>R</w:t>
            </w:r>
            <w:r w:rsidRPr="0049525B">
              <w:rPr>
                <w:lang w:val="pt-BR"/>
              </w:rPr>
              <w:t xml:space="preserve">, </w:t>
            </w:r>
            <w:r w:rsidRPr="0049525B">
              <w:rPr>
                <w:i/>
                <w:iCs/>
                <w:lang w:val="pt-BR"/>
              </w:rPr>
              <w:t>G</w:t>
            </w:r>
            <w:r w:rsidRPr="0049525B">
              <w:rPr>
                <w:lang w:val="pt-BR"/>
              </w:rPr>
              <w:t xml:space="preserve">, </w:t>
            </w:r>
            <w:r w:rsidRPr="0049525B">
              <w:rPr>
                <w:i/>
                <w:iCs/>
                <w:lang w:val="pt-BR"/>
              </w:rPr>
              <w:t>B</w:t>
            </w:r>
            <w:r w:rsidRPr="0049525B">
              <w:rPr>
                <w:lang w:val="pt-BR"/>
              </w:rPr>
              <w:t xml:space="preserve">, ou </w:t>
            </w:r>
            <w:r w:rsidRPr="0049525B">
              <w:rPr>
                <w:i/>
                <w:iCs/>
                <w:lang w:val="pt-BR"/>
              </w:rPr>
              <w:t>Y</w:t>
            </w:r>
            <w:r w:rsidRPr="0049525B">
              <w:rPr>
                <w:lang w:val="pt-BR"/>
              </w:rPr>
              <w:t xml:space="preserve">, </w:t>
            </w:r>
            <w:r w:rsidRPr="0049525B">
              <w:rPr>
                <w:i/>
                <w:iCs/>
                <w:lang w:val="pt-BR"/>
              </w:rPr>
              <w:t>C</w:t>
            </w:r>
            <w:r w:rsidRPr="0049525B">
              <w:rPr>
                <w:i/>
                <w:iCs/>
                <w:position w:val="-4"/>
                <w:sz w:val="14"/>
                <w:lang w:val="pt-BR"/>
              </w:rPr>
              <w:t>B</w:t>
            </w:r>
            <w:r w:rsidRPr="0049525B">
              <w:rPr>
                <w:lang w:val="pt-BR"/>
              </w:rPr>
              <w:t xml:space="preserve">, </w:t>
            </w:r>
            <w:r w:rsidRPr="0049525B">
              <w:rPr>
                <w:i/>
                <w:iCs/>
                <w:lang w:val="pt-BR"/>
              </w:rPr>
              <w:t>C</w:t>
            </w:r>
            <w:r w:rsidRPr="0049525B">
              <w:rPr>
                <w:i/>
                <w:iCs/>
                <w:position w:val="-4"/>
                <w:sz w:val="14"/>
                <w:lang w:val="pt-BR"/>
              </w:rPr>
              <w:t>R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Lines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4.2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Lines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 xml:space="preserve">Grille d'échantillonnage </w:t>
            </w: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G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Y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Lines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Orthogonale, se répétant à chaque ligne et </w:t>
            </w:r>
            <w:r>
              <w:rPr>
                <w:lang w:val="fr-FR"/>
              </w:rPr>
              <w:br/>
              <w:t>à chaque image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Lines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4.3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Lines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 xml:space="preserve">Grille d'échantillonnage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  <w:r>
              <w:rPr>
                <w:lang w:val="fr-FR"/>
              </w:rPr>
              <w:t>,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Lines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Orthogonale, se répétant à chaque ligne et à chaque image; coïncident avec les échantillons impairs (1er, 3ème, 5ème etc.) du signal </w:t>
            </w:r>
            <w:r>
              <w:rPr>
                <w:i/>
                <w:iCs/>
                <w:lang w:val="fr-FR"/>
              </w:rPr>
              <w:t>Y</w:t>
            </w:r>
            <w:r>
              <w:rPr>
                <w:lang w:val="fr-FR"/>
              </w:rPr>
              <w:t xml:space="preserve"> actif dans chaque ligne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4.4</w:t>
            </w:r>
          </w:p>
        </w:tc>
        <w:tc>
          <w:tcPr>
            <w:tcW w:w="3576" w:type="dxa"/>
          </w:tcPr>
          <w:p w:rsidR="005D7F88" w:rsidRPr="0069286E" w:rsidRDefault="005D7F88" w:rsidP="00FD19FA">
            <w:pPr>
              <w:pStyle w:val="TableText0"/>
              <w:keepNext w:val="0"/>
              <w:spacing w:before="40" w:after="40"/>
              <w:jc w:val="left"/>
              <w:rPr>
                <w:szCs w:val="18"/>
                <w:lang w:val="fr-FR"/>
              </w:rPr>
            </w:pPr>
            <w:r w:rsidRPr="0069286E">
              <w:rPr>
                <w:szCs w:val="18"/>
                <w:lang w:val="fr-FR"/>
              </w:rPr>
              <w:t xml:space="preserve">Fréquence d'échantillonnage </w:t>
            </w:r>
            <w:r w:rsidRPr="0069286E">
              <w:rPr>
                <w:i/>
                <w:iCs/>
                <w:szCs w:val="18"/>
                <w:lang w:val="fr-FR"/>
              </w:rPr>
              <w:t>R</w:t>
            </w:r>
            <w:r w:rsidRPr="0069286E">
              <w:rPr>
                <w:szCs w:val="18"/>
                <w:lang w:val="fr-FR"/>
              </w:rPr>
              <w:t xml:space="preserve">, </w:t>
            </w:r>
            <w:r w:rsidRPr="0069286E">
              <w:rPr>
                <w:i/>
                <w:iCs/>
                <w:szCs w:val="18"/>
                <w:lang w:val="fr-FR"/>
              </w:rPr>
              <w:t>G</w:t>
            </w:r>
            <w:r w:rsidRPr="0069286E">
              <w:rPr>
                <w:szCs w:val="18"/>
                <w:lang w:val="fr-FR"/>
              </w:rPr>
              <w:t xml:space="preserve">, </w:t>
            </w:r>
            <w:r w:rsidRPr="0069286E">
              <w:rPr>
                <w:i/>
                <w:iCs/>
                <w:szCs w:val="18"/>
                <w:lang w:val="fr-FR"/>
              </w:rPr>
              <w:t>B</w:t>
            </w:r>
            <w:r w:rsidRPr="0069286E">
              <w:rPr>
                <w:szCs w:val="18"/>
                <w:lang w:val="fr-FR"/>
              </w:rPr>
              <w:t xml:space="preserve">, </w:t>
            </w:r>
            <w:r w:rsidRPr="0069286E">
              <w:rPr>
                <w:i/>
                <w:iCs/>
                <w:szCs w:val="18"/>
                <w:lang w:val="fr-FR"/>
              </w:rPr>
              <w:t>Y</w:t>
            </w:r>
            <w:r w:rsidRPr="0069286E">
              <w:rPr>
                <w:szCs w:val="18"/>
                <w:lang w:val="fr-FR"/>
              </w:rPr>
              <w:t xml:space="preserve"> </w:t>
            </w:r>
            <w:r w:rsidRPr="0069286E">
              <w:rPr>
                <w:szCs w:val="18"/>
                <w:lang w:val="fr-FR"/>
              </w:rPr>
              <w:br/>
              <w:t xml:space="preserve">Fréquence d'échantillonnage </w:t>
            </w:r>
            <w:r w:rsidR="00FD19FA">
              <w:rPr>
                <w:i/>
                <w:iCs/>
                <w:lang w:val="fr-FR"/>
              </w:rPr>
              <w:t>C</w:t>
            </w:r>
            <w:r w:rsidR="00FD19FA">
              <w:rPr>
                <w:i/>
                <w:iCs/>
                <w:position w:val="-4"/>
                <w:sz w:val="14"/>
                <w:lang w:val="fr-FR"/>
              </w:rPr>
              <w:t>B</w:t>
            </w:r>
            <w:r w:rsidR="00FD19FA">
              <w:rPr>
                <w:lang w:val="fr-FR"/>
              </w:rPr>
              <w:t xml:space="preserve">, </w:t>
            </w:r>
            <w:r w:rsidR="00FD19FA">
              <w:rPr>
                <w:i/>
                <w:iCs/>
                <w:lang w:val="fr-FR"/>
              </w:rPr>
              <w:t>C</w:t>
            </w:r>
            <w:r w:rsidR="00FD19FA">
              <w:rPr>
                <w:i/>
                <w:iCs/>
                <w:position w:val="-4"/>
                <w:sz w:val="14"/>
                <w:lang w:val="fr-FR"/>
              </w:rPr>
              <w:t>R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27 MHz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3 ppm </w:t>
            </w:r>
            <w:r>
              <w:rPr>
                <w:lang w:val="fr-FR"/>
              </w:rPr>
              <w:br/>
              <w:t xml:space="preserve">Moitié de la fréquence d'échantillonnage de luminance </w:t>
            </w:r>
            <w:r>
              <w:rPr>
                <w:lang w:val="fr-FR"/>
              </w:rPr>
              <w:br/>
              <w:t xml:space="preserve">13,5 MHz </w:t>
            </w:r>
            <w:r w:rsidRPr="00871D2E">
              <w:sym w:font="Symbol" w:char="F0B1"/>
            </w:r>
            <w:r>
              <w:rPr>
                <w:lang w:val="fr-FR"/>
              </w:rPr>
              <w:t xml:space="preserve"> 3 ppm</w:t>
            </w:r>
          </w:p>
        </w:tc>
      </w:tr>
      <w:tr w:rsidR="005D7F88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4.5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Nombre d'échantillons par ligne entière</w:t>
            </w:r>
            <w:r>
              <w:rPr>
                <w:lang w:val="fr-FR"/>
              </w:rPr>
              <w:br/>
            </w:r>
            <w:r>
              <w:rPr>
                <w:lang w:val="fr-FR"/>
              </w:rPr>
              <w:tab/>
            </w: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G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Y</w:t>
            </w:r>
            <w:r>
              <w:rPr>
                <w:lang w:val="fr-FR"/>
              </w:rPr>
              <w:br/>
            </w:r>
            <w:r>
              <w:rPr>
                <w:lang w:val="fr-FR"/>
              </w:rPr>
              <w:tab/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</w:p>
        </w:tc>
        <w:tc>
          <w:tcPr>
            <w:tcW w:w="2676" w:type="dxa"/>
            <w:gridSpan w:val="2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  <w:t>864</w:t>
            </w:r>
            <w:r>
              <w:rPr>
                <w:lang w:val="fr-FR"/>
              </w:rPr>
              <w:br/>
              <w:t>432</w:t>
            </w:r>
          </w:p>
        </w:tc>
        <w:tc>
          <w:tcPr>
            <w:tcW w:w="2572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  <w:t>858</w:t>
            </w:r>
            <w:r>
              <w:rPr>
                <w:lang w:val="fr-FR"/>
              </w:rPr>
              <w:br/>
              <w:t>429</w:t>
            </w:r>
          </w:p>
        </w:tc>
      </w:tr>
      <w:tr w:rsidR="005D7F88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4.6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Nombre d'échantillons par ligne active</w:t>
            </w:r>
            <w:r>
              <w:rPr>
                <w:lang w:val="fr-FR"/>
              </w:rPr>
              <w:br/>
            </w:r>
            <w:r>
              <w:rPr>
                <w:lang w:val="fr-FR"/>
              </w:rPr>
              <w:tab/>
            </w: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G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Y</w:t>
            </w:r>
            <w:r>
              <w:rPr>
                <w:lang w:val="fr-FR"/>
              </w:rPr>
              <w:br/>
            </w:r>
            <w:r>
              <w:rPr>
                <w:lang w:val="fr-FR"/>
              </w:rPr>
              <w:tab/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  <w:t>720</w:t>
            </w:r>
            <w:r>
              <w:rPr>
                <w:lang w:val="fr-FR"/>
              </w:rPr>
              <w:br/>
              <w:t>360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4.7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Format de codage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Linéaire, échantillon à 8 ou 10 bits pour chaque signal primaire et chaque signal en composantes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4.8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Quantification:</w:t>
            </w:r>
            <w:r w:rsidDel="009325FC">
              <w:rPr>
                <w:position w:val="6"/>
                <w:sz w:val="14"/>
                <w:lang w:val="fr-FR"/>
              </w:rPr>
              <w:t xml:space="preserve"> </w:t>
            </w:r>
            <w:r>
              <w:rPr>
                <w:lang w:val="fr-FR"/>
              </w:rPr>
              <w:br/>
              <w:t xml:space="preserve">Signaux primaires </w:t>
            </w: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G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>: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Voir le § 3.5.3 de la Recommandation UIT-R BT.601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4.9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 xml:space="preserve">Quantification: Signal en composantes </w:t>
            </w:r>
            <w:r>
              <w:rPr>
                <w:i/>
                <w:iCs/>
                <w:lang w:val="fr-FR"/>
              </w:rPr>
              <w:t>Y</w:t>
            </w:r>
            <w:r>
              <w:rPr>
                <w:lang w:val="fr-FR"/>
              </w:rPr>
              <w:t>:</w:t>
            </w:r>
            <w:r>
              <w:rPr>
                <w:lang w:val="fr-FR"/>
              </w:rPr>
              <w:br/>
              <w:t xml:space="preserve">Signaux en composantes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  <w:r>
              <w:rPr>
                <w:lang w:val="fr-FR"/>
              </w:rPr>
              <w:t>: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Voir le § 3.5.3 de la Recommandation UIT-R BT.601</w:t>
            </w:r>
          </w:p>
        </w:tc>
      </w:tr>
      <w:tr w:rsidR="005D7F88" w:rsidRPr="00A3052D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 w:type="page"/>
              <w:t>4.10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 xml:space="preserve">Détermination des signaux </w:t>
            </w:r>
            <w:r>
              <w:rPr>
                <w:i/>
                <w:iCs/>
                <w:lang w:val="fr-FR"/>
              </w:rPr>
              <w:t>Y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  <w:r>
              <w:rPr>
                <w:vertAlign w:val="subscript"/>
                <w:lang w:val="fr-FR"/>
              </w:rPr>
              <w:t xml:space="preserve"> </w:t>
            </w:r>
            <w:r>
              <w:rPr>
                <w:lang w:val="fr-FR"/>
              </w:rPr>
              <w:t xml:space="preserve"> à partir des signaux primaires quantifiés </w:t>
            </w: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G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>:</w:t>
            </w:r>
          </w:p>
        </w:tc>
        <w:tc>
          <w:tcPr>
            <w:tcW w:w="5248" w:type="dxa"/>
            <w:gridSpan w:val="3"/>
          </w:tcPr>
          <w:p w:rsidR="005D7F88" w:rsidRPr="000C0454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Voir le § 3.5.4 de la Recommandation UIT-R BT.601</w:t>
            </w:r>
          </w:p>
        </w:tc>
      </w:tr>
      <w:tr w:rsidR="005D7F88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 w:type="page"/>
              <w:t>4.11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Relation temporelle entre le signal de référence de synchronisation analogique (</w:t>
            </w:r>
            <w:r w:rsidRPr="00F13D28">
              <w:rPr>
                <w:i/>
                <w:iCs/>
                <w:lang w:val="fr-FR"/>
              </w:rPr>
              <w:t>O</w:t>
            </w:r>
            <w:r w:rsidRPr="00F13D28">
              <w:rPr>
                <w:i/>
                <w:iCs/>
                <w:vertAlign w:val="subscript"/>
                <w:lang w:val="fr-FR"/>
              </w:rPr>
              <w:t>H</w:t>
            </w:r>
            <w:r>
              <w:rPr>
                <w:lang w:val="fr-FR"/>
              </w:rPr>
              <w:t>) et les données vidéo</w:t>
            </w:r>
          </w:p>
        </w:tc>
        <w:tc>
          <w:tcPr>
            <w:tcW w:w="2623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132 échantillons à</w:t>
            </w:r>
            <w:r>
              <w:rPr>
                <w:lang w:val="fr-FR"/>
              </w:rPr>
              <w:br/>
              <w:t>27 MHz</w:t>
            </w:r>
            <w:r>
              <w:rPr>
                <w:lang w:val="fr-FR"/>
              </w:rPr>
              <w:br/>
              <w:t>(Fig. 3)</w:t>
            </w:r>
          </w:p>
        </w:tc>
        <w:tc>
          <w:tcPr>
            <w:tcW w:w="2625" w:type="dxa"/>
            <w:gridSpan w:val="2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t>122 échantillons à</w:t>
            </w:r>
            <w:r>
              <w:rPr>
                <w:lang w:val="fr-FR"/>
              </w:rPr>
              <w:br/>
              <w:t>27 MHz</w:t>
            </w:r>
            <w:r>
              <w:rPr>
                <w:lang w:val="fr-FR"/>
              </w:rPr>
              <w:br/>
              <w:t>(Fig. 3)</w:t>
            </w:r>
          </w:p>
        </w:tc>
      </w:tr>
      <w:tr w:rsidR="005D7F88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 w:type="page"/>
              <w:t>4.12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Attribution des niveaux de quantification:</w:t>
            </w:r>
            <w:r>
              <w:rPr>
                <w:lang w:val="fr-FR"/>
              </w:rPr>
              <w:br/>
              <w:t>Données vidéo:</w:t>
            </w:r>
            <w:r>
              <w:rPr>
                <w:lang w:val="fr-FR"/>
              </w:rPr>
              <w:br/>
              <w:t>Références de synchronisation: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  <w:t>1,00 à 254,75</w:t>
            </w:r>
            <w:r>
              <w:rPr>
                <w:lang w:val="fr-FR"/>
              </w:rPr>
              <w:br/>
              <w:t>0,00 à 0,75 et 255,00 à 255,75</w:t>
            </w:r>
          </w:p>
        </w:tc>
      </w:tr>
      <w:tr w:rsidR="005D7F88" w:rsidTr="003F0463">
        <w:trPr>
          <w:jc w:val="center"/>
        </w:trPr>
        <w:tc>
          <w:tcPr>
            <w:tcW w:w="815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 w:type="page"/>
              <w:t>4.13</w:t>
            </w:r>
          </w:p>
        </w:tc>
        <w:tc>
          <w:tcPr>
            <w:tcW w:w="3576" w:type="dxa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left"/>
              <w:rPr>
                <w:lang w:val="fr-FR"/>
              </w:rPr>
            </w:pPr>
            <w:r>
              <w:rPr>
                <w:lang w:val="fr-FR"/>
              </w:rPr>
              <w:t>Caractéristiques du filtre</w:t>
            </w:r>
            <w:r>
              <w:rPr>
                <w:position w:val="6"/>
                <w:sz w:val="14"/>
                <w:lang w:val="fr-FR"/>
              </w:rPr>
              <w:t>(1)</w:t>
            </w:r>
            <w:r>
              <w:rPr>
                <w:vertAlign w:val="superscript"/>
                <w:lang w:val="fr-FR"/>
              </w:rPr>
              <w:br/>
            </w:r>
            <w:r>
              <w:rPr>
                <w:lang w:val="fr-FR"/>
              </w:rPr>
              <w:tab/>
            </w:r>
            <w:r>
              <w:rPr>
                <w:i/>
                <w:iCs/>
                <w:lang w:val="fr-FR"/>
              </w:rPr>
              <w:t>R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G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Y</w:t>
            </w:r>
            <w:r>
              <w:rPr>
                <w:lang w:val="fr-FR"/>
              </w:rPr>
              <w:br/>
            </w:r>
            <w:r>
              <w:rPr>
                <w:lang w:val="fr-FR"/>
              </w:rPr>
              <w:tab/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B</w:t>
            </w:r>
            <w:r>
              <w:rPr>
                <w:lang w:val="fr-FR"/>
              </w:rPr>
              <w:t xml:space="preserve">, </w:t>
            </w:r>
            <w:r>
              <w:rPr>
                <w:i/>
                <w:iCs/>
                <w:lang w:val="fr-FR"/>
              </w:rPr>
              <w:t>C</w:t>
            </w:r>
            <w:r>
              <w:rPr>
                <w:i/>
                <w:iCs/>
                <w:position w:val="-4"/>
                <w:sz w:val="14"/>
                <w:lang w:val="fr-FR"/>
              </w:rPr>
              <w:t>R</w:t>
            </w:r>
            <w:r>
              <w:rPr>
                <w:lang w:val="fr-FR"/>
              </w:rPr>
              <w:t xml:space="preserve"> </w:t>
            </w:r>
          </w:p>
        </w:tc>
        <w:tc>
          <w:tcPr>
            <w:tcW w:w="5248" w:type="dxa"/>
            <w:gridSpan w:val="3"/>
          </w:tcPr>
          <w:p w:rsidR="005D7F88" w:rsidRDefault="005D7F88" w:rsidP="003F0463">
            <w:pPr>
              <w:pStyle w:val="TableText0"/>
              <w:keepNext w:val="0"/>
              <w:spacing w:before="40" w:after="40"/>
              <w:jc w:val="center"/>
              <w:rPr>
                <w:lang w:val="fr-FR"/>
              </w:rPr>
            </w:pPr>
            <w:r>
              <w:rPr>
                <w:lang w:val="fr-FR"/>
              </w:rPr>
              <w:br/>
              <w:t>Fig. 4</w:t>
            </w:r>
            <w:r>
              <w:rPr>
                <w:lang w:val="fr-FR"/>
              </w:rPr>
              <w:br/>
              <w:t>Fig. 5</w:t>
            </w:r>
          </w:p>
        </w:tc>
      </w:tr>
      <w:tr w:rsidR="005D7F88" w:rsidRPr="00A3052D" w:rsidTr="003F0463">
        <w:trPr>
          <w:jc w:val="center"/>
        </w:trPr>
        <w:tc>
          <w:tcPr>
            <w:tcW w:w="9639" w:type="dxa"/>
            <w:gridSpan w:val="5"/>
            <w:tcBorders>
              <w:left w:val="nil"/>
              <w:bottom w:val="nil"/>
              <w:right w:val="nil"/>
            </w:tcBorders>
          </w:tcPr>
          <w:p w:rsidR="005D7F88" w:rsidRDefault="005D7F88" w:rsidP="003F0463">
            <w:pPr>
              <w:pStyle w:val="TableLegend0"/>
              <w:keepNext w:val="0"/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rPr>
                <w:lang w:val="fr-FR"/>
              </w:rPr>
            </w:pPr>
            <w:r w:rsidRPr="0049525B">
              <w:rPr>
                <w:position w:val="6"/>
                <w:sz w:val="14"/>
                <w:lang w:val="fr-FR"/>
              </w:rPr>
              <w:t>(</w:t>
            </w:r>
            <w:r>
              <w:rPr>
                <w:position w:val="6"/>
                <w:sz w:val="14"/>
                <w:lang w:val="fr-FR"/>
              </w:rPr>
              <w:t>1</w:t>
            </w:r>
            <w:r w:rsidRPr="0049525B">
              <w:rPr>
                <w:position w:val="6"/>
                <w:sz w:val="14"/>
                <w:lang w:val="fr-FR"/>
              </w:rPr>
              <w:t>)</w:t>
            </w:r>
            <w:r>
              <w:rPr>
                <w:lang w:val="fr-FR"/>
              </w:rPr>
              <w:tab/>
              <w:t>Les gabarits pour le filtre sont indiqués aux Fig. 4 et 5.</w:t>
            </w:r>
          </w:p>
        </w:tc>
      </w:tr>
    </w:tbl>
    <w:p w:rsidR="005D7F88" w:rsidRDefault="005D7F88" w:rsidP="005D7F88">
      <w:pPr>
        <w:pStyle w:val="Tablefin"/>
        <w:rPr>
          <w:lang w:val="fr-FR"/>
        </w:rPr>
      </w:pPr>
    </w:p>
    <w:bookmarkStart w:id="4" w:name="_GoBack"/>
    <w:p w:rsidR="005D7F88" w:rsidRDefault="00FD19FA" w:rsidP="007A7CB8">
      <w:pPr>
        <w:pStyle w:val="Figure"/>
      </w:pPr>
      <w:r>
        <w:object w:dxaOrig="10030" w:dyaOrig="13713">
          <v:shape id="_x0000_i1040" type="#_x0000_t75" style="width:472.15pt;height:646.8pt" o:ole="">
            <v:imagedata r:id="rId35" o:title=""/>
          </v:shape>
          <o:OLEObject Type="Embed" ProgID="CorelDRAW.Graphic.14" ShapeID="_x0000_i1040" DrawAspect="Content" ObjectID="_1411284979" r:id="rId36"/>
        </w:object>
      </w:r>
      <w:bookmarkEnd w:id="4"/>
    </w:p>
    <w:p w:rsidR="005D7F88" w:rsidRDefault="005D7F88" w:rsidP="007A7CB8">
      <w:pPr>
        <w:pStyle w:val="Figure"/>
      </w:pPr>
      <w:r>
        <w:object w:dxaOrig="6416" w:dyaOrig="11828">
          <v:shape id="_x0000_i1037" type="#_x0000_t75" style="width:319.85pt;height:591.35pt" o:ole="">
            <v:imagedata r:id="rId37" o:title=""/>
          </v:shape>
          <o:OLEObject Type="Embed" ProgID="CorelDRAW.Graphic.14" ShapeID="_x0000_i1037" DrawAspect="Content" ObjectID="_1411284980" r:id="rId38"/>
        </w:object>
      </w:r>
    </w:p>
    <w:p w:rsidR="005D7F88" w:rsidRDefault="005D7F88" w:rsidP="007A7CB8">
      <w:pPr>
        <w:pStyle w:val="Figure"/>
      </w:pPr>
      <w:r>
        <w:object w:dxaOrig="6416" w:dyaOrig="11828">
          <v:shape id="_x0000_i1038" type="#_x0000_t75" style="width:319.85pt;height:591.35pt" o:ole="">
            <v:imagedata r:id="rId39" o:title=""/>
          </v:shape>
          <o:OLEObject Type="Embed" ProgID="CorelDRAW.Graphic.14" ShapeID="_x0000_i1038" DrawAspect="Content" ObjectID="_1411284981" r:id="rId40"/>
        </w:object>
      </w:r>
    </w:p>
    <w:p w:rsidR="007A7CB8" w:rsidRPr="007A7CB8" w:rsidRDefault="007A7CB8" w:rsidP="007A7CB8">
      <w:pPr>
        <w:pStyle w:val="Line"/>
      </w:pPr>
    </w:p>
    <w:sectPr w:rsidR="007A7CB8" w:rsidRPr="007A7CB8" w:rsidSect="00B73C49">
      <w:headerReference w:type="even" r:id="rId41"/>
      <w:headerReference w:type="default" r:id="rId4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463" w:rsidRDefault="003F0463">
      <w:r>
        <w:separator/>
      </w:r>
    </w:p>
  </w:endnote>
  <w:endnote w:type="continuationSeparator" w:id="0">
    <w:p w:rsidR="003F0463" w:rsidRDefault="003F0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463" w:rsidRDefault="003F0463">
      <w:r>
        <w:separator/>
      </w:r>
    </w:p>
  </w:footnote>
  <w:footnote w:type="continuationSeparator" w:id="0">
    <w:p w:rsidR="003F0463" w:rsidRDefault="003F0463">
      <w:r>
        <w:continuationSeparator/>
      </w:r>
    </w:p>
  </w:footnote>
  <w:footnote w:id="1">
    <w:p w:rsidR="003F0463" w:rsidRPr="003C5395" w:rsidRDefault="003F0463" w:rsidP="003F0463">
      <w:pPr>
        <w:pStyle w:val="FootnoteText"/>
      </w:pPr>
      <w:r w:rsidRPr="003C5395">
        <w:rPr>
          <w:rStyle w:val="FootnoteReference"/>
        </w:rPr>
        <w:sym w:font="Symbol" w:char="F02A"/>
      </w:r>
      <w:r>
        <w:t xml:space="preserve"> </w:t>
      </w:r>
      <w:r>
        <w:tab/>
        <w:t>La Commission d'études 6 des radiocommunications a apporté des modifications rédactionnelles à la présente Recommandation en novembre 2009 et en mai 2012 conformément aux dispositions de la Résolution UIT</w:t>
      </w:r>
      <w:r>
        <w:noBreakHyphen/>
        <w:t>R 1.</w:t>
      </w:r>
    </w:p>
  </w:footnote>
  <w:footnote w:id="2">
    <w:p w:rsidR="003F0463" w:rsidRPr="003C5395" w:rsidRDefault="003F0463" w:rsidP="00CB3644">
      <w:pPr>
        <w:pStyle w:val="FootnoteText"/>
      </w:pPr>
      <w:r>
        <w:rPr>
          <w:rStyle w:val="FootnoteReference"/>
        </w:rPr>
        <w:t>**</w:t>
      </w:r>
      <w:r>
        <w:tab/>
        <w:t>L'utilisation future de la présente Recommandation pour la production de programmes n'est pas encouragée.</w:t>
      </w:r>
    </w:p>
  </w:footnote>
  <w:footnote w:id="3">
    <w:p w:rsidR="003F0463" w:rsidRPr="00C3462C" w:rsidRDefault="003F0463" w:rsidP="005D7F88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fr-CH"/>
        </w:rPr>
        <w:tab/>
        <w:t xml:space="preserve">Dans la présente Recommandation, la définition de la TVDN correspond à celle donnée dans la </w:t>
      </w:r>
      <w:r>
        <w:t>Recommandation UIT</w:t>
      </w:r>
      <w:r>
        <w:noBreakHyphen/>
        <w:t>R BT.601.</w:t>
      </w:r>
    </w:p>
  </w:footnote>
  <w:footnote w:id="4">
    <w:p w:rsidR="003F0463" w:rsidRPr="00C3462C" w:rsidRDefault="003F0463" w:rsidP="005D7F88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fr-CH"/>
        </w:rPr>
        <w:tab/>
        <w:t xml:space="preserve">La TVHD est définie dans la </w:t>
      </w:r>
      <w:r>
        <w:t>Recommandation UIT-R BT.709.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463" w:rsidRDefault="003F046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463" w:rsidRDefault="003F0463" w:rsidP="003F0463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5C0774A" wp14:editId="33AD21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463" w:rsidRDefault="003F046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D19FA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FD19FA">
      <w:fldChar w:fldCharType="begin"/>
    </w:r>
    <w:r w:rsidR="00FD19FA">
      <w:instrText xml:space="preserve"> DOCPROPERTY "Header" \* MERGEFORMAT </w:instrText>
    </w:r>
    <w:r w:rsidR="00FD19FA">
      <w:fldChar w:fldCharType="separate"/>
    </w:r>
    <w:r>
      <w:rPr>
        <w:b/>
        <w:bCs/>
        <w:lang w:val="en-US"/>
      </w:rPr>
      <w:t xml:space="preserve">Rec. </w:t>
    </w:r>
    <w:r w:rsidR="00FD19FA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D19FA">
      <w:rPr>
        <w:b/>
        <w:bCs/>
        <w:noProof/>
      </w:rPr>
      <w:t>UIT-R  BT.1358-1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463" w:rsidRDefault="003F0463">
    <w:pPr>
      <w:pStyle w:val="Header"/>
    </w:pPr>
    <w:r>
      <w:tab/>
    </w:r>
    <w:r w:rsidR="00FD19FA">
      <w:fldChar w:fldCharType="begin"/>
    </w:r>
    <w:r w:rsidR="00FD19FA">
      <w:instrText xml:space="preserve"> DOCPROPERTY "Header" \* MERGEFORMAT </w:instrText>
    </w:r>
    <w:r w:rsidR="00FD19FA">
      <w:fldChar w:fldCharType="separate"/>
    </w:r>
    <w:r>
      <w:rPr>
        <w:b/>
        <w:bCs/>
      </w:rPr>
      <w:t xml:space="preserve">Rec. </w:t>
    </w:r>
    <w:r w:rsidR="00FD19F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BR.xxxx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463" w:rsidRDefault="003F046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D19FA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Pr="000510F7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D19FA">
      <w:rPr>
        <w:b/>
        <w:bCs/>
        <w:noProof/>
      </w:rPr>
      <w:t>UIT-R  BT.1358-1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463" w:rsidRDefault="003F0463" w:rsidP="00B73C49">
    <w:pPr>
      <w:pStyle w:val="Header"/>
    </w:pPr>
    <w:r>
      <w:tab/>
    </w:r>
    <w:r w:rsidR="00FD19FA">
      <w:fldChar w:fldCharType="begin"/>
    </w:r>
    <w:r w:rsidR="00FD19FA">
      <w:instrText xml:space="preserve"> DOCPROPERTY "Header" \* MERGEFORMAT </w:instrText>
    </w:r>
    <w:r w:rsidR="00FD19FA">
      <w:fldChar w:fldCharType="separate"/>
    </w:r>
    <w:r w:rsidRPr="000510F7">
      <w:rPr>
        <w:b/>
        <w:bCs/>
      </w:rPr>
      <w:t xml:space="preserve">Rec. </w:t>
    </w:r>
    <w:r w:rsidR="00FD19F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D19FA">
      <w:rPr>
        <w:b/>
        <w:bCs/>
        <w:noProof/>
      </w:rPr>
      <w:t>UIT-R  BT.1358-1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D19FA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F7"/>
    <w:rsid w:val="000510F7"/>
    <w:rsid w:val="00217EBF"/>
    <w:rsid w:val="00242AEE"/>
    <w:rsid w:val="002D76C4"/>
    <w:rsid w:val="003F0463"/>
    <w:rsid w:val="0052529D"/>
    <w:rsid w:val="005D7F88"/>
    <w:rsid w:val="00607D68"/>
    <w:rsid w:val="007468DA"/>
    <w:rsid w:val="007A7CB8"/>
    <w:rsid w:val="00856A29"/>
    <w:rsid w:val="0087085A"/>
    <w:rsid w:val="009C006A"/>
    <w:rsid w:val="009D7C9A"/>
    <w:rsid w:val="009E00A8"/>
    <w:rsid w:val="00A6617B"/>
    <w:rsid w:val="00AB0DC8"/>
    <w:rsid w:val="00B44E24"/>
    <w:rsid w:val="00B73C49"/>
    <w:rsid w:val="00CB3644"/>
    <w:rsid w:val="00DF4176"/>
    <w:rsid w:val="00F21020"/>
    <w:rsid w:val="00F51276"/>
    <w:rsid w:val="00FD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64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B364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B364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B364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B364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B3644"/>
    <w:pPr>
      <w:outlineLvl w:val="4"/>
    </w:pPr>
  </w:style>
  <w:style w:type="paragraph" w:styleId="Heading6">
    <w:name w:val="heading 6"/>
    <w:basedOn w:val="Heading4"/>
    <w:next w:val="Normal"/>
    <w:qFormat/>
    <w:rsid w:val="00CB364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B3644"/>
    <w:pPr>
      <w:outlineLvl w:val="6"/>
    </w:pPr>
  </w:style>
  <w:style w:type="paragraph" w:styleId="Heading8">
    <w:name w:val="heading 8"/>
    <w:basedOn w:val="Heading6"/>
    <w:next w:val="Normal"/>
    <w:qFormat/>
    <w:rsid w:val="00CB3644"/>
    <w:pPr>
      <w:outlineLvl w:val="7"/>
    </w:pPr>
  </w:style>
  <w:style w:type="paragraph" w:styleId="Heading9">
    <w:name w:val="heading 9"/>
    <w:basedOn w:val="Heading6"/>
    <w:next w:val="Normal"/>
    <w:qFormat/>
    <w:rsid w:val="00CB364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B364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B364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B3644"/>
  </w:style>
  <w:style w:type="paragraph" w:customStyle="1" w:styleId="Headingb">
    <w:name w:val="Heading_b"/>
    <w:basedOn w:val="Heading3"/>
    <w:next w:val="Normal"/>
    <w:rsid w:val="00CB364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B364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B3644"/>
  </w:style>
  <w:style w:type="paragraph" w:customStyle="1" w:styleId="enumlev1">
    <w:name w:val="enumlev1"/>
    <w:basedOn w:val="Normal"/>
    <w:rsid w:val="00CB3644"/>
    <w:pPr>
      <w:spacing w:before="80"/>
      <w:ind w:left="794" w:hanging="794"/>
    </w:pPr>
  </w:style>
  <w:style w:type="paragraph" w:customStyle="1" w:styleId="enumlev2">
    <w:name w:val="enumlev2"/>
    <w:basedOn w:val="enumlev1"/>
    <w:rsid w:val="00CB3644"/>
    <w:pPr>
      <w:ind w:left="1191" w:hanging="397"/>
    </w:pPr>
  </w:style>
  <w:style w:type="paragraph" w:customStyle="1" w:styleId="enumlev3">
    <w:name w:val="enumlev3"/>
    <w:basedOn w:val="enumlev2"/>
    <w:rsid w:val="00CB3644"/>
    <w:pPr>
      <w:ind w:left="1588"/>
    </w:pPr>
  </w:style>
  <w:style w:type="paragraph" w:customStyle="1" w:styleId="Normalaftertitle">
    <w:name w:val="Normal_after_title"/>
    <w:basedOn w:val="Normal"/>
    <w:next w:val="Normal"/>
    <w:rsid w:val="00CB3644"/>
    <w:pPr>
      <w:spacing w:before="320"/>
    </w:pPr>
  </w:style>
  <w:style w:type="paragraph" w:customStyle="1" w:styleId="Note">
    <w:name w:val="Note"/>
    <w:basedOn w:val="Normal"/>
    <w:rsid w:val="00CB364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CB3644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CB3644"/>
    <w:pPr>
      <w:jc w:val="center"/>
    </w:pPr>
  </w:style>
  <w:style w:type="paragraph" w:customStyle="1" w:styleId="Recdate">
    <w:name w:val="Rec_date"/>
    <w:basedOn w:val="Recref"/>
    <w:next w:val="Normalaftertitle"/>
    <w:rsid w:val="00CB3644"/>
    <w:pPr>
      <w:jc w:val="right"/>
    </w:pPr>
  </w:style>
  <w:style w:type="paragraph" w:customStyle="1" w:styleId="AnnexNoTitle">
    <w:name w:val="Annex_NoTitle"/>
    <w:basedOn w:val="Normal"/>
    <w:next w:val="Normalaftertitle"/>
    <w:rsid w:val="00CB364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B3644"/>
  </w:style>
  <w:style w:type="paragraph" w:customStyle="1" w:styleId="Tablefin">
    <w:name w:val="Table_fin"/>
    <w:basedOn w:val="Normal"/>
    <w:next w:val="Normal"/>
    <w:rsid w:val="00CB364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B364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B364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B364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B364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B364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B364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B3644"/>
    <w:pPr>
      <w:ind w:left="794"/>
    </w:pPr>
  </w:style>
  <w:style w:type="paragraph" w:customStyle="1" w:styleId="Figurelegend">
    <w:name w:val="Figure_legend"/>
    <w:basedOn w:val="Normal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B364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CB364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B364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B364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B364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B364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B3644"/>
    <w:rPr>
      <w:b/>
    </w:rPr>
  </w:style>
  <w:style w:type="paragraph" w:customStyle="1" w:styleId="Chaptitle">
    <w:name w:val="Chap_title"/>
    <w:basedOn w:val="Arttitle"/>
    <w:next w:val="Normalaftertitle"/>
    <w:rsid w:val="00CB3644"/>
  </w:style>
  <w:style w:type="character" w:styleId="FootnoteReference">
    <w:name w:val="footnote reference"/>
    <w:basedOn w:val="DefaultParagraphFont"/>
    <w:semiHidden/>
    <w:rsid w:val="00CB3644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CB364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B3644"/>
  </w:style>
  <w:style w:type="paragraph" w:styleId="Index2">
    <w:name w:val="index 2"/>
    <w:basedOn w:val="Normal"/>
    <w:next w:val="Normal"/>
    <w:semiHidden/>
    <w:rsid w:val="00CB3644"/>
    <w:pPr>
      <w:ind w:left="283"/>
    </w:pPr>
  </w:style>
  <w:style w:type="paragraph" w:styleId="Index3">
    <w:name w:val="index 3"/>
    <w:basedOn w:val="Normal"/>
    <w:next w:val="Normal"/>
    <w:semiHidden/>
    <w:rsid w:val="00CB3644"/>
    <w:pPr>
      <w:ind w:left="566"/>
    </w:pPr>
  </w:style>
  <w:style w:type="paragraph" w:styleId="IndexHeading">
    <w:name w:val="index heading"/>
    <w:basedOn w:val="Normal"/>
    <w:next w:val="Index1"/>
    <w:semiHidden/>
    <w:rsid w:val="00CB3644"/>
  </w:style>
  <w:style w:type="paragraph" w:customStyle="1" w:styleId="Line">
    <w:name w:val="Line"/>
    <w:basedOn w:val="Normal"/>
    <w:next w:val="Normal"/>
    <w:rsid w:val="00CB364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B364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B3644"/>
  </w:style>
  <w:style w:type="paragraph" w:customStyle="1" w:styleId="Partref">
    <w:name w:val="Part_ref"/>
    <w:basedOn w:val="Normal"/>
    <w:next w:val="Normal"/>
    <w:rsid w:val="00CB364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B3644"/>
  </w:style>
  <w:style w:type="paragraph" w:customStyle="1" w:styleId="QuestionNo">
    <w:name w:val="Question_No"/>
    <w:basedOn w:val="RecNo"/>
    <w:next w:val="Normal"/>
    <w:rsid w:val="00CB3644"/>
  </w:style>
  <w:style w:type="paragraph" w:customStyle="1" w:styleId="Questionref">
    <w:name w:val="Question_ref"/>
    <w:basedOn w:val="Recref"/>
    <w:next w:val="Questiondate"/>
    <w:rsid w:val="00CB3644"/>
  </w:style>
  <w:style w:type="paragraph" w:customStyle="1" w:styleId="Questiontitle">
    <w:name w:val="Question_title"/>
    <w:basedOn w:val="Normal"/>
    <w:next w:val="Questionref"/>
    <w:rsid w:val="00CB3644"/>
  </w:style>
  <w:style w:type="paragraph" w:customStyle="1" w:styleId="Reftext">
    <w:name w:val="Ref_text"/>
    <w:basedOn w:val="Normal"/>
    <w:rsid w:val="00CB364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B364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B3644"/>
  </w:style>
  <w:style w:type="paragraph" w:customStyle="1" w:styleId="RepNo">
    <w:name w:val="Rep_No"/>
    <w:basedOn w:val="RecNo"/>
    <w:next w:val="Reptitle"/>
    <w:rsid w:val="00CB3644"/>
  </w:style>
  <w:style w:type="paragraph" w:customStyle="1" w:styleId="Repref">
    <w:name w:val="Rep_ref"/>
    <w:basedOn w:val="Recref"/>
    <w:next w:val="Repdate"/>
    <w:rsid w:val="00CB3644"/>
  </w:style>
  <w:style w:type="paragraph" w:customStyle="1" w:styleId="Reptitle">
    <w:name w:val="Rep_title"/>
    <w:basedOn w:val="Rectitle"/>
    <w:next w:val="Repref"/>
    <w:rsid w:val="00CB3644"/>
  </w:style>
  <w:style w:type="paragraph" w:customStyle="1" w:styleId="Resdate">
    <w:name w:val="Res_date"/>
    <w:basedOn w:val="Recdate"/>
    <w:next w:val="Normalaftertitle"/>
    <w:rsid w:val="00CB3644"/>
  </w:style>
  <w:style w:type="paragraph" w:customStyle="1" w:styleId="ResNo">
    <w:name w:val="Res_No"/>
    <w:basedOn w:val="RecNo"/>
    <w:next w:val="Restitle"/>
    <w:rsid w:val="00CB3644"/>
  </w:style>
  <w:style w:type="paragraph" w:customStyle="1" w:styleId="Resref">
    <w:name w:val="Res_ref"/>
    <w:basedOn w:val="Recref"/>
    <w:next w:val="Resdate"/>
    <w:rsid w:val="00CB3644"/>
  </w:style>
  <w:style w:type="paragraph" w:customStyle="1" w:styleId="Restitle">
    <w:name w:val="Res_title"/>
    <w:basedOn w:val="Normal"/>
    <w:next w:val="Resref"/>
    <w:rsid w:val="00CB3644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CB3644"/>
  </w:style>
  <w:style w:type="paragraph" w:customStyle="1" w:styleId="Sectiontitle">
    <w:name w:val="Section_title"/>
    <w:basedOn w:val="Normal"/>
    <w:next w:val="Normalaftertitle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B364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B364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B364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B364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B364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B3644"/>
  </w:style>
  <w:style w:type="paragraph" w:styleId="TOC6">
    <w:name w:val="toc 6"/>
    <w:basedOn w:val="TOC4"/>
    <w:semiHidden/>
    <w:rsid w:val="00CB3644"/>
  </w:style>
  <w:style w:type="paragraph" w:styleId="TOC7">
    <w:name w:val="toc 7"/>
    <w:basedOn w:val="TOC4"/>
    <w:semiHidden/>
    <w:rsid w:val="00CB3644"/>
  </w:style>
  <w:style w:type="paragraph" w:styleId="TOC8">
    <w:name w:val="toc 8"/>
    <w:basedOn w:val="TOC4"/>
    <w:semiHidden/>
    <w:rsid w:val="00CB3644"/>
  </w:style>
  <w:style w:type="paragraph" w:customStyle="1" w:styleId="Rectitle">
    <w:name w:val="Rec_title"/>
    <w:basedOn w:val="Normal"/>
    <w:next w:val="Recref"/>
    <w:rsid w:val="00CB3644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CB364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B3644"/>
  </w:style>
  <w:style w:type="paragraph" w:customStyle="1" w:styleId="Figuretitle">
    <w:name w:val="Figure_title"/>
    <w:basedOn w:val="Normal"/>
    <w:next w:val="Figure"/>
    <w:rsid w:val="00CB364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CB364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CB3644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CB3644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CB3644"/>
    <w:pPr>
      <w:keepNext w:val="0"/>
      <w:spacing w:before="0" w:after="240"/>
    </w:pPr>
  </w:style>
  <w:style w:type="character" w:styleId="Hyperlink">
    <w:name w:val="Hyperlink"/>
    <w:basedOn w:val="DefaultParagraphFont"/>
    <w:rsid w:val="000510F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D7F88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D7F88"/>
    <w:rPr>
      <w:sz w:val="22"/>
      <w:lang w:val="fr-FR" w:eastAsia="en-US"/>
    </w:rPr>
  </w:style>
  <w:style w:type="paragraph" w:customStyle="1" w:styleId="TableLegend0">
    <w:name w:val="Table_Legend"/>
    <w:basedOn w:val="Normal"/>
    <w:next w:val="Normal"/>
    <w:rsid w:val="005D7F88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5D7F88"/>
    <w:pPr>
      <w:spacing w:before="100" w:after="100" w:line="190" w:lineRule="exact"/>
      <w:ind w:left="0" w:right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64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B364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B364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B364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B364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B3644"/>
    <w:pPr>
      <w:outlineLvl w:val="4"/>
    </w:pPr>
  </w:style>
  <w:style w:type="paragraph" w:styleId="Heading6">
    <w:name w:val="heading 6"/>
    <w:basedOn w:val="Heading4"/>
    <w:next w:val="Normal"/>
    <w:qFormat/>
    <w:rsid w:val="00CB364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B3644"/>
    <w:pPr>
      <w:outlineLvl w:val="6"/>
    </w:pPr>
  </w:style>
  <w:style w:type="paragraph" w:styleId="Heading8">
    <w:name w:val="heading 8"/>
    <w:basedOn w:val="Heading6"/>
    <w:next w:val="Normal"/>
    <w:qFormat/>
    <w:rsid w:val="00CB3644"/>
    <w:pPr>
      <w:outlineLvl w:val="7"/>
    </w:pPr>
  </w:style>
  <w:style w:type="paragraph" w:styleId="Heading9">
    <w:name w:val="heading 9"/>
    <w:basedOn w:val="Heading6"/>
    <w:next w:val="Normal"/>
    <w:qFormat/>
    <w:rsid w:val="00CB364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B364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B364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B3644"/>
  </w:style>
  <w:style w:type="paragraph" w:customStyle="1" w:styleId="Headingb">
    <w:name w:val="Heading_b"/>
    <w:basedOn w:val="Heading3"/>
    <w:next w:val="Normal"/>
    <w:rsid w:val="00CB364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B364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B3644"/>
  </w:style>
  <w:style w:type="paragraph" w:customStyle="1" w:styleId="enumlev1">
    <w:name w:val="enumlev1"/>
    <w:basedOn w:val="Normal"/>
    <w:rsid w:val="00CB3644"/>
    <w:pPr>
      <w:spacing w:before="80"/>
      <w:ind w:left="794" w:hanging="794"/>
    </w:pPr>
  </w:style>
  <w:style w:type="paragraph" w:customStyle="1" w:styleId="enumlev2">
    <w:name w:val="enumlev2"/>
    <w:basedOn w:val="enumlev1"/>
    <w:rsid w:val="00CB3644"/>
    <w:pPr>
      <w:ind w:left="1191" w:hanging="397"/>
    </w:pPr>
  </w:style>
  <w:style w:type="paragraph" w:customStyle="1" w:styleId="enumlev3">
    <w:name w:val="enumlev3"/>
    <w:basedOn w:val="enumlev2"/>
    <w:rsid w:val="00CB3644"/>
    <w:pPr>
      <w:ind w:left="1588"/>
    </w:pPr>
  </w:style>
  <w:style w:type="paragraph" w:customStyle="1" w:styleId="Normalaftertitle">
    <w:name w:val="Normal_after_title"/>
    <w:basedOn w:val="Normal"/>
    <w:next w:val="Normal"/>
    <w:rsid w:val="00CB3644"/>
    <w:pPr>
      <w:spacing w:before="320"/>
    </w:pPr>
  </w:style>
  <w:style w:type="paragraph" w:customStyle="1" w:styleId="Note">
    <w:name w:val="Note"/>
    <w:basedOn w:val="Normal"/>
    <w:rsid w:val="00CB364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CB3644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CB3644"/>
    <w:pPr>
      <w:jc w:val="center"/>
    </w:pPr>
  </w:style>
  <w:style w:type="paragraph" w:customStyle="1" w:styleId="Recdate">
    <w:name w:val="Rec_date"/>
    <w:basedOn w:val="Recref"/>
    <w:next w:val="Normalaftertitle"/>
    <w:rsid w:val="00CB3644"/>
    <w:pPr>
      <w:jc w:val="right"/>
    </w:pPr>
  </w:style>
  <w:style w:type="paragraph" w:customStyle="1" w:styleId="AnnexNoTitle">
    <w:name w:val="Annex_NoTitle"/>
    <w:basedOn w:val="Normal"/>
    <w:next w:val="Normalaftertitle"/>
    <w:rsid w:val="00CB364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B3644"/>
  </w:style>
  <w:style w:type="paragraph" w:customStyle="1" w:styleId="Tablefin">
    <w:name w:val="Table_fin"/>
    <w:basedOn w:val="Normal"/>
    <w:next w:val="Normal"/>
    <w:rsid w:val="00CB364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B364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B364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B364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B364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B364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B364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B3644"/>
    <w:pPr>
      <w:ind w:left="794"/>
    </w:pPr>
  </w:style>
  <w:style w:type="paragraph" w:customStyle="1" w:styleId="Figurelegend">
    <w:name w:val="Figure_legend"/>
    <w:basedOn w:val="Normal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B364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CB364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B364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B364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B364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B364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B3644"/>
    <w:rPr>
      <w:b/>
    </w:rPr>
  </w:style>
  <w:style w:type="paragraph" w:customStyle="1" w:styleId="Chaptitle">
    <w:name w:val="Chap_title"/>
    <w:basedOn w:val="Arttitle"/>
    <w:next w:val="Normalaftertitle"/>
    <w:rsid w:val="00CB3644"/>
  </w:style>
  <w:style w:type="character" w:styleId="FootnoteReference">
    <w:name w:val="footnote reference"/>
    <w:basedOn w:val="DefaultParagraphFont"/>
    <w:semiHidden/>
    <w:rsid w:val="00CB3644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CB364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B3644"/>
  </w:style>
  <w:style w:type="paragraph" w:styleId="Index2">
    <w:name w:val="index 2"/>
    <w:basedOn w:val="Normal"/>
    <w:next w:val="Normal"/>
    <w:semiHidden/>
    <w:rsid w:val="00CB3644"/>
    <w:pPr>
      <w:ind w:left="283"/>
    </w:pPr>
  </w:style>
  <w:style w:type="paragraph" w:styleId="Index3">
    <w:name w:val="index 3"/>
    <w:basedOn w:val="Normal"/>
    <w:next w:val="Normal"/>
    <w:semiHidden/>
    <w:rsid w:val="00CB3644"/>
    <w:pPr>
      <w:ind w:left="566"/>
    </w:pPr>
  </w:style>
  <w:style w:type="paragraph" w:styleId="IndexHeading">
    <w:name w:val="index heading"/>
    <w:basedOn w:val="Normal"/>
    <w:next w:val="Index1"/>
    <w:semiHidden/>
    <w:rsid w:val="00CB3644"/>
  </w:style>
  <w:style w:type="paragraph" w:customStyle="1" w:styleId="Line">
    <w:name w:val="Line"/>
    <w:basedOn w:val="Normal"/>
    <w:next w:val="Normal"/>
    <w:rsid w:val="00CB364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B364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B3644"/>
  </w:style>
  <w:style w:type="paragraph" w:customStyle="1" w:styleId="Partref">
    <w:name w:val="Part_ref"/>
    <w:basedOn w:val="Normal"/>
    <w:next w:val="Normal"/>
    <w:rsid w:val="00CB364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B3644"/>
  </w:style>
  <w:style w:type="paragraph" w:customStyle="1" w:styleId="QuestionNo">
    <w:name w:val="Question_No"/>
    <w:basedOn w:val="RecNo"/>
    <w:next w:val="Normal"/>
    <w:rsid w:val="00CB3644"/>
  </w:style>
  <w:style w:type="paragraph" w:customStyle="1" w:styleId="Questionref">
    <w:name w:val="Question_ref"/>
    <w:basedOn w:val="Recref"/>
    <w:next w:val="Questiondate"/>
    <w:rsid w:val="00CB3644"/>
  </w:style>
  <w:style w:type="paragraph" w:customStyle="1" w:styleId="Questiontitle">
    <w:name w:val="Question_title"/>
    <w:basedOn w:val="Normal"/>
    <w:next w:val="Questionref"/>
    <w:rsid w:val="00CB3644"/>
  </w:style>
  <w:style w:type="paragraph" w:customStyle="1" w:styleId="Reftext">
    <w:name w:val="Ref_text"/>
    <w:basedOn w:val="Normal"/>
    <w:rsid w:val="00CB364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B364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B3644"/>
  </w:style>
  <w:style w:type="paragraph" w:customStyle="1" w:styleId="RepNo">
    <w:name w:val="Rep_No"/>
    <w:basedOn w:val="RecNo"/>
    <w:next w:val="Reptitle"/>
    <w:rsid w:val="00CB3644"/>
  </w:style>
  <w:style w:type="paragraph" w:customStyle="1" w:styleId="Repref">
    <w:name w:val="Rep_ref"/>
    <w:basedOn w:val="Recref"/>
    <w:next w:val="Repdate"/>
    <w:rsid w:val="00CB3644"/>
  </w:style>
  <w:style w:type="paragraph" w:customStyle="1" w:styleId="Reptitle">
    <w:name w:val="Rep_title"/>
    <w:basedOn w:val="Rectitle"/>
    <w:next w:val="Repref"/>
    <w:rsid w:val="00CB3644"/>
  </w:style>
  <w:style w:type="paragraph" w:customStyle="1" w:styleId="Resdate">
    <w:name w:val="Res_date"/>
    <w:basedOn w:val="Recdate"/>
    <w:next w:val="Normalaftertitle"/>
    <w:rsid w:val="00CB3644"/>
  </w:style>
  <w:style w:type="paragraph" w:customStyle="1" w:styleId="ResNo">
    <w:name w:val="Res_No"/>
    <w:basedOn w:val="RecNo"/>
    <w:next w:val="Restitle"/>
    <w:rsid w:val="00CB3644"/>
  </w:style>
  <w:style w:type="paragraph" w:customStyle="1" w:styleId="Resref">
    <w:name w:val="Res_ref"/>
    <w:basedOn w:val="Recref"/>
    <w:next w:val="Resdate"/>
    <w:rsid w:val="00CB3644"/>
  </w:style>
  <w:style w:type="paragraph" w:customStyle="1" w:styleId="Restitle">
    <w:name w:val="Res_title"/>
    <w:basedOn w:val="Normal"/>
    <w:next w:val="Resref"/>
    <w:rsid w:val="00CB3644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CB3644"/>
  </w:style>
  <w:style w:type="paragraph" w:customStyle="1" w:styleId="Sectiontitle">
    <w:name w:val="Section_title"/>
    <w:basedOn w:val="Normal"/>
    <w:next w:val="Normalaftertitle"/>
    <w:rsid w:val="00CB364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B364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B364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B364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B364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B364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B3644"/>
  </w:style>
  <w:style w:type="paragraph" w:styleId="TOC6">
    <w:name w:val="toc 6"/>
    <w:basedOn w:val="TOC4"/>
    <w:semiHidden/>
    <w:rsid w:val="00CB3644"/>
  </w:style>
  <w:style w:type="paragraph" w:styleId="TOC7">
    <w:name w:val="toc 7"/>
    <w:basedOn w:val="TOC4"/>
    <w:semiHidden/>
    <w:rsid w:val="00CB3644"/>
  </w:style>
  <w:style w:type="paragraph" w:styleId="TOC8">
    <w:name w:val="toc 8"/>
    <w:basedOn w:val="TOC4"/>
    <w:semiHidden/>
    <w:rsid w:val="00CB3644"/>
  </w:style>
  <w:style w:type="paragraph" w:customStyle="1" w:styleId="Rectitle">
    <w:name w:val="Rec_title"/>
    <w:basedOn w:val="Normal"/>
    <w:next w:val="Recref"/>
    <w:rsid w:val="00CB3644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CB364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B3644"/>
  </w:style>
  <w:style w:type="paragraph" w:customStyle="1" w:styleId="Figuretitle">
    <w:name w:val="Figure_title"/>
    <w:basedOn w:val="Normal"/>
    <w:next w:val="Figure"/>
    <w:rsid w:val="00CB364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CB364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CB3644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CB3644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CB3644"/>
    <w:pPr>
      <w:keepNext w:val="0"/>
      <w:spacing w:before="0" w:after="240"/>
    </w:pPr>
  </w:style>
  <w:style w:type="character" w:styleId="Hyperlink">
    <w:name w:val="Hyperlink"/>
    <w:basedOn w:val="DefaultParagraphFont"/>
    <w:rsid w:val="000510F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D7F88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D7F88"/>
    <w:rPr>
      <w:sz w:val="22"/>
      <w:lang w:val="fr-FR" w:eastAsia="en-US"/>
    </w:rPr>
  </w:style>
  <w:style w:type="paragraph" w:customStyle="1" w:styleId="TableLegend0">
    <w:name w:val="Table_Legend"/>
    <w:basedOn w:val="Normal"/>
    <w:next w:val="Normal"/>
    <w:rsid w:val="005D7F88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5D7F88"/>
    <w:pPr>
      <w:spacing w:before="100" w:after="100" w:line="190" w:lineRule="exact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41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/R-REC/fr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rquizul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</TotalTime>
  <Pages>11</Pages>
  <Words>1868</Words>
  <Characters>10837</Characters>
  <Application>Microsoft Office Word</Application>
  <DocSecurity>0</DocSecurity>
  <Lines>722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Urquizu, Luisa </dc:creator>
  <cp:keywords/>
  <dc:description/>
  <cp:lastModifiedBy>Gachet, Christelle</cp:lastModifiedBy>
  <cp:revision>10</cp:revision>
  <cp:lastPrinted>2005-02-10T15:54:00Z</cp:lastPrinted>
  <dcterms:created xsi:type="dcterms:W3CDTF">2012-10-08T12:26:00Z</dcterms:created>
  <dcterms:modified xsi:type="dcterms:W3CDTF">2012-10-09T08:39:00Z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