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p w:rsidR="00D168BC" w:rsidRDefault="00D168BC" w:rsidP="00D168BC"/>
    <w:tbl>
      <w:tblPr>
        <w:tblW w:w="10089" w:type="dxa"/>
        <w:tblLook w:val="01E0"/>
      </w:tblPr>
      <w:tblGrid>
        <w:gridCol w:w="10089"/>
      </w:tblGrid>
      <w:tr w:rsidR="00D168BC" w:rsidRPr="000F6905" w:rsidTr="00D168BC">
        <w:tc>
          <w:tcPr>
            <w:tcW w:w="10089" w:type="dxa"/>
          </w:tcPr>
          <w:p w:rsidR="00D168BC" w:rsidRPr="007B31CB" w:rsidRDefault="00D168BC" w:rsidP="00D168B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168BC" w:rsidRPr="006D690E" w:rsidRDefault="00D168BC" w:rsidP="00D168B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D6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1299-1</w:t>
            </w:r>
          </w:p>
          <w:p w:rsidR="00D168BC" w:rsidRPr="000F6905" w:rsidRDefault="00D168BC" w:rsidP="007B4D6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0F690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7B4D6C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0F690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2010</w:t>
            </w:r>
            <w:r w:rsidRPr="000F6905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D168BC" w:rsidRPr="00FB3CAF" w:rsidTr="00D168BC">
        <w:tc>
          <w:tcPr>
            <w:tcW w:w="10089" w:type="dxa"/>
          </w:tcPr>
          <w:p w:rsidR="00D168BC" w:rsidRPr="00FB3CAF" w:rsidRDefault="00D168BC" w:rsidP="00D168B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D168BC" w:rsidRDefault="00D168BC" w:rsidP="00D168B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The basic elements of a worl</w:t>
            </w:r>
            <w:r w:rsidR="007F7BD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d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wide common family of systems for digital terrestrial television broadcasting</w:t>
            </w:r>
          </w:p>
          <w:p w:rsidR="00D168BC" w:rsidRPr="007B31CB" w:rsidRDefault="00D168BC" w:rsidP="00D168B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D168BC" w:rsidRPr="00FB3CAF" w:rsidTr="00D168BC">
        <w:tc>
          <w:tcPr>
            <w:tcW w:w="10089" w:type="dxa"/>
          </w:tcPr>
          <w:p w:rsidR="00D168BC" w:rsidRPr="00FB3CAF" w:rsidRDefault="00D168BC" w:rsidP="00D168B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168BC" w:rsidRPr="00FB3CAF" w:rsidRDefault="00D168BC" w:rsidP="00D168B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D168BC" w:rsidRPr="00FB3CAF" w:rsidRDefault="00D168BC" w:rsidP="00D168B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D168BC" w:rsidRPr="007B31CB" w:rsidRDefault="00D168BC" w:rsidP="00D168B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D168BC" w:rsidRDefault="007B4D6C" w:rsidP="00D168B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D168BC" w:rsidRPr="007B31CB" w:rsidRDefault="00D168BC" w:rsidP="00D168B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7B31C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D168BC" w:rsidRPr="007B31CB" w:rsidRDefault="00D168BC" w:rsidP="00D168B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D168BC" w:rsidRDefault="00D168BC" w:rsidP="00D168BC">
      <w:pPr>
        <w:spacing w:before="80"/>
        <w:rPr>
          <w:i/>
          <w:sz w:val="22"/>
          <w:lang w:val="en-US"/>
        </w:rPr>
      </w:pPr>
    </w:p>
    <w:p w:rsidR="00D168BC" w:rsidRDefault="00D168BC" w:rsidP="00D168BC">
      <w:pPr>
        <w:spacing w:before="80"/>
        <w:rPr>
          <w:i/>
          <w:sz w:val="22"/>
          <w:lang w:val="en-US"/>
        </w:rPr>
      </w:pPr>
    </w:p>
    <w:p w:rsidR="00D168BC" w:rsidRDefault="00D168BC" w:rsidP="00D168BC">
      <w:pPr>
        <w:spacing w:before="80"/>
        <w:rPr>
          <w:i/>
          <w:sz w:val="22"/>
          <w:lang w:val="en-US"/>
        </w:rPr>
      </w:pPr>
    </w:p>
    <w:p w:rsidR="00D168BC" w:rsidRDefault="00D168BC" w:rsidP="00D168BC">
      <w:pPr>
        <w:spacing w:before="80"/>
        <w:rPr>
          <w:i/>
          <w:sz w:val="22"/>
          <w:lang w:val="en-US"/>
        </w:rPr>
      </w:pPr>
    </w:p>
    <w:p w:rsidR="00D168BC" w:rsidRDefault="00D168BC" w:rsidP="00D168BC">
      <w:pPr>
        <w:spacing w:before="80"/>
        <w:rPr>
          <w:i/>
          <w:sz w:val="22"/>
          <w:lang w:val="en-US"/>
        </w:rPr>
      </w:pPr>
    </w:p>
    <w:p w:rsidR="00D168BC" w:rsidRDefault="00D168BC" w:rsidP="00D168BC">
      <w:pPr>
        <w:spacing w:before="80"/>
        <w:rPr>
          <w:i/>
          <w:sz w:val="22"/>
          <w:lang w:val="en-US"/>
        </w:rPr>
      </w:pPr>
    </w:p>
    <w:p w:rsidR="00D168BC" w:rsidRDefault="00D168BC" w:rsidP="00D168B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D168BC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168BC" w:rsidRPr="00586EF8" w:rsidRDefault="00D168BC" w:rsidP="00D168B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D168BC" w:rsidRDefault="00D168BC" w:rsidP="00D168BC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D168BC" w:rsidRDefault="00D168BC" w:rsidP="00D168BC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D168BC" w:rsidRPr="00B714F3" w:rsidRDefault="00D168BC" w:rsidP="00D168BC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D168BC" w:rsidRPr="00B714F3" w:rsidRDefault="00D168BC" w:rsidP="00D168B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D168BC" w:rsidRDefault="00D168BC" w:rsidP="00D168BC">
      <w:pPr>
        <w:jc w:val="center"/>
        <w:rPr>
          <w:sz w:val="22"/>
          <w:lang w:val="en-US"/>
        </w:rPr>
      </w:pPr>
    </w:p>
    <w:p w:rsidR="00D168BC" w:rsidRDefault="00D168BC" w:rsidP="00D168BC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D168BC" w:rsidRPr="00FB3CAF" w:rsidTr="00D168BC">
        <w:tc>
          <w:tcPr>
            <w:tcW w:w="9360" w:type="dxa"/>
            <w:gridSpan w:val="2"/>
          </w:tcPr>
          <w:p w:rsidR="00D168BC" w:rsidRPr="00036EE3" w:rsidRDefault="00D168BC" w:rsidP="00D168B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D168BC" w:rsidRPr="00036EE3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D168BC" w:rsidRPr="00FB3CAF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D168BC" w:rsidRPr="00036EE3" w:rsidTr="00D168BC">
        <w:tc>
          <w:tcPr>
            <w:tcW w:w="1140" w:type="dxa"/>
            <w:tcBorders>
              <w:bottom w:val="nil"/>
            </w:tcBorders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D168BC" w:rsidRPr="00036EE3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D168BC" w:rsidRPr="00ED2695" w:rsidTr="00D168B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D168BC" w:rsidRPr="000F6905" w:rsidRDefault="00D168BC" w:rsidP="00D168BC">
            <w:pPr>
              <w:spacing w:before="30" w:after="30"/>
              <w:ind w:left="57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D168BC" w:rsidRPr="000F6905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D168BC" w:rsidRPr="00036EE3" w:rsidTr="00D168B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168BC" w:rsidRPr="00036EE3" w:rsidRDefault="00D168BC" w:rsidP="00D168B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D168BC" w:rsidRPr="005E02E1" w:rsidTr="00D168B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D168BC" w:rsidRPr="007D3B79" w:rsidRDefault="00D168BC" w:rsidP="00D168BC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D168BC" w:rsidRPr="00220899" w:rsidRDefault="00D168BC" w:rsidP="00D168B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D168BC" w:rsidRPr="00036EE3" w:rsidTr="00D168BC">
        <w:tc>
          <w:tcPr>
            <w:tcW w:w="1140" w:type="dxa"/>
            <w:tcBorders>
              <w:top w:val="nil"/>
            </w:tcBorders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D168BC" w:rsidRPr="00FB3CAF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D168BC" w:rsidRPr="00FB3CAF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D168BC" w:rsidRPr="00036EE3" w:rsidTr="00D168BC">
        <w:tc>
          <w:tcPr>
            <w:tcW w:w="1140" w:type="dxa"/>
          </w:tcPr>
          <w:p w:rsidR="00D168BC" w:rsidRPr="00036EE3" w:rsidRDefault="00D168BC" w:rsidP="00D168BC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D168BC" w:rsidRPr="00036EE3" w:rsidRDefault="00D168BC" w:rsidP="00D168BC">
            <w:pPr>
              <w:spacing w:before="30" w:after="18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D168BC" w:rsidRPr="00036EE3" w:rsidRDefault="00D168BC" w:rsidP="00D168BC">
      <w:pPr>
        <w:spacing w:before="30" w:after="30"/>
        <w:jc w:val="center"/>
        <w:rPr>
          <w:sz w:val="20"/>
          <w:lang w:val="en-US"/>
        </w:rPr>
      </w:pPr>
    </w:p>
    <w:p w:rsidR="00D168BC" w:rsidRDefault="00D168BC" w:rsidP="00D168BC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D168BC" w:rsidRPr="00FB3CAF" w:rsidTr="00D168BC">
        <w:tc>
          <w:tcPr>
            <w:tcW w:w="9360" w:type="dxa"/>
          </w:tcPr>
          <w:p w:rsidR="00D168BC" w:rsidRPr="002F5199" w:rsidRDefault="00D168BC" w:rsidP="00D168BC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D168BC" w:rsidRDefault="00D168BC" w:rsidP="00D168BC">
      <w:pPr>
        <w:spacing w:before="0"/>
        <w:jc w:val="center"/>
        <w:rPr>
          <w:sz w:val="22"/>
          <w:lang w:val="en-US"/>
        </w:rPr>
      </w:pPr>
    </w:p>
    <w:p w:rsidR="00D168BC" w:rsidRDefault="00D168BC" w:rsidP="00D168BC">
      <w:pPr>
        <w:spacing w:before="0"/>
        <w:jc w:val="center"/>
        <w:rPr>
          <w:sz w:val="22"/>
          <w:lang w:val="en-US"/>
        </w:rPr>
      </w:pPr>
    </w:p>
    <w:p w:rsidR="00D168BC" w:rsidRPr="002F5199" w:rsidRDefault="00D168BC" w:rsidP="00D168BC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D168BC" w:rsidRPr="002F5199" w:rsidRDefault="00D168BC" w:rsidP="00D168BC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City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10</w:t>
      </w:r>
    </w:p>
    <w:p w:rsidR="00D168BC" w:rsidRDefault="00D168BC" w:rsidP="00D168BC">
      <w:pPr>
        <w:jc w:val="center"/>
        <w:rPr>
          <w:sz w:val="22"/>
          <w:lang w:val="en-US"/>
        </w:rPr>
      </w:pPr>
    </w:p>
    <w:p w:rsidR="00D168BC" w:rsidRPr="00470E28" w:rsidRDefault="00D168BC" w:rsidP="00D168B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10</w:t>
      </w:r>
    </w:p>
    <w:p w:rsidR="00D168BC" w:rsidRPr="00470E28" w:rsidRDefault="00D168BC" w:rsidP="00D168BC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D168BC" w:rsidRDefault="00D168BC" w:rsidP="00D168BC">
      <w:pPr>
        <w:spacing w:before="160"/>
        <w:rPr>
          <w:i/>
          <w:sz w:val="20"/>
          <w:lang w:val="en-US"/>
        </w:rPr>
        <w:sectPr w:rsidR="00D168BC" w:rsidSect="00D168B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D168BC" w:rsidRPr="00FB3CAF" w:rsidRDefault="00D168BC" w:rsidP="00D168BC">
      <w:pPr>
        <w:pStyle w:val="RecNo"/>
        <w:spacing w:before="0"/>
        <w:rPr>
          <w:lang w:val="en-US"/>
        </w:rPr>
      </w:pPr>
      <w:r w:rsidRPr="00FB3CAF">
        <w:rPr>
          <w:lang w:val="en-US"/>
        </w:rPr>
        <w:lastRenderedPageBreak/>
        <w:t xml:space="preserve">RECOMMENDATION  </w:t>
      </w:r>
      <w:r w:rsidRPr="00FB3CAF">
        <w:rPr>
          <w:rStyle w:val="href"/>
          <w:lang w:val="en-US"/>
        </w:rPr>
        <w:t>ITU-R  BT.1299-1</w:t>
      </w:r>
      <w:r w:rsidRPr="00FB3CAF">
        <w:rPr>
          <w:rStyle w:val="FootnoteReference"/>
          <w:lang w:val="en-US"/>
        </w:rPr>
        <w:footnoteReference w:customMarkFollows="1" w:id="1"/>
        <w:t>*</w:t>
      </w:r>
    </w:p>
    <w:p w:rsidR="00D168BC" w:rsidRPr="00FB3CAF" w:rsidRDefault="00D168BC" w:rsidP="00D168BC">
      <w:pPr>
        <w:pStyle w:val="Rectitle"/>
        <w:rPr>
          <w:lang w:val="en-US"/>
        </w:rPr>
      </w:pPr>
      <w:bookmarkStart w:id="2" w:name="Pre_title"/>
      <w:r w:rsidRPr="00FB3CAF">
        <w:rPr>
          <w:lang w:val="en-US"/>
        </w:rPr>
        <w:t>The basic elements of a worldwide common family of systems</w:t>
      </w:r>
      <w:r w:rsidRPr="00FB3CAF">
        <w:rPr>
          <w:lang w:val="en-US"/>
        </w:rPr>
        <w:br/>
        <w:t>for digital terrestrial television broadcasting</w:t>
      </w:r>
      <w:r w:rsidRPr="00FB3CAF">
        <w:rPr>
          <w:rStyle w:val="FootnoteReference"/>
          <w:lang w:val="en-US"/>
        </w:rPr>
        <w:footnoteReference w:customMarkFollows="1" w:id="2"/>
        <w:t>**</w:t>
      </w:r>
      <w:bookmarkEnd w:id="2"/>
    </w:p>
    <w:p w:rsidR="008F1F2D" w:rsidRPr="00FB3CAF" w:rsidRDefault="008F1F2D" w:rsidP="00D168BC">
      <w:pPr>
        <w:pStyle w:val="Recdate"/>
        <w:rPr>
          <w:lang w:val="en-US"/>
        </w:rPr>
      </w:pPr>
      <w:bookmarkStart w:id="3" w:name="Revision_history"/>
    </w:p>
    <w:p w:rsidR="00D168BC" w:rsidRPr="00FB3CAF" w:rsidRDefault="00D168BC" w:rsidP="00D168BC">
      <w:pPr>
        <w:pStyle w:val="Recdate"/>
        <w:rPr>
          <w:lang w:val="en-US"/>
        </w:rPr>
      </w:pPr>
      <w:r w:rsidRPr="00FB3CAF">
        <w:rPr>
          <w:lang w:val="en-US"/>
        </w:rPr>
        <w:t>(1997</w:t>
      </w:r>
      <w:r w:rsidR="008F1F2D" w:rsidRPr="00FB3CAF">
        <w:rPr>
          <w:lang w:val="en-US"/>
        </w:rPr>
        <w:t>-2010</w:t>
      </w:r>
      <w:r w:rsidRPr="00FB3CAF">
        <w:rPr>
          <w:lang w:val="en-US"/>
        </w:rPr>
        <w:t>)</w:t>
      </w:r>
      <w:bookmarkEnd w:id="3"/>
    </w:p>
    <w:p w:rsidR="008F1F2D" w:rsidRPr="00FB3CAF" w:rsidRDefault="008F1F2D" w:rsidP="008F1F2D">
      <w:pPr>
        <w:rPr>
          <w:lang w:val="en-US" w:eastAsia="ja-JP"/>
        </w:rPr>
      </w:pPr>
    </w:p>
    <w:p w:rsidR="00D168BC" w:rsidRPr="00FB3CAF" w:rsidRDefault="00D168BC" w:rsidP="008F1F2D">
      <w:pPr>
        <w:pStyle w:val="HeadingSum"/>
        <w:rPr>
          <w:lang w:val="en-US" w:eastAsia="ja-JP"/>
        </w:rPr>
      </w:pPr>
      <w:r w:rsidRPr="00FB3CAF">
        <w:rPr>
          <w:lang w:val="en-US" w:eastAsia="ja-JP"/>
        </w:rPr>
        <w:t>Scope</w:t>
      </w:r>
    </w:p>
    <w:p w:rsidR="00D168BC" w:rsidRPr="00FB3CAF" w:rsidRDefault="00D168BC" w:rsidP="008F1F2D">
      <w:pPr>
        <w:pStyle w:val="Summary"/>
        <w:rPr>
          <w:lang w:val="en-US" w:eastAsia="ja-JP"/>
        </w:rPr>
      </w:pPr>
      <w:r w:rsidRPr="00FB3CAF">
        <w:rPr>
          <w:lang w:val="en-US" w:eastAsia="ja-JP"/>
        </w:rPr>
        <w:t xml:space="preserve">This Recommendation describes principles of the common elements, including baseband source coding, multiplexing, and modulation and channel coding, for digital terrestrial television broadcasting systems. </w:t>
      </w:r>
    </w:p>
    <w:p w:rsidR="008F1F2D" w:rsidRPr="00FB3CAF" w:rsidRDefault="008F1F2D" w:rsidP="008F1F2D">
      <w:pPr>
        <w:rPr>
          <w:lang w:val="en-US"/>
        </w:rPr>
      </w:pPr>
    </w:p>
    <w:p w:rsidR="00D168BC" w:rsidRPr="00FB3CAF" w:rsidRDefault="00D168BC" w:rsidP="00D168BC">
      <w:pPr>
        <w:pStyle w:val="Normalaftertitle"/>
        <w:rPr>
          <w:lang w:val="en-US"/>
        </w:rPr>
      </w:pPr>
      <w:r w:rsidRPr="00FB3CAF">
        <w:rPr>
          <w:lang w:val="en-US"/>
        </w:rPr>
        <w:t>The ITU Radiocommunication Assembly,</w:t>
      </w:r>
    </w:p>
    <w:p w:rsidR="00D168BC" w:rsidRPr="00FB3CAF" w:rsidRDefault="00D168BC" w:rsidP="00D168BC">
      <w:pPr>
        <w:pStyle w:val="Call"/>
        <w:rPr>
          <w:lang w:val="en-US"/>
        </w:rPr>
      </w:pPr>
      <w:r w:rsidRPr="00FB3CAF">
        <w:rPr>
          <w:lang w:val="en-US"/>
        </w:rPr>
        <w:t>considering</w:t>
      </w:r>
    </w:p>
    <w:p w:rsidR="00D168BC" w:rsidRPr="00FB3CAF" w:rsidRDefault="00D168BC" w:rsidP="00D168BC">
      <w:pPr>
        <w:rPr>
          <w:lang w:val="en-US" w:eastAsia="ja-JP"/>
        </w:rPr>
      </w:pPr>
      <w:r w:rsidRPr="00FB3CAF">
        <w:rPr>
          <w:lang w:val="en-US"/>
        </w:rPr>
        <w:t>a)</w:t>
      </w:r>
      <w:r w:rsidRPr="00FB3CAF">
        <w:rPr>
          <w:lang w:val="en-US"/>
        </w:rPr>
        <w:tab/>
        <w:t>the many benefits of common television broadcasting standards;</w:t>
      </w:r>
    </w:p>
    <w:p w:rsidR="00D168BC" w:rsidRPr="00FB3CAF" w:rsidRDefault="00D168BC" w:rsidP="00D168BC">
      <w:pPr>
        <w:rPr>
          <w:lang w:val="en-US" w:eastAsia="ja-JP"/>
        </w:rPr>
      </w:pPr>
      <w:r w:rsidRPr="00FB3CAF">
        <w:rPr>
          <w:lang w:val="en-US" w:eastAsia="ja-JP"/>
        </w:rPr>
        <w:t>b)</w:t>
      </w:r>
      <w:r w:rsidRPr="00FB3CAF">
        <w:rPr>
          <w:lang w:val="en-US" w:eastAsia="ja-JP"/>
        </w:rPr>
        <w:tab/>
        <w:t>that ITU-R has produced a series of Recommendations on video and audio source coding, data coding, multiplexing, and modulation and channel coding for digital terrestrial television broadcasting;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lang w:val="en-US"/>
        </w:rPr>
        <w:t>c)</w:t>
      </w:r>
      <w:r w:rsidRPr="00FB3CAF">
        <w:rPr>
          <w:lang w:val="en-US"/>
        </w:rPr>
        <w:tab/>
        <w:t xml:space="preserve">that </w:t>
      </w:r>
      <w:r w:rsidRPr="00FB3CAF">
        <w:rPr>
          <w:lang w:val="en-US" w:eastAsia="ja-JP"/>
        </w:rPr>
        <w:t xml:space="preserve">transition from analogue to </w:t>
      </w:r>
      <w:r w:rsidRPr="00FB3CAF">
        <w:rPr>
          <w:lang w:val="en-US"/>
        </w:rPr>
        <w:t>digital terrestrial television continues to be implemented around the world;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lang w:val="en-US"/>
        </w:rPr>
        <w:t>d)</w:t>
      </w:r>
      <w:r w:rsidRPr="00FB3CAF">
        <w:rPr>
          <w:lang w:val="en-US"/>
        </w:rPr>
        <w:tab/>
        <w:t>that differing regulatory, marketing, and delivery environments exist in different parts of the world and that these and other factors will influence the choice of systems,</w:t>
      </w:r>
    </w:p>
    <w:p w:rsidR="00D168BC" w:rsidRPr="00FB3CAF" w:rsidRDefault="00D168BC" w:rsidP="00D168BC">
      <w:pPr>
        <w:pStyle w:val="Call"/>
        <w:rPr>
          <w:lang w:val="en-US"/>
        </w:rPr>
      </w:pPr>
      <w:r w:rsidRPr="00FB3CAF">
        <w:rPr>
          <w:lang w:val="en-US"/>
        </w:rPr>
        <w:t>recommends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lang w:val="en-US"/>
        </w:rPr>
        <w:t>that the elements of a worldwide common family of systems for digital terrestrial television broadcasting should be based on the following:</w:t>
      </w:r>
    </w:p>
    <w:p w:rsidR="00D168BC" w:rsidRPr="00FB3CAF" w:rsidRDefault="00D168BC" w:rsidP="00D168BC">
      <w:pPr>
        <w:pStyle w:val="Heading1"/>
        <w:rPr>
          <w:lang w:val="en-US"/>
        </w:rPr>
      </w:pPr>
      <w:r w:rsidRPr="00FB3CAF">
        <w:rPr>
          <w:lang w:val="en-US"/>
        </w:rPr>
        <w:t>1</w:t>
      </w:r>
      <w:r w:rsidRPr="00FB3CAF">
        <w:rPr>
          <w:lang w:val="en-US"/>
        </w:rPr>
        <w:tab/>
        <w:t>Systems principles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b/>
          <w:lang w:val="en-US"/>
        </w:rPr>
        <w:t>1.1</w:t>
      </w:r>
      <w:r w:rsidRPr="00FB3CAF">
        <w:rPr>
          <w:lang w:val="en-US"/>
        </w:rPr>
        <w:tab/>
        <w:t>The terrestrial system should have maximum commonality with other digital television delivery systems, such as satellite, cable, etc.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b/>
          <w:lang w:val="en-US"/>
        </w:rPr>
        <w:t>1.2</w:t>
      </w:r>
      <w:r w:rsidRPr="00FB3CAF">
        <w:rPr>
          <w:lang w:val="en-US"/>
        </w:rPr>
        <w:tab/>
        <w:t xml:space="preserve">The broadcast systems should be designed as a “container”, able to transport </w:t>
      </w:r>
      <w:r w:rsidRPr="00FB3CAF">
        <w:rPr>
          <w:lang w:val="en-US" w:eastAsia="ja-JP"/>
        </w:rPr>
        <w:t>video and audio</w:t>
      </w:r>
      <w:r w:rsidRPr="00FB3CAF">
        <w:rPr>
          <w:lang w:val="en-US"/>
        </w:rPr>
        <w:t>, and/or other data services, in a transparent and flexible way</w:t>
      </w:r>
      <w:r w:rsidRPr="00FB3CAF">
        <w:rPr>
          <w:lang w:val="en-US" w:eastAsia="ja-JP"/>
        </w:rPr>
        <w:t xml:space="preserve"> (see Recommendations ITU</w:t>
      </w:r>
      <w:r w:rsidRPr="00FB3CAF">
        <w:rPr>
          <w:lang w:val="en-US" w:eastAsia="ja-JP"/>
        </w:rPr>
        <w:noBreakHyphen/>
        <w:t>R BT.1207 and ITU</w:t>
      </w:r>
      <w:r w:rsidRPr="00FB3CAF">
        <w:rPr>
          <w:lang w:val="en-US" w:eastAsia="ja-JP"/>
        </w:rPr>
        <w:noBreakHyphen/>
        <w:t>R BT.1209)</w:t>
      </w:r>
      <w:r w:rsidRPr="00FB3CAF">
        <w:rPr>
          <w:lang w:val="en-US"/>
        </w:rPr>
        <w:t>.</w:t>
      </w:r>
    </w:p>
    <w:p w:rsidR="00D168BC" w:rsidRPr="00FB3CAF" w:rsidRDefault="00D168BC" w:rsidP="00FB3CAF">
      <w:pPr>
        <w:keepNext/>
        <w:keepLines/>
        <w:rPr>
          <w:lang w:val="en-US"/>
        </w:rPr>
      </w:pPr>
      <w:r w:rsidRPr="00FB3CAF">
        <w:rPr>
          <w:b/>
          <w:lang w:val="en-US"/>
        </w:rPr>
        <w:t>1.</w:t>
      </w:r>
      <w:r w:rsidRPr="00FB3CAF">
        <w:rPr>
          <w:b/>
          <w:lang w:val="en-US" w:eastAsia="ja-JP"/>
        </w:rPr>
        <w:t>3</w:t>
      </w:r>
      <w:r w:rsidRPr="00FB3CAF">
        <w:rPr>
          <w:lang w:val="en-US"/>
        </w:rPr>
        <w:tab/>
        <w:t>The systems should permit statistical multiplexing</w:t>
      </w:r>
      <w:r w:rsidR="00FB3CAF">
        <w:rPr>
          <w:rStyle w:val="FootnoteReference"/>
          <w:lang w:val="en-US"/>
        </w:rPr>
        <w:footnoteReference w:id="3"/>
      </w:r>
      <w:r w:rsidRPr="00FB3CAF">
        <w:rPr>
          <w:lang w:val="en-US"/>
        </w:rPr>
        <w:t>.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b/>
          <w:lang w:val="en-US"/>
        </w:rPr>
        <w:lastRenderedPageBreak/>
        <w:t>1.</w:t>
      </w:r>
      <w:r w:rsidRPr="00FB3CAF">
        <w:rPr>
          <w:b/>
          <w:lang w:val="en-US" w:eastAsia="ja-JP"/>
        </w:rPr>
        <w:t>4</w:t>
      </w:r>
      <w:r w:rsidRPr="00FB3CAF">
        <w:rPr>
          <w:lang w:val="en-US"/>
        </w:rPr>
        <w:tab/>
        <w:t xml:space="preserve">The base system should be a single layer system capable of conveying, for example, one HDTV service  or a number of </w:t>
      </w:r>
      <w:r w:rsidRPr="00FB3CAF">
        <w:rPr>
          <w:lang w:val="en-US" w:eastAsia="ja-JP"/>
        </w:rPr>
        <w:t>SDTV</w:t>
      </w:r>
      <w:r w:rsidRPr="00FB3CAF">
        <w:rPr>
          <w:lang w:val="en-US"/>
        </w:rPr>
        <w:t xml:space="preserve"> quality services. The number of services per channel will depend on the available total data rate, quality required, programme content and on whether statistical multiplexing is used.</w:t>
      </w:r>
    </w:p>
    <w:p w:rsidR="00D168BC" w:rsidRPr="00FB3CAF" w:rsidRDefault="00D168BC" w:rsidP="00D168BC">
      <w:pPr>
        <w:rPr>
          <w:lang w:val="en-US"/>
        </w:rPr>
      </w:pPr>
      <w:r w:rsidRPr="00FB3CAF">
        <w:rPr>
          <w:b/>
          <w:lang w:val="en-US"/>
        </w:rPr>
        <w:t>1.</w:t>
      </w:r>
      <w:r w:rsidRPr="00FB3CAF">
        <w:rPr>
          <w:b/>
          <w:lang w:val="en-US" w:eastAsia="ja-JP"/>
        </w:rPr>
        <w:t>5</w:t>
      </w:r>
      <w:r w:rsidRPr="00FB3CAF">
        <w:rPr>
          <w:lang w:val="en-US"/>
        </w:rPr>
        <w:tab/>
        <w:t>A service information and header descriptor system should be implemented</w:t>
      </w:r>
      <w:r w:rsidRPr="00FB3CAF">
        <w:rPr>
          <w:lang w:val="en-US" w:eastAsia="ja-JP"/>
        </w:rPr>
        <w:t xml:space="preserve"> (see Recommendation ITU-R BT.1300)</w:t>
      </w:r>
      <w:r w:rsidRPr="00FB3CAF">
        <w:rPr>
          <w:lang w:val="en-US"/>
        </w:rPr>
        <w:t>.</w:t>
      </w:r>
    </w:p>
    <w:p w:rsidR="00D168BC" w:rsidRPr="00FB3CAF" w:rsidRDefault="00D168BC" w:rsidP="00D168BC">
      <w:pPr>
        <w:pStyle w:val="Heading1"/>
        <w:rPr>
          <w:lang w:val="en-US"/>
        </w:rPr>
      </w:pPr>
      <w:r w:rsidRPr="00FB3CAF">
        <w:rPr>
          <w:lang w:val="en-US"/>
        </w:rPr>
        <w:t>2</w:t>
      </w:r>
      <w:r w:rsidRPr="00FB3CAF">
        <w:rPr>
          <w:lang w:val="en-US"/>
        </w:rPr>
        <w:tab/>
        <w:t>Baseband coding principles</w:t>
      </w:r>
    </w:p>
    <w:p w:rsidR="00D168BC" w:rsidRPr="00FB3CAF" w:rsidRDefault="00D168BC" w:rsidP="008F1F2D">
      <w:pPr>
        <w:rPr>
          <w:lang w:val="en-US" w:eastAsia="ja-JP"/>
        </w:rPr>
      </w:pPr>
      <w:r w:rsidRPr="00FB3CAF">
        <w:rPr>
          <w:b/>
          <w:lang w:val="en-US"/>
        </w:rPr>
        <w:t>2.1</w:t>
      </w:r>
      <w:r w:rsidRPr="00FB3CAF">
        <w:rPr>
          <w:lang w:val="en-US"/>
        </w:rPr>
        <w:tab/>
        <w:t xml:space="preserve">The image coding system should </w:t>
      </w:r>
      <w:r w:rsidRPr="00FB3CAF">
        <w:rPr>
          <w:lang w:val="en-US" w:eastAsia="ja-JP"/>
        </w:rPr>
        <w:t>be as given in Recommendation ITU-R BT.</w:t>
      </w:r>
      <w:r w:rsidR="008F1F2D" w:rsidRPr="00FB3CAF">
        <w:rPr>
          <w:lang w:val="en-US" w:eastAsia="ja-JP"/>
        </w:rPr>
        <w:t>1870</w:t>
      </w:r>
      <w:r w:rsidRPr="00FB3CAF">
        <w:rPr>
          <w:lang w:val="en-US" w:eastAsia="ja-JP"/>
        </w:rPr>
        <w:t xml:space="preserve"> (see</w:t>
      </w:r>
      <w:r w:rsidR="008F1F2D" w:rsidRPr="00FB3CAF">
        <w:rPr>
          <w:lang w:val="en-US" w:eastAsia="ja-JP"/>
        </w:rPr>
        <w:t xml:space="preserve"> following </w:t>
      </w:r>
      <w:r w:rsidRPr="00FB3CAF">
        <w:rPr>
          <w:lang w:val="en-US" w:eastAsia="ja-JP"/>
        </w:rPr>
        <w:t>Note 1)</w:t>
      </w:r>
      <w:r w:rsidRPr="00FB3CAF">
        <w:rPr>
          <w:lang w:val="en-US"/>
        </w:rPr>
        <w:t>.</w:t>
      </w:r>
    </w:p>
    <w:p w:rsidR="00D168BC" w:rsidRPr="00FB3CAF" w:rsidRDefault="00D168BC" w:rsidP="002F6900">
      <w:pPr>
        <w:rPr>
          <w:lang w:val="en-US" w:eastAsia="ja-JP"/>
        </w:rPr>
      </w:pPr>
      <w:r w:rsidRPr="00FB3CAF">
        <w:rPr>
          <w:lang w:val="en-US"/>
        </w:rPr>
        <w:t>NOTE </w:t>
      </w:r>
      <w:r w:rsidRPr="00FB3CAF">
        <w:rPr>
          <w:lang w:val="en-US" w:eastAsia="ja-JP"/>
        </w:rPr>
        <w:t>1</w:t>
      </w:r>
      <w:r w:rsidRPr="00FB3CAF">
        <w:rPr>
          <w:lang w:val="en-US"/>
        </w:rPr>
        <w:t> – Recommendation ITU-R B</w:t>
      </w:r>
      <w:r w:rsidRPr="00FB3CAF">
        <w:rPr>
          <w:lang w:val="en-US" w:eastAsia="ja-JP"/>
        </w:rPr>
        <w:t>T</w:t>
      </w:r>
      <w:r w:rsidRPr="00FB3CAF">
        <w:rPr>
          <w:lang w:val="en-US"/>
        </w:rPr>
        <w:t>.</w:t>
      </w:r>
      <w:r w:rsidR="008F1F2D" w:rsidRPr="00FB3CAF">
        <w:rPr>
          <w:lang w:val="en-US"/>
        </w:rPr>
        <w:t>1870</w:t>
      </w:r>
      <w:r w:rsidRPr="00FB3CAF">
        <w:rPr>
          <w:lang w:val="en-US"/>
        </w:rPr>
        <w:t xml:space="preserve"> recommends use of the </w:t>
      </w:r>
      <w:r w:rsidRPr="00FB3CAF">
        <w:rPr>
          <w:lang w:val="en-US" w:eastAsia="ja-JP"/>
        </w:rPr>
        <w:t>ITU-T Recommendation H.262 (ISO/IEC 13818-2 (MPEG-2 Video)) and ITU-T Recommendation H.264 (ISO/IEC 14496</w:t>
      </w:r>
      <w:r w:rsidR="002F6900" w:rsidRPr="00FB3CAF">
        <w:rPr>
          <w:lang w:val="en-US" w:eastAsia="ja-JP"/>
        </w:rPr>
        <w:noBreakHyphen/>
      </w:r>
      <w:r w:rsidRPr="00FB3CAF">
        <w:rPr>
          <w:lang w:val="en-US" w:eastAsia="ja-JP"/>
        </w:rPr>
        <w:t>10 (MPEG</w:t>
      </w:r>
      <w:r w:rsidRPr="00FB3CAF">
        <w:rPr>
          <w:lang w:val="en-US" w:eastAsia="ja-JP"/>
        </w:rPr>
        <w:noBreakHyphen/>
        <w:t>4 AVC))</w:t>
      </w:r>
      <w:r w:rsidRPr="00FB3CAF">
        <w:rPr>
          <w:lang w:val="en-US"/>
        </w:rPr>
        <w:t xml:space="preserve">. </w:t>
      </w:r>
    </w:p>
    <w:p w:rsidR="00D168BC" w:rsidRPr="00FB3CAF" w:rsidRDefault="00D168BC" w:rsidP="008F1F2D">
      <w:pPr>
        <w:rPr>
          <w:lang w:val="en-US"/>
        </w:rPr>
      </w:pPr>
      <w:r w:rsidRPr="00FB3CAF">
        <w:rPr>
          <w:b/>
          <w:lang w:val="en-US"/>
        </w:rPr>
        <w:t>2.2</w:t>
      </w:r>
      <w:r w:rsidRPr="00FB3CAF">
        <w:rPr>
          <w:lang w:val="en-US"/>
        </w:rPr>
        <w:tab/>
        <w:t>The sound coding system should be as given in Recommendation ITU-R BS.</w:t>
      </w:r>
      <w:r w:rsidRPr="00FB3CAF">
        <w:rPr>
          <w:lang w:val="en-US" w:eastAsia="ja-JP"/>
        </w:rPr>
        <w:t xml:space="preserve">1196 </w:t>
      </w:r>
      <w:r w:rsidRPr="00FB3CAF">
        <w:rPr>
          <w:lang w:val="en-US"/>
        </w:rPr>
        <w:t>(see </w:t>
      </w:r>
      <w:r w:rsidR="008F1F2D" w:rsidRPr="00FB3CAF">
        <w:rPr>
          <w:lang w:val="en-US"/>
        </w:rPr>
        <w:t xml:space="preserve">following </w:t>
      </w:r>
      <w:r w:rsidRPr="00FB3CAF">
        <w:rPr>
          <w:lang w:val="en-US"/>
        </w:rPr>
        <w:t>Note</w:t>
      </w:r>
      <w:r w:rsidR="008F1F2D" w:rsidRPr="00FB3CAF">
        <w:rPr>
          <w:lang w:val="en-US"/>
        </w:rPr>
        <w:t xml:space="preserve"> </w:t>
      </w:r>
      <w:r w:rsidR="008F1F2D" w:rsidRPr="00FB3CAF">
        <w:rPr>
          <w:lang w:val="en-US" w:eastAsia="ja-JP"/>
        </w:rPr>
        <w:t>1</w:t>
      </w:r>
      <w:r w:rsidRPr="00FB3CAF">
        <w:rPr>
          <w:lang w:val="en-US"/>
        </w:rPr>
        <w:t>).</w:t>
      </w:r>
    </w:p>
    <w:p w:rsidR="00D168BC" w:rsidRPr="00FB3CAF" w:rsidRDefault="00D168BC" w:rsidP="007B4D6C">
      <w:pPr>
        <w:rPr>
          <w:lang w:val="en-US"/>
        </w:rPr>
      </w:pPr>
      <w:r w:rsidRPr="00FB3CAF">
        <w:rPr>
          <w:lang w:val="en-US"/>
        </w:rPr>
        <w:t>NOTE </w:t>
      </w:r>
      <w:r w:rsidR="008F1F2D" w:rsidRPr="00FB3CAF">
        <w:rPr>
          <w:lang w:val="en-US" w:eastAsia="ja-JP"/>
        </w:rPr>
        <w:t>1</w:t>
      </w:r>
      <w:r w:rsidRPr="00FB3CAF">
        <w:rPr>
          <w:lang w:val="en-US"/>
        </w:rPr>
        <w:t> – Recommendation ITU-R BS</w:t>
      </w:r>
      <w:r w:rsidR="001F769F" w:rsidRPr="00FB3CAF">
        <w:rPr>
          <w:lang w:val="en-US"/>
        </w:rPr>
        <w:t>.</w:t>
      </w:r>
      <w:r w:rsidRPr="00FB3CAF">
        <w:rPr>
          <w:lang w:val="en-US"/>
        </w:rPr>
        <w:t xml:space="preserve"> 1196 recommends use of </w:t>
      </w:r>
      <w:r w:rsidRPr="00FB3CAF">
        <w:rPr>
          <w:lang w:val="en-US" w:eastAsia="ja-JP"/>
        </w:rPr>
        <w:t>ISO/IEC 11172-3 (MPEG</w:t>
      </w:r>
      <w:r w:rsidRPr="00FB3CAF">
        <w:rPr>
          <w:lang w:val="en-US" w:eastAsia="ja-JP"/>
        </w:rPr>
        <w:noBreakHyphen/>
        <w:t>1</w:t>
      </w:r>
      <w:r w:rsidR="007B4D6C" w:rsidRPr="00FB3CAF">
        <w:rPr>
          <w:lang w:val="en-US" w:eastAsia="ja-JP"/>
        </w:rPr>
        <w:t xml:space="preserve"> </w:t>
      </w:r>
      <w:r w:rsidRPr="00FB3CAF">
        <w:rPr>
          <w:lang w:val="en-US" w:eastAsia="ja-JP"/>
        </w:rPr>
        <w:t>Audio) Layer II, ISO/IEC 13818-7 (MPEG-2 AAC) LC or LC with SBR, ISO/IEC 14496-3 (MPEG-4 Audio) AAC</w:t>
      </w:r>
      <w:r w:rsidRPr="00FB3CAF">
        <w:rPr>
          <w:lang w:val="en-US" w:eastAsia="ja-JP"/>
        </w:rPr>
        <w:noBreakHyphen/>
        <w:t xml:space="preserve">LC, HE-AAC or HE-AACv2, or </w:t>
      </w:r>
      <w:r w:rsidRPr="00FB3CAF">
        <w:rPr>
          <w:lang w:val="en-US"/>
        </w:rPr>
        <w:t>ETSI TS 102 366</w:t>
      </w:r>
      <w:r w:rsidRPr="00FB3CAF">
        <w:rPr>
          <w:lang w:val="en-US" w:eastAsia="ja-JP"/>
        </w:rPr>
        <w:t xml:space="preserve"> (AC 3 or E</w:t>
      </w:r>
      <w:r w:rsidR="007F7BDB" w:rsidRPr="00FB3CAF">
        <w:rPr>
          <w:lang w:val="en-US" w:eastAsia="ja-JP"/>
        </w:rPr>
        <w:noBreakHyphen/>
      </w:r>
      <w:r w:rsidRPr="00FB3CAF">
        <w:rPr>
          <w:lang w:val="en-US" w:eastAsia="ja-JP"/>
        </w:rPr>
        <w:t>AC-3) for digital television broadcasting emission.</w:t>
      </w:r>
    </w:p>
    <w:p w:rsidR="00D168BC" w:rsidRPr="00FB3CAF" w:rsidRDefault="00D168BC" w:rsidP="008F1F2D">
      <w:pPr>
        <w:rPr>
          <w:lang w:val="en-US" w:eastAsia="ja-JP"/>
        </w:rPr>
      </w:pPr>
      <w:r w:rsidRPr="00FB3CAF">
        <w:rPr>
          <w:b/>
          <w:lang w:val="en-US"/>
        </w:rPr>
        <w:t>2.3</w:t>
      </w:r>
      <w:r w:rsidRPr="00FB3CAF">
        <w:rPr>
          <w:lang w:val="en-US"/>
        </w:rPr>
        <w:tab/>
        <w:t>The quality requirements for the video and audio coding system performance</w:t>
      </w:r>
      <w:r w:rsidRPr="00FB3CAF">
        <w:rPr>
          <w:lang w:val="en-US" w:eastAsia="ja-JP"/>
        </w:rPr>
        <w:t xml:space="preserve"> given in Recommendations ITU-R BT.1122 and ITU-R BS.1548 should be duly taken into account (see</w:t>
      </w:r>
      <w:r w:rsidR="008F1F2D" w:rsidRPr="00FB3CAF">
        <w:rPr>
          <w:lang w:val="en-US" w:eastAsia="ja-JP"/>
        </w:rPr>
        <w:t xml:space="preserve"> following </w:t>
      </w:r>
      <w:r w:rsidRPr="00FB3CAF">
        <w:rPr>
          <w:lang w:val="en-US" w:eastAsia="ja-JP"/>
        </w:rPr>
        <w:t xml:space="preserve">Note </w:t>
      </w:r>
      <w:r w:rsidR="008F1F2D" w:rsidRPr="00FB3CAF">
        <w:rPr>
          <w:lang w:val="en-US" w:eastAsia="ja-JP"/>
        </w:rPr>
        <w:t>1</w:t>
      </w:r>
      <w:r w:rsidRPr="00FB3CAF">
        <w:rPr>
          <w:lang w:val="en-US" w:eastAsia="ja-JP"/>
        </w:rPr>
        <w:t>)</w:t>
      </w:r>
      <w:r w:rsidRPr="00FB3CAF">
        <w:rPr>
          <w:lang w:val="en-US"/>
        </w:rPr>
        <w:t xml:space="preserve">. </w:t>
      </w:r>
    </w:p>
    <w:p w:rsidR="00D168BC" w:rsidRPr="00FB3CAF" w:rsidRDefault="00D168BC" w:rsidP="007F7BDB">
      <w:pPr>
        <w:rPr>
          <w:lang w:val="en-US"/>
        </w:rPr>
      </w:pPr>
      <w:r w:rsidRPr="00FB3CAF">
        <w:rPr>
          <w:lang w:val="en-US" w:eastAsia="ja-JP"/>
        </w:rPr>
        <w:t>NOTE</w:t>
      </w:r>
      <w:r w:rsidR="008F1F2D" w:rsidRPr="00FB3CAF">
        <w:rPr>
          <w:lang w:val="en-US" w:eastAsia="ja-JP"/>
        </w:rPr>
        <w:t> </w:t>
      </w:r>
      <w:r w:rsidR="008F1F2D">
        <w:rPr>
          <w:lang w:val="en-GB" w:eastAsia="ja-JP"/>
        </w:rPr>
        <w:t>1</w:t>
      </w:r>
      <w:r w:rsidRPr="00CB7C25">
        <w:rPr>
          <w:lang w:val="en-GB"/>
        </w:rPr>
        <w:t xml:space="preserve"> – The basic audio and video coding specifications are of syntax only, and leave room for improvement in quality due to improvements in encoder design. </w:t>
      </w:r>
    </w:p>
    <w:p w:rsidR="00D168BC" w:rsidRPr="00FB3CAF" w:rsidRDefault="00D168BC" w:rsidP="00D168BC">
      <w:pPr>
        <w:pStyle w:val="Heading1"/>
        <w:rPr>
          <w:lang w:val="en-US"/>
        </w:rPr>
      </w:pPr>
      <w:r w:rsidRPr="00FB3CAF">
        <w:rPr>
          <w:lang w:val="en-US"/>
        </w:rPr>
        <w:t>3</w:t>
      </w:r>
      <w:r w:rsidRPr="00FB3CAF">
        <w:rPr>
          <w:lang w:val="en-US"/>
        </w:rPr>
        <w:tab/>
        <w:t>Modulation and channel coding principles</w:t>
      </w:r>
    </w:p>
    <w:p w:rsidR="00A6617B" w:rsidRDefault="00D168BC" w:rsidP="00D168BC">
      <w:pPr>
        <w:rPr>
          <w:lang w:val="en-US"/>
        </w:rPr>
      </w:pPr>
      <w:r w:rsidRPr="00FB3CAF">
        <w:rPr>
          <w:b/>
          <w:lang w:val="en-US"/>
        </w:rPr>
        <w:t>3.1</w:t>
      </w:r>
      <w:r w:rsidRPr="00FB3CAF">
        <w:rPr>
          <w:lang w:val="en-US"/>
        </w:rPr>
        <w:tab/>
        <w:t>The modulation and channel coding should be selected to allow implementation of the required delivery approach. Possible delivery approaches include single-transmitter-per-channel (as in conventional analogue TV), on-channel repeaters (OCR), gap-fillers (GF), single frequency networks (SFN) at the local and regional levels. Orthogonal frequency division multiplexing (OFDM) or 8-VSB (vestigial sideband) should be used depending, among other things, on the delivery environment</w:t>
      </w:r>
      <w:r w:rsidRPr="00FB3CAF">
        <w:rPr>
          <w:lang w:val="en-US" w:eastAsia="ja-JP"/>
        </w:rPr>
        <w:t xml:space="preserve"> (see Recommendation ITU-R BT.1306)</w:t>
      </w:r>
      <w:r w:rsidRPr="00FB3CAF">
        <w:rPr>
          <w:lang w:val="en-US"/>
        </w:rPr>
        <w:t>.</w:t>
      </w:r>
    </w:p>
    <w:p w:rsidR="00D168BC" w:rsidRDefault="00D168BC" w:rsidP="00A6617B">
      <w:pPr>
        <w:rPr>
          <w:lang w:val="en-US"/>
        </w:rPr>
      </w:pPr>
    </w:p>
    <w:p w:rsidR="00D168BC" w:rsidRDefault="00D168BC" w:rsidP="00A6617B">
      <w:pPr>
        <w:rPr>
          <w:lang w:val="en-US"/>
        </w:rPr>
      </w:pPr>
    </w:p>
    <w:p w:rsidR="00D168BC" w:rsidRPr="00A6617B" w:rsidRDefault="00D168BC" w:rsidP="00D168BC">
      <w:pPr>
        <w:pStyle w:val="Line"/>
      </w:pPr>
    </w:p>
    <w:sectPr w:rsidR="00D168BC" w:rsidRPr="00A6617B" w:rsidSect="00D168BC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8BC" w:rsidRDefault="00D168BC">
      <w:r>
        <w:separator/>
      </w:r>
    </w:p>
  </w:endnote>
  <w:endnote w:type="continuationSeparator" w:id="0">
    <w:p w:rsidR="00D168BC" w:rsidRDefault="00D16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8BC" w:rsidRDefault="00D168BC">
      <w:r>
        <w:separator/>
      </w:r>
    </w:p>
  </w:footnote>
  <w:footnote w:type="continuationSeparator" w:id="0">
    <w:p w:rsidR="00D168BC" w:rsidRDefault="00D168BC">
      <w:r>
        <w:continuationSeparator/>
      </w:r>
    </w:p>
  </w:footnote>
  <w:footnote w:id="1">
    <w:p w:rsidR="00D168BC" w:rsidRPr="00FB3CAF" w:rsidRDefault="00D168BC" w:rsidP="00D168BC">
      <w:pPr>
        <w:pStyle w:val="FootnoteText"/>
        <w:rPr>
          <w:lang w:val="en-US"/>
        </w:rPr>
      </w:pPr>
      <w:r w:rsidRPr="00FB3CAF">
        <w:rPr>
          <w:rStyle w:val="FootnoteReference"/>
          <w:lang w:val="en-US"/>
        </w:rPr>
        <w:t>*</w:t>
      </w:r>
      <w:r w:rsidRPr="00FB3CAF">
        <w:rPr>
          <w:lang w:val="en-US"/>
        </w:rPr>
        <w:tab/>
      </w:r>
      <w:r>
        <w:rPr>
          <w:lang w:val="en-US"/>
        </w:rPr>
        <w:t>Radiocommunication Study Group 6 made editorial amendments to this Recommendation in 2002 in accordance with Resolution ITU</w:t>
      </w:r>
      <w:r>
        <w:rPr>
          <w:lang w:val="en-US"/>
        </w:rPr>
        <w:noBreakHyphen/>
        <w:t>R 44.</w:t>
      </w:r>
    </w:p>
  </w:footnote>
  <w:footnote w:id="2">
    <w:p w:rsidR="00D168BC" w:rsidRDefault="00D168BC" w:rsidP="00FB3CAF">
      <w:pPr>
        <w:pStyle w:val="FootnoteText"/>
        <w:rPr>
          <w:lang w:val="en-US"/>
        </w:rPr>
      </w:pPr>
      <w:r>
        <w:rPr>
          <w:rStyle w:val="FootnoteReference"/>
          <w:lang w:val="en-US"/>
        </w:rPr>
        <w:t>**</w:t>
      </w:r>
      <w:r>
        <w:rPr>
          <w:lang w:val="en-US"/>
        </w:rPr>
        <w:tab/>
        <w:t>This Recommendation should be brought to the attention of Telecommunication Standardization Study Group 9.</w:t>
      </w:r>
    </w:p>
  </w:footnote>
  <w:footnote w:id="3">
    <w:p w:rsidR="00FB3CAF" w:rsidRPr="00FB3CAF" w:rsidRDefault="00FB3CAF" w:rsidP="00FB3CA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</w:r>
      <w:r w:rsidRPr="00FB3CAF">
        <w:rPr>
          <w:lang w:val="en-US"/>
        </w:rPr>
        <w:t>Statistical multiplexing is a technique used for multi-programme transmission in a single channel to improve the overall programme quality or to effectively use the available channel capacity by dynamically allocating the bit-rate to each programme that shares a given channel capacity.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8BC" w:rsidRDefault="00D168BC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8BC" w:rsidRDefault="001D78B7" w:rsidP="00D168B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1" name="Picture 1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8BC" w:rsidRPr="000F6905" w:rsidRDefault="009D0017">
    <w:pPr>
      <w:pStyle w:val="Header"/>
      <w:jc w:val="left"/>
    </w:pPr>
    <w:r>
      <w:rPr>
        <w:rStyle w:val="PageNumber"/>
        <w:b/>
        <w:bCs/>
      </w:rPr>
      <w:fldChar w:fldCharType="begin"/>
    </w:r>
    <w:r w:rsidR="00D168BC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B3CA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D168BC" w:rsidRPr="000F6905">
      <w:tab/>
    </w:r>
    <w:fldSimple w:instr=" DOCPROPERTY &quot;Header&quot; \* MERGEFORMAT ">
      <w:r w:rsidR="00FB3CAF" w:rsidRPr="00FB3CAF">
        <w:rPr>
          <w:b/>
          <w:bCs/>
        </w:rPr>
        <w:t xml:space="preserve">Rec. </w:t>
      </w:r>
    </w:fldSimple>
    <w:r w:rsidR="00D168BC">
      <w:rPr>
        <w:b/>
        <w:bCs/>
      </w:rPr>
      <w:t xml:space="preserve"> </w:t>
    </w:r>
    <w:r>
      <w:rPr>
        <w:b/>
        <w:bCs/>
      </w:rPr>
      <w:fldChar w:fldCharType="begin"/>
    </w:r>
    <w:r w:rsidR="00D168BC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FB3CAF">
      <w:rPr>
        <w:b/>
        <w:bCs/>
        <w:noProof/>
      </w:rPr>
      <w:t>ITU-R  BT.1299-1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8BC" w:rsidRDefault="00D168BC">
    <w:pPr>
      <w:pStyle w:val="Header"/>
    </w:pPr>
    <w:r>
      <w:tab/>
    </w:r>
    <w:fldSimple w:instr=" DOCPROPERTY &quot;Header&quot; \* MERGEFORMAT ">
      <w:r w:rsidR="00FB3CAF" w:rsidRPr="00FB3CA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9D0017">
      <w:rPr>
        <w:b/>
        <w:bCs/>
      </w:rPr>
      <w:fldChar w:fldCharType="begin"/>
    </w:r>
    <w:r>
      <w:rPr>
        <w:b/>
        <w:bCs/>
      </w:rPr>
      <w:instrText>styleref href</w:instrText>
    </w:r>
    <w:r w:rsidR="009D0017">
      <w:rPr>
        <w:b/>
        <w:bCs/>
      </w:rPr>
      <w:fldChar w:fldCharType="separate"/>
    </w:r>
    <w:r w:rsidR="00FB3CAF">
      <w:rPr>
        <w:b/>
        <w:bCs/>
        <w:noProof/>
      </w:rPr>
      <w:t>ITU-R  BT.1299-1</w:t>
    </w:r>
    <w:r w:rsidR="009D0017">
      <w:rPr>
        <w:b/>
        <w:bCs/>
      </w:rPr>
      <w:fldChar w:fldCharType="end"/>
    </w:r>
    <w:r>
      <w:tab/>
    </w:r>
    <w:r w:rsidR="009D001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9D0017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9D0017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8BC" w:rsidRDefault="009D001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D168BC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B3CAF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D168BC">
      <w:rPr>
        <w:lang w:val="en-US"/>
      </w:rPr>
      <w:tab/>
    </w:r>
    <w:fldSimple w:instr=" DOCPROPERTY &quot;Header&quot; \* MERGEFORMAT ">
      <w:r w:rsidR="00FB3CAF" w:rsidRPr="00FB3CAF">
        <w:rPr>
          <w:b/>
          <w:bCs/>
          <w:lang w:val="en-US"/>
        </w:rPr>
        <w:t xml:space="preserve">Rec. </w:t>
      </w:r>
    </w:fldSimple>
    <w:r w:rsidR="00D168BC">
      <w:rPr>
        <w:b/>
        <w:bCs/>
      </w:rPr>
      <w:t xml:space="preserve"> </w:t>
    </w:r>
    <w:r>
      <w:rPr>
        <w:b/>
        <w:bCs/>
      </w:rPr>
      <w:fldChar w:fldCharType="begin"/>
    </w:r>
    <w:r w:rsidR="00D168BC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B3CAF">
      <w:rPr>
        <w:b/>
        <w:bCs/>
        <w:noProof/>
      </w:rPr>
      <w:t>ITU-R  BT.1299-1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8BC" w:rsidRDefault="00D168BC">
    <w:pPr>
      <w:pStyle w:val="Header"/>
    </w:pPr>
    <w:r>
      <w:tab/>
    </w:r>
    <w:fldSimple w:instr=" DOCPROPERTY &quot;Header&quot; \* MERGEFORMAT ">
      <w:r w:rsidR="00FB3CAF" w:rsidRPr="00FB3CA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9D0017">
      <w:rPr>
        <w:b/>
        <w:bCs/>
      </w:rPr>
      <w:fldChar w:fldCharType="begin"/>
    </w:r>
    <w:r>
      <w:rPr>
        <w:b/>
        <w:bCs/>
      </w:rPr>
      <w:instrText>styleref href</w:instrText>
    </w:r>
    <w:r w:rsidR="009D0017">
      <w:rPr>
        <w:b/>
        <w:bCs/>
      </w:rPr>
      <w:fldChar w:fldCharType="separate"/>
    </w:r>
    <w:r w:rsidR="00FB3CAF">
      <w:rPr>
        <w:b/>
        <w:bCs/>
        <w:noProof/>
      </w:rPr>
      <w:t>ITU-R  BT.1299-1</w:t>
    </w:r>
    <w:r w:rsidR="009D0017">
      <w:rPr>
        <w:b/>
        <w:bCs/>
      </w:rPr>
      <w:fldChar w:fldCharType="end"/>
    </w:r>
    <w:r>
      <w:tab/>
    </w:r>
    <w:r w:rsidR="009D0017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9D0017">
      <w:rPr>
        <w:rStyle w:val="PageNumber"/>
        <w:b/>
        <w:bCs/>
      </w:rPr>
      <w:fldChar w:fldCharType="separate"/>
    </w:r>
    <w:r w:rsidR="00FB3CAF">
      <w:rPr>
        <w:rStyle w:val="PageNumber"/>
        <w:b/>
        <w:bCs/>
        <w:noProof/>
      </w:rPr>
      <w:t>1</w:t>
    </w:r>
    <w:r w:rsidR="009D0017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ttachedTemplate r:id="rId1"/>
  <w:stylePaneFormatFilter w:val="3F01"/>
  <w:doNotTrackMoves/>
  <w:doNotTrackFormatting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168BC"/>
    <w:rsid w:val="001D78B7"/>
    <w:rsid w:val="001F769F"/>
    <w:rsid w:val="0024230B"/>
    <w:rsid w:val="002D76C4"/>
    <w:rsid w:val="002F6900"/>
    <w:rsid w:val="0038753C"/>
    <w:rsid w:val="004E0EB2"/>
    <w:rsid w:val="00555073"/>
    <w:rsid w:val="00607D68"/>
    <w:rsid w:val="00701F5D"/>
    <w:rsid w:val="007B4D6C"/>
    <w:rsid w:val="007F7BDB"/>
    <w:rsid w:val="008F1F2D"/>
    <w:rsid w:val="009D0017"/>
    <w:rsid w:val="00A6617B"/>
    <w:rsid w:val="00AB0DC8"/>
    <w:rsid w:val="00B44E24"/>
    <w:rsid w:val="00D168BC"/>
    <w:rsid w:val="00DF4176"/>
    <w:rsid w:val="00FB3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1F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F1F2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F1F2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F1F2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F1F2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F1F2D"/>
    <w:pPr>
      <w:outlineLvl w:val="4"/>
    </w:pPr>
  </w:style>
  <w:style w:type="paragraph" w:styleId="Heading6">
    <w:name w:val="heading 6"/>
    <w:basedOn w:val="Heading4"/>
    <w:next w:val="Normal"/>
    <w:qFormat/>
    <w:rsid w:val="008F1F2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F1F2D"/>
    <w:pPr>
      <w:outlineLvl w:val="6"/>
    </w:pPr>
  </w:style>
  <w:style w:type="paragraph" w:styleId="Heading8">
    <w:name w:val="heading 8"/>
    <w:basedOn w:val="Heading6"/>
    <w:next w:val="Normal"/>
    <w:qFormat/>
    <w:rsid w:val="008F1F2D"/>
    <w:pPr>
      <w:outlineLvl w:val="7"/>
    </w:pPr>
  </w:style>
  <w:style w:type="paragraph" w:styleId="Heading9">
    <w:name w:val="heading 9"/>
    <w:basedOn w:val="Heading6"/>
    <w:next w:val="Normal"/>
    <w:qFormat/>
    <w:rsid w:val="008F1F2D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1F2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F1F2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F1F2D"/>
  </w:style>
  <w:style w:type="paragraph" w:customStyle="1" w:styleId="Headingb">
    <w:name w:val="Heading_b"/>
    <w:basedOn w:val="Heading3"/>
    <w:next w:val="Normal"/>
    <w:rsid w:val="008F1F2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F1F2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F1F2D"/>
  </w:style>
  <w:style w:type="paragraph" w:customStyle="1" w:styleId="enumlev1">
    <w:name w:val="enumlev1"/>
    <w:basedOn w:val="Normal"/>
    <w:rsid w:val="008F1F2D"/>
    <w:pPr>
      <w:spacing w:before="80"/>
      <w:ind w:left="794" w:hanging="794"/>
    </w:pPr>
  </w:style>
  <w:style w:type="paragraph" w:customStyle="1" w:styleId="enumlev2">
    <w:name w:val="enumlev2"/>
    <w:basedOn w:val="enumlev1"/>
    <w:rsid w:val="008F1F2D"/>
    <w:pPr>
      <w:ind w:left="1191" w:hanging="397"/>
    </w:pPr>
  </w:style>
  <w:style w:type="paragraph" w:customStyle="1" w:styleId="enumlev3">
    <w:name w:val="enumlev3"/>
    <w:basedOn w:val="enumlev2"/>
    <w:rsid w:val="008F1F2D"/>
    <w:pPr>
      <w:ind w:left="1588"/>
    </w:pPr>
  </w:style>
  <w:style w:type="paragraph" w:customStyle="1" w:styleId="Normalaftertitle">
    <w:name w:val="Normal_after_title"/>
    <w:basedOn w:val="Normal"/>
    <w:next w:val="Normal"/>
    <w:rsid w:val="008F1F2D"/>
    <w:pPr>
      <w:spacing w:before="320"/>
    </w:pPr>
  </w:style>
  <w:style w:type="paragraph" w:customStyle="1" w:styleId="Note">
    <w:name w:val="Note"/>
    <w:basedOn w:val="Normal"/>
    <w:rsid w:val="008F1F2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F1F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F1F2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F1F2D"/>
    <w:pPr>
      <w:jc w:val="center"/>
    </w:pPr>
  </w:style>
  <w:style w:type="paragraph" w:customStyle="1" w:styleId="Recdate">
    <w:name w:val="Rec_date"/>
    <w:basedOn w:val="Recref"/>
    <w:next w:val="Normalaftertitle"/>
    <w:rsid w:val="008F1F2D"/>
    <w:pPr>
      <w:jc w:val="right"/>
    </w:pPr>
  </w:style>
  <w:style w:type="paragraph" w:customStyle="1" w:styleId="AnnexNoTitle">
    <w:name w:val="Annex_NoTitle"/>
    <w:basedOn w:val="Normal"/>
    <w:next w:val="Normalaftertitle"/>
    <w:rsid w:val="008F1F2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F1F2D"/>
  </w:style>
  <w:style w:type="paragraph" w:customStyle="1" w:styleId="Tablefin">
    <w:name w:val="Table_fin"/>
    <w:basedOn w:val="Normal"/>
    <w:next w:val="Normal"/>
    <w:rsid w:val="008F1F2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F1F2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F1F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8F1F2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F1F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F1F2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1F2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F1F2D"/>
    <w:pPr>
      <w:ind w:left="794"/>
    </w:pPr>
  </w:style>
  <w:style w:type="paragraph" w:customStyle="1" w:styleId="Figurelegend">
    <w:name w:val="Figure_legend"/>
    <w:basedOn w:val="Normal"/>
    <w:rsid w:val="008F1F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F1F2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F1F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F1F2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F1F2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F1F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F1F2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F1F2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F1F2D"/>
    <w:rPr>
      <w:b/>
    </w:rPr>
  </w:style>
  <w:style w:type="paragraph" w:customStyle="1" w:styleId="Chaptitle">
    <w:name w:val="Chap_title"/>
    <w:basedOn w:val="Arttitle"/>
    <w:next w:val="Normalaftertitle"/>
    <w:rsid w:val="008F1F2D"/>
  </w:style>
  <w:style w:type="character" w:styleId="FootnoteReference">
    <w:name w:val="footnote reference"/>
    <w:basedOn w:val="DefaultParagraphFont"/>
    <w:semiHidden/>
    <w:rsid w:val="008F1F2D"/>
    <w:rPr>
      <w:position w:val="6"/>
      <w:sz w:val="18"/>
    </w:rPr>
  </w:style>
  <w:style w:type="paragraph" w:styleId="FootnoteText">
    <w:name w:val="footnote text"/>
    <w:basedOn w:val="Normal"/>
    <w:semiHidden/>
    <w:rsid w:val="008F1F2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F1F2D"/>
  </w:style>
  <w:style w:type="paragraph" w:styleId="Index2">
    <w:name w:val="index 2"/>
    <w:basedOn w:val="Normal"/>
    <w:next w:val="Normal"/>
    <w:semiHidden/>
    <w:rsid w:val="008F1F2D"/>
    <w:pPr>
      <w:ind w:left="283"/>
    </w:pPr>
  </w:style>
  <w:style w:type="paragraph" w:styleId="Index3">
    <w:name w:val="index 3"/>
    <w:basedOn w:val="Normal"/>
    <w:next w:val="Normal"/>
    <w:semiHidden/>
    <w:rsid w:val="008F1F2D"/>
    <w:pPr>
      <w:ind w:left="566"/>
    </w:pPr>
  </w:style>
  <w:style w:type="paragraph" w:styleId="IndexHeading">
    <w:name w:val="index heading"/>
    <w:basedOn w:val="Normal"/>
    <w:next w:val="Index1"/>
    <w:semiHidden/>
    <w:rsid w:val="008F1F2D"/>
  </w:style>
  <w:style w:type="paragraph" w:customStyle="1" w:styleId="Line">
    <w:name w:val="Line"/>
    <w:basedOn w:val="Normal"/>
    <w:next w:val="Normal"/>
    <w:rsid w:val="008F1F2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F1F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F1F2D"/>
  </w:style>
  <w:style w:type="paragraph" w:customStyle="1" w:styleId="Partref">
    <w:name w:val="Part_ref"/>
    <w:basedOn w:val="Normal"/>
    <w:next w:val="Normal"/>
    <w:rsid w:val="008F1F2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F1F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F1F2D"/>
  </w:style>
  <w:style w:type="paragraph" w:customStyle="1" w:styleId="QuestionNo">
    <w:name w:val="Question_No"/>
    <w:basedOn w:val="RecNo"/>
    <w:next w:val="Normal"/>
    <w:rsid w:val="008F1F2D"/>
  </w:style>
  <w:style w:type="paragraph" w:customStyle="1" w:styleId="Questionref">
    <w:name w:val="Question_ref"/>
    <w:basedOn w:val="Recref"/>
    <w:next w:val="Questiondate"/>
    <w:rsid w:val="008F1F2D"/>
  </w:style>
  <w:style w:type="paragraph" w:customStyle="1" w:styleId="Questiontitle">
    <w:name w:val="Question_title"/>
    <w:basedOn w:val="Normal"/>
    <w:next w:val="Questionref"/>
    <w:rsid w:val="008F1F2D"/>
  </w:style>
  <w:style w:type="paragraph" w:customStyle="1" w:styleId="Reftext">
    <w:name w:val="Ref_text"/>
    <w:basedOn w:val="Normal"/>
    <w:rsid w:val="008F1F2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F1F2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F1F2D"/>
  </w:style>
  <w:style w:type="paragraph" w:customStyle="1" w:styleId="RepNo">
    <w:name w:val="Rep_No"/>
    <w:basedOn w:val="RecNo"/>
    <w:next w:val="Reptitle"/>
    <w:rsid w:val="008F1F2D"/>
  </w:style>
  <w:style w:type="paragraph" w:customStyle="1" w:styleId="Repref">
    <w:name w:val="Rep_ref"/>
    <w:basedOn w:val="Recref"/>
    <w:next w:val="Repdate"/>
    <w:rsid w:val="008F1F2D"/>
  </w:style>
  <w:style w:type="paragraph" w:customStyle="1" w:styleId="Reptitle">
    <w:name w:val="Rep_title"/>
    <w:basedOn w:val="Rectitle"/>
    <w:next w:val="Repref"/>
    <w:rsid w:val="008F1F2D"/>
  </w:style>
  <w:style w:type="paragraph" w:customStyle="1" w:styleId="Resdate">
    <w:name w:val="Res_date"/>
    <w:basedOn w:val="Recdate"/>
    <w:next w:val="Normalaftertitle"/>
    <w:rsid w:val="008F1F2D"/>
  </w:style>
  <w:style w:type="paragraph" w:customStyle="1" w:styleId="ResNo">
    <w:name w:val="Res_No"/>
    <w:basedOn w:val="RecNo"/>
    <w:next w:val="Restitle"/>
    <w:rsid w:val="008F1F2D"/>
  </w:style>
  <w:style w:type="paragraph" w:customStyle="1" w:styleId="Resref">
    <w:name w:val="Res_ref"/>
    <w:basedOn w:val="Recref"/>
    <w:next w:val="Resdate"/>
    <w:rsid w:val="008F1F2D"/>
  </w:style>
  <w:style w:type="paragraph" w:customStyle="1" w:styleId="Restitle">
    <w:name w:val="Res_title"/>
    <w:basedOn w:val="Normal"/>
    <w:next w:val="Resref"/>
    <w:rsid w:val="008F1F2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F1F2D"/>
  </w:style>
  <w:style w:type="paragraph" w:customStyle="1" w:styleId="Sectiontitle">
    <w:name w:val="Section_title"/>
    <w:basedOn w:val="Normal"/>
    <w:next w:val="Normalaftertitle"/>
    <w:rsid w:val="008F1F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F1F2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F1F2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F1F2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F1F2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F1F2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F1F2D"/>
  </w:style>
  <w:style w:type="paragraph" w:styleId="TOC6">
    <w:name w:val="toc 6"/>
    <w:basedOn w:val="TOC4"/>
    <w:semiHidden/>
    <w:rsid w:val="008F1F2D"/>
  </w:style>
  <w:style w:type="paragraph" w:styleId="TOC7">
    <w:name w:val="toc 7"/>
    <w:basedOn w:val="TOC4"/>
    <w:semiHidden/>
    <w:rsid w:val="008F1F2D"/>
  </w:style>
  <w:style w:type="paragraph" w:styleId="TOC8">
    <w:name w:val="toc 8"/>
    <w:basedOn w:val="TOC4"/>
    <w:semiHidden/>
    <w:rsid w:val="008F1F2D"/>
  </w:style>
  <w:style w:type="paragraph" w:customStyle="1" w:styleId="Rectitle">
    <w:name w:val="Rec_title"/>
    <w:basedOn w:val="Normal"/>
    <w:next w:val="Recref"/>
    <w:rsid w:val="008F1F2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F1F2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F1F2D"/>
  </w:style>
  <w:style w:type="paragraph" w:customStyle="1" w:styleId="Figuretitle">
    <w:name w:val="Figure_title"/>
    <w:basedOn w:val="Normal"/>
    <w:next w:val="Figure"/>
    <w:rsid w:val="008F1F2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F1F2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F1F2D"/>
    <w:pPr>
      <w:spacing w:after="480"/>
    </w:pPr>
    <w:rPr>
      <w:sz w:val="22"/>
      <w:lang w:val="es-ES_tradnl"/>
    </w:rPr>
  </w:style>
  <w:style w:type="paragraph" w:customStyle="1" w:styleId="Figure">
    <w:name w:val="Figure"/>
    <w:basedOn w:val="FigureNo"/>
    <w:next w:val="Normal"/>
    <w:rsid w:val="008F1F2D"/>
    <w:pPr>
      <w:keepNext w:val="0"/>
      <w:spacing w:before="0" w:after="240"/>
    </w:pPr>
  </w:style>
  <w:style w:type="character" w:styleId="Hyperlink">
    <w:name w:val="Hyperlink"/>
    <w:basedOn w:val="DefaultParagraphFont"/>
    <w:rsid w:val="00D168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32A3D-1DD0-41A6-9E42-E8FFFC5DF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4</Pages>
  <Words>811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5945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BT.1299-1* - The basic elements of a worldwide common family of systems for digital terrestrial television broadcasting**</dc:title>
  <dc:subject>BT Series = Broadcasting service (television)</dc:subject>
  <dc:creator>ITU Radiocommunication Bureau (BR)</dc:creator>
  <cp:keywords>BT,1299-1*</cp:keywords>
  <dc:description>Santosbo, 11/03/2010, MSB106309</dc:description>
  <cp:lastModifiedBy>christe</cp:lastModifiedBy>
  <cp:revision>8</cp:revision>
  <cp:lastPrinted>2005-02-10T15:54:00Z</cp:lastPrinted>
  <dcterms:created xsi:type="dcterms:W3CDTF">2010-03-04T08:06:00Z</dcterms:created>
  <dcterms:modified xsi:type="dcterms:W3CDTF">2010-04-26T09:57:00Z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11 March 2010</vt:lpwstr>
  </property>
</Properties>
</file>