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22C" w:rsidRDefault="0014322C">
      <w:bookmarkStart w:id="0" w:name="Doc_title"/>
      <w:bookmarkStart w:id="1" w:name="_GoBack"/>
      <w:bookmarkEnd w:id="1"/>
    </w:p>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p w:rsidR="0014322C" w:rsidRDefault="0014322C"/>
    <w:tbl>
      <w:tblPr>
        <w:tblW w:w="10089" w:type="dxa"/>
        <w:tblLook w:val="01E0" w:firstRow="1" w:lastRow="1" w:firstColumn="1" w:lastColumn="1" w:noHBand="0" w:noVBand="0"/>
      </w:tblPr>
      <w:tblGrid>
        <w:gridCol w:w="10089"/>
      </w:tblGrid>
      <w:tr w:rsidR="0014322C" w:rsidRPr="00A443C2">
        <w:tc>
          <w:tcPr>
            <w:tcW w:w="10089" w:type="dxa"/>
          </w:tcPr>
          <w:p w:rsidR="0014322C" w:rsidRPr="00B033C8" w:rsidRDefault="0014322C" w:rsidP="0014322C">
            <w:pPr>
              <w:spacing w:before="380" w:line="280" w:lineRule="exact"/>
              <w:jc w:val="right"/>
              <w:rPr>
                <w:rFonts w:ascii="Tahoma" w:hAnsi="Tahoma" w:cs="Tahoma"/>
                <w:b/>
                <w:bCs/>
                <w:iCs/>
                <w:color w:val="243285"/>
                <w:sz w:val="32"/>
                <w:szCs w:val="32"/>
                <w:lang w:val="en-US"/>
              </w:rPr>
            </w:pPr>
          </w:p>
          <w:p w:rsidR="0014322C" w:rsidRDefault="0014322C" w:rsidP="009D01C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9D01CC">
              <w:rPr>
                <w:rFonts w:ascii="Tahoma" w:hAnsi="Tahoma" w:cs="Tahoma"/>
                <w:b/>
                <w:bCs/>
                <w:iCs/>
                <w:color w:val="243285"/>
                <w:sz w:val="36"/>
                <w:szCs w:val="36"/>
              </w:rPr>
              <w:t>1206-2</w:t>
            </w:r>
          </w:p>
          <w:p w:rsidR="00DA2EA9" w:rsidRPr="00A443C2" w:rsidRDefault="00DA2EA9" w:rsidP="00B207C7">
            <w:pPr>
              <w:spacing w:before="380" w:line="280" w:lineRule="exact"/>
              <w:jc w:val="right"/>
              <w:rPr>
                <w:rFonts w:ascii="Tahoma" w:hAnsi="Tahoma" w:cs="Tahoma"/>
                <w:b/>
                <w:bCs/>
                <w:iCs/>
                <w:color w:val="243285"/>
                <w:szCs w:val="24"/>
              </w:rPr>
            </w:pPr>
            <w:r>
              <w:rPr>
                <w:rFonts w:ascii="Tahoma" w:hAnsi="Tahoma" w:cs="Tahoma"/>
                <w:b/>
                <w:bCs/>
                <w:iCs/>
                <w:color w:val="243285"/>
                <w:szCs w:val="24"/>
              </w:rPr>
              <w:t>(06</w:t>
            </w:r>
            <w:r w:rsidR="00B207C7">
              <w:rPr>
                <w:rFonts w:ascii="Tahoma" w:hAnsi="Tahoma" w:cs="Tahoma"/>
                <w:b/>
                <w:bCs/>
                <w:iCs/>
                <w:color w:val="243285"/>
                <w:szCs w:val="24"/>
              </w:rPr>
              <w:t>/</w:t>
            </w:r>
            <w:r>
              <w:rPr>
                <w:rFonts w:ascii="Tahoma" w:hAnsi="Tahoma" w:cs="Tahoma"/>
                <w:b/>
                <w:bCs/>
                <w:iCs/>
                <w:color w:val="243285"/>
                <w:szCs w:val="24"/>
              </w:rPr>
              <w:t>2014)</w:t>
            </w:r>
          </w:p>
        </w:tc>
      </w:tr>
      <w:tr w:rsidR="0014322C" w:rsidRPr="00F54FBD">
        <w:tc>
          <w:tcPr>
            <w:tcW w:w="10089" w:type="dxa"/>
          </w:tcPr>
          <w:p w:rsidR="0014322C" w:rsidRPr="0043089F" w:rsidRDefault="0014322C" w:rsidP="0014322C">
            <w:pPr>
              <w:spacing w:before="80" w:line="500" w:lineRule="exact"/>
              <w:jc w:val="right"/>
              <w:rPr>
                <w:rFonts w:ascii="Tahoma" w:hAnsi="Tahoma" w:cs="Tahoma"/>
                <w:b/>
                <w:bCs/>
                <w:iCs/>
                <w:color w:val="243285"/>
                <w:sz w:val="44"/>
                <w:szCs w:val="44"/>
              </w:rPr>
            </w:pPr>
          </w:p>
          <w:p w:rsidR="007B518B" w:rsidRDefault="00DC03C4" w:rsidP="00DC03C4">
            <w:pPr>
              <w:spacing w:before="80" w:line="500" w:lineRule="exact"/>
              <w:jc w:val="right"/>
              <w:rPr>
                <w:rFonts w:ascii="Tahoma" w:hAnsi="Tahoma" w:cs="Tahoma"/>
                <w:b/>
                <w:bCs/>
                <w:color w:val="243285"/>
                <w:sz w:val="44"/>
                <w:szCs w:val="44"/>
              </w:rPr>
            </w:pPr>
            <w:r w:rsidRPr="00DC03C4">
              <w:rPr>
                <w:rFonts w:ascii="Tahoma" w:hAnsi="Tahoma" w:cs="Tahoma"/>
                <w:b/>
                <w:bCs/>
                <w:color w:val="243285"/>
                <w:sz w:val="44"/>
                <w:szCs w:val="44"/>
              </w:rPr>
              <w:t xml:space="preserve">Gabarits de limite spectrale pour la radiodiffusion télévisuelle </w:t>
            </w:r>
            <w:r w:rsidRPr="00DC03C4">
              <w:rPr>
                <w:rFonts w:ascii="Tahoma" w:hAnsi="Tahoma" w:cs="Tahoma"/>
                <w:b/>
                <w:bCs/>
                <w:color w:val="243285"/>
                <w:sz w:val="44"/>
                <w:szCs w:val="44"/>
              </w:rPr>
              <w:br/>
              <w:t>numérique de Terre</w:t>
            </w:r>
          </w:p>
          <w:p w:rsidR="0014322C" w:rsidRPr="0043089F" w:rsidRDefault="0043089F"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14322C" w:rsidRPr="00F54FBD">
        <w:tc>
          <w:tcPr>
            <w:tcW w:w="10089" w:type="dxa"/>
          </w:tcPr>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line="280" w:lineRule="exact"/>
              <w:ind w:right="640"/>
              <w:rPr>
                <w:rFonts w:ascii="Tahoma" w:hAnsi="Tahoma" w:cs="Tahoma"/>
                <w:b/>
                <w:bCs/>
                <w:iCs/>
                <w:color w:val="243285"/>
                <w:sz w:val="32"/>
                <w:szCs w:val="32"/>
              </w:rPr>
            </w:pPr>
          </w:p>
          <w:p w:rsidR="0014322C" w:rsidRPr="00F54FBD" w:rsidRDefault="0014322C" w:rsidP="0014322C">
            <w:pPr>
              <w:spacing w:before="80" w:after="180" w:line="360" w:lineRule="exact"/>
              <w:ind w:right="720"/>
              <w:rPr>
                <w:rFonts w:ascii="Tahoma" w:hAnsi="Tahoma" w:cs="Tahoma"/>
                <w:b/>
                <w:bCs/>
                <w:iCs/>
                <w:color w:val="243285"/>
                <w:sz w:val="36"/>
                <w:szCs w:val="36"/>
              </w:rPr>
            </w:pPr>
          </w:p>
          <w:p w:rsidR="0014322C" w:rsidRPr="00F54FBD" w:rsidRDefault="0014322C"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14322C" w:rsidRPr="0043089F" w:rsidRDefault="0014322C"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spacing w:before="80"/>
        <w:rPr>
          <w:i/>
          <w:sz w:val="22"/>
        </w:rPr>
      </w:pPr>
    </w:p>
    <w:p w:rsidR="0014322C" w:rsidRPr="00F54FBD" w:rsidRDefault="0014322C" w:rsidP="0014322C">
      <w:pPr>
        <w:pStyle w:val="Equation"/>
        <w:tabs>
          <w:tab w:val="clear" w:pos="4820"/>
          <w:tab w:val="clear" w:pos="9639"/>
          <w:tab w:val="left" w:pos="1191"/>
          <w:tab w:val="left" w:pos="1588"/>
          <w:tab w:val="left" w:pos="1985"/>
        </w:tabs>
        <w:rPr>
          <w:rFonts w:ascii="Palatino Linotype" w:hAnsi="Palatino Linotype"/>
        </w:rPr>
        <w:sectPr w:rsidR="0014322C"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rsidR="0014322C" w:rsidRPr="00F54FBD"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14322C" w:rsidRPr="00F54FBD" w:rsidRDefault="0014322C" w:rsidP="0014322C">
      <w:pPr>
        <w:spacing w:before="240"/>
        <w:rPr>
          <w:sz w:val="20"/>
        </w:rPr>
      </w:pPr>
      <w:r w:rsidRPr="00F54FBD">
        <w:rPr>
          <w:sz w:val="20"/>
        </w:rPr>
        <w:t>Le rôle du Secteu</w:t>
      </w:r>
      <w:r w:rsidR="00904F4B">
        <w:rPr>
          <w:sz w:val="20"/>
        </w:rPr>
        <w:t>r des radiocommunications est d'assurer l'</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4322C" w:rsidRPr="00F54FBD" w:rsidRDefault="0014322C"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 xml:space="preserve">diocommunications sont remplies par les Conférences mondiales et régionales des radiocommunications et par les Assemblées des radiocommunications </w:t>
      </w:r>
      <w:r w:rsidR="00904F4B">
        <w:rPr>
          <w:sz w:val="20"/>
        </w:rPr>
        <w:t>assistées par les Commissions d'</w:t>
      </w:r>
      <w:r>
        <w:rPr>
          <w:sz w:val="20"/>
        </w:rPr>
        <w:t>études.</w:t>
      </w:r>
    </w:p>
    <w:p w:rsidR="0014322C" w:rsidRPr="00E44CBB" w:rsidRDefault="0014322C"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4322C" w:rsidRPr="00E44CBB" w:rsidRDefault="0014322C" w:rsidP="001432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4322C" w:rsidRPr="00C57597" w:rsidRDefault="0014322C"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4322C" w:rsidRPr="009454F8">
        <w:tc>
          <w:tcPr>
            <w:tcW w:w="9360" w:type="dxa"/>
            <w:gridSpan w:val="2"/>
          </w:tcPr>
          <w:p w:rsidR="0014322C" w:rsidRPr="009454F8" w:rsidRDefault="0014322C" w:rsidP="001432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4322C" w:rsidRPr="009454F8"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sidR="00595B2F">
                <w:rPr>
                  <w:rStyle w:val="Hyperlink"/>
                  <w:b w:val="0"/>
                  <w:bCs/>
                  <w:sz w:val="18"/>
                  <w:szCs w:val="18"/>
                </w:rPr>
                <w:t>http://www.itu.int/publ/R-REC/fr</w:t>
              </w:r>
            </w:hyperlink>
            <w:r w:rsidRPr="00BC0651">
              <w:rPr>
                <w:b w:val="0"/>
                <w:bCs/>
                <w:sz w:val="18"/>
                <w:szCs w:val="18"/>
              </w:rPr>
              <w:t>)</w:t>
            </w:r>
          </w:p>
        </w:tc>
      </w:tr>
      <w:tr w:rsidR="0014322C" w:rsidRPr="00036EE3">
        <w:tc>
          <w:tcPr>
            <w:tcW w:w="1140" w:type="dxa"/>
          </w:tcPr>
          <w:p w:rsidR="0014322C" w:rsidRPr="00614CC6" w:rsidRDefault="0014322C" w:rsidP="0014322C">
            <w:pPr>
              <w:spacing w:before="90" w:after="100"/>
              <w:ind w:left="57"/>
              <w:rPr>
                <w:b/>
                <w:bCs/>
                <w:sz w:val="20"/>
                <w:lang w:val="en-US"/>
              </w:rPr>
            </w:pPr>
            <w:r w:rsidRPr="00614CC6">
              <w:rPr>
                <w:b/>
                <w:bCs/>
                <w:sz w:val="20"/>
                <w:lang w:val="en-US"/>
              </w:rPr>
              <w:t>Séries</w:t>
            </w:r>
          </w:p>
        </w:tc>
        <w:tc>
          <w:tcPr>
            <w:tcW w:w="8220" w:type="dxa"/>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4322C" w:rsidRPr="00036EE3" w:rsidTr="0014322C">
        <w:tc>
          <w:tcPr>
            <w:tcW w:w="1140" w:type="dxa"/>
            <w:tcBorders>
              <w:bottom w:val="nil"/>
            </w:tcBorders>
          </w:tcPr>
          <w:p w:rsidR="0014322C" w:rsidRPr="00614CC6" w:rsidRDefault="0014322C" w:rsidP="0014322C">
            <w:pPr>
              <w:spacing w:before="30" w:after="30"/>
              <w:ind w:left="57"/>
              <w:rPr>
                <w:b/>
                <w:bCs/>
                <w:sz w:val="20"/>
                <w:lang w:val="en-US"/>
              </w:rPr>
            </w:pPr>
            <w:r w:rsidRPr="00614CC6">
              <w:rPr>
                <w:b/>
                <w:bCs/>
                <w:sz w:val="20"/>
                <w:lang w:val="en-US"/>
              </w:rPr>
              <w:t>BO</w:t>
            </w:r>
          </w:p>
        </w:tc>
        <w:tc>
          <w:tcPr>
            <w:tcW w:w="8220" w:type="dxa"/>
            <w:tcBorders>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14322C" w:rsidRPr="009454F8" w:rsidTr="0014322C">
        <w:tc>
          <w:tcPr>
            <w:tcW w:w="1140" w:type="dxa"/>
            <w:tcBorders>
              <w:top w:val="nil"/>
              <w:bottom w:val="nil"/>
            </w:tcBorders>
            <w:shd w:val="clear" w:color="auto" w:fill="auto"/>
          </w:tcPr>
          <w:p w:rsidR="0014322C" w:rsidRPr="0014322C" w:rsidRDefault="0014322C"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14322C" w:rsidRPr="00036EE3" w:rsidTr="0014322C">
        <w:tc>
          <w:tcPr>
            <w:tcW w:w="1140" w:type="dxa"/>
            <w:tcBorders>
              <w:top w:val="nil"/>
              <w:bottom w:val="nil"/>
            </w:tcBorders>
          </w:tcPr>
          <w:p w:rsidR="0014322C" w:rsidRPr="00614CC6" w:rsidRDefault="0014322C"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rsidR="0014322C" w:rsidRPr="00614CC6"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14322C" w:rsidRPr="00ED2695" w:rsidTr="0014322C">
        <w:tc>
          <w:tcPr>
            <w:tcW w:w="1140" w:type="dxa"/>
            <w:tcBorders>
              <w:top w:val="nil"/>
              <w:bottom w:val="nil"/>
            </w:tcBorders>
            <w:shd w:val="clear" w:color="auto" w:fill="F3F3F3"/>
          </w:tcPr>
          <w:p w:rsidR="0014322C" w:rsidRPr="0014322C" w:rsidRDefault="0014322C"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14322C" w:rsidRPr="0014322C"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14322C" w:rsidRPr="00036EE3" w:rsidTr="0014322C">
        <w:tc>
          <w:tcPr>
            <w:tcW w:w="1140" w:type="dxa"/>
            <w:tcBorders>
              <w:top w:val="nil"/>
              <w:bottom w:val="nil"/>
            </w:tcBorders>
            <w:shd w:val="clear" w:color="auto" w:fill="auto"/>
          </w:tcPr>
          <w:p w:rsidR="0014322C" w:rsidRPr="00614CC6" w:rsidRDefault="0014322C"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14322C" w:rsidRPr="00592F9F" w:rsidTr="0014322C">
        <w:tc>
          <w:tcPr>
            <w:tcW w:w="1140" w:type="dxa"/>
            <w:tcBorders>
              <w:top w:val="nil"/>
              <w:bottom w:val="nil"/>
            </w:tcBorders>
            <w:shd w:val="clear" w:color="auto" w:fill="auto"/>
          </w:tcPr>
          <w:p w:rsidR="0014322C" w:rsidRPr="00766861" w:rsidRDefault="0014322C"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14322C" w:rsidRPr="00766861" w:rsidRDefault="0014322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14322C" w:rsidRPr="00036EE3" w:rsidTr="0014322C">
        <w:tc>
          <w:tcPr>
            <w:tcW w:w="1140" w:type="dxa"/>
            <w:tcBorders>
              <w:top w:val="nil"/>
            </w:tcBorders>
          </w:tcPr>
          <w:p w:rsidR="0014322C" w:rsidRPr="00614CC6" w:rsidRDefault="0014322C" w:rsidP="0014322C">
            <w:pPr>
              <w:spacing w:before="30" w:after="30"/>
              <w:ind w:left="57"/>
              <w:rPr>
                <w:b/>
                <w:bCs/>
                <w:sz w:val="20"/>
                <w:lang w:val="fr-CH"/>
              </w:rPr>
            </w:pPr>
            <w:r w:rsidRPr="00614CC6">
              <w:rPr>
                <w:b/>
                <w:bCs/>
                <w:sz w:val="20"/>
                <w:lang w:val="fr-CH"/>
              </w:rPr>
              <w:t>P</w:t>
            </w:r>
          </w:p>
        </w:tc>
        <w:tc>
          <w:tcPr>
            <w:tcW w:w="8220" w:type="dxa"/>
            <w:tcBorders>
              <w:top w:val="nil"/>
            </w:tcBorders>
          </w:tcPr>
          <w:p w:rsidR="0014322C" w:rsidRPr="00614CC6" w:rsidRDefault="0014322C" w:rsidP="0014322C">
            <w:pPr>
              <w:spacing w:before="30" w:after="30"/>
              <w:rPr>
                <w:sz w:val="20"/>
                <w:lang w:val="fr-CH"/>
              </w:rPr>
            </w:pPr>
            <w:r w:rsidRPr="00614CC6">
              <w:rPr>
                <w:sz w:val="20"/>
              </w:rPr>
              <w:t>Propagation des ondes radioélectriques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RA</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RS</w:t>
            </w:r>
          </w:p>
        </w:tc>
        <w:tc>
          <w:tcPr>
            <w:tcW w:w="8220" w:type="dxa"/>
          </w:tcPr>
          <w:p w:rsidR="0014322C" w:rsidRPr="00614CC6" w:rsidRDefault="0014322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w:t>
            </w:r>
          </w:p>
        </w:tc>
        <w:tc>
          <w:tcPr>
            <w:tcW w:w="8220" w:type="dxa"/>
          </w:tcPr>
          <w:p w:rsidR="0014322C" w:rsidRPr="00614CC6" w:rsidRDefault="0014322C" w:rsidP="0014322C">
            <w:pPr>
              <w:spacing w:before="30" w:after="30"/>
              <w:rPr>
                <w:sz w:val="20"/>
                <w:lang w:val="en-US"/>
              </w:rPr>
            </w:pPr>
            <w:r w:rsidRPr="00614CC6">
              <w:rPr>
                <w:sz w:val="20"/>
              </w:rPr>
              <w:t>Service fixe par satellite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SA</w:t>
            </w:r>
          </w:p>
        </w:tc>
        <w:tc>
          <w:tcPr>
            <w:tcW w:w="8220" w:type="dxa"/>
          </w:tcPr>
          <w:p w:rsidR="0014322C" w:rsidRPr="00614CC6" w:rsidRDefault="0014322C" w:rsidP="0014322C">
            <w:pPr>
              <w:spacing w:before="30" w:after="30"/>
              <w:rPr>
                <w:sz w:val="20"/>
                <w:lang w:val="en-US"/>
              </w:rPr>
            </w:pPr>
            <w:r w:rsidRPr="00614CC6">
              <w:rPr>
                <w:sz w:val="20"/>
              </w:rPr>
              <w:t>Applications spatiales et météorologie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SF</w:t>
            </w:r>
          </w:p>
        </w:tc>
        <w:tc>
          <w:tcPr>
            <w:tcW w:w="8220" w:type="dxa"/>
          </w:tcPr>
          <w:p w:rsidR="0014322C" w:rsidRPr="00614CC6" w:rsidRDefault="0014322C" w:rsidP="0014322C">
            <w:pPr>
              <w:spacing w:before="30" w:after="30"/>
              <w:rPr>
                <w:sz w:val="20"/>
              </w:rPr>
            </w:pPr>
            <w:r w:rsidRPr="00614CC6">
              <w:rPr>
                <w:sz w:val="20"/>
              </w:rPr>
              <w:t>Partage des fréquences et coordination entre les systèmes du service fixe par satellite et du service fixe</w:t>
            </w:r>
          </w:p>
        </w:tc>
      </w:tr>
      <w:tr w:rsidR="0014322C" w:rsidRPr="00036EE3">
        <w:tc>
          <w:tcPr>
            <w:tcW w:w="1140" w:type="dxa"/>
            <w:shd w:val="clear" w:color="auto" w:fill="auto"/>
          </w:tcPr>
          <w:p w:rsidR="0014322C" w:rsidRPr="00592F9F" w:rsidRDefault="0014322C" w:rsidP="0014322C">
            <w:pPr>
              <w:spacing w:before="30" w:after="30"/>
              <w:ind w:left="57"/>
              <w:rPr>
                <w:b/>
                <w:bCs/>
                <w:sz w:val="20"/>
                <w:lang w:val="en-US"/>
              </w:rPr>
            </w:pPr>
            <w:r w:rsidRPr="00592F9F">
              <w:rPr>
                <w:b/>
                <w:bCs/>
                <w:sz w:val="20"/>
                <w:lang w:val="en-US"/>
              </w:rPr>
              <w:t>SM</w:t>
            </w:r>
          </w:p>
        </w:tc>
        <w:tc>
          <w:tcPr>
            <w:tcW w:w="8220" w:type="dxa"/>
            <w:shd w:val="clear" w:color="auto" w:fill="auto"/>
          </w:tcPr>
          <w:p w:rsidR="0014322C" w:rsidRPr="00592F9F" w:rsidRDefault="0014322C" w:rsidP="0014322C">
            <w:pPr>
              <w:spacing w:before="30" w:after="30"/>
              <w:rPr>
                <w:sz w:val="20"/>
                <w:lang w:val="en-US"/>
              </w:rPr>
            </w:pPr>
            <w:r w:rsidRPr="00592F9F">
              <w:rPr>
                <w:sz w:val="20"/>
              </w:rPr>
              <w:t>Gestion du spectre</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SNG</w:t>
            </w:r>
          </w:p>
        </w:tc>
        <w:tc>
          <w:tcPr>
            <w:tcW w:w="8220" w:type="dxa"/>
          </w:tcPr>
          <w:p w:rsidR="0014322C" w:rsidRPr="00614CC6" w:rsidRDefault="0014322C" w:rsidP="0014322C">
            <w:pPr>
              <w:spacing w:before="30" w:after="30"/>
              <w:rPr>
                <w:sz w:val="20"/>
                <w:lang w:val="en-US"/>
              </w:rPr>
            </w:pPr>
            <w:r w:rsidRPr="00614CC6">
              <w:rPr>
                <w:sz w:val="20"/>
              </w:rPr>
              <w:t>Reportage d'actualités par satellite</w:t>
            </w:r>
          </w:p>
        </w:tc>
      </w:tr>
      <w:tr w:rsidR="0014322C" w:rsidRPr="00614CC6">
        <w:tc>
          <w:tcPr>
            <w:tcW w:w="1140" w:type="dxa"/>
          </w:tcPr>
          <w:p w:rsidR="0014322C" w:rsidRPr="00614CC6" w:rsidRDefault="0014322C" w:rsidP="0014322C">
            <w:pPr>
              <w:spacing w:before="30" w:after="30"/>
              <w:ind w:left="57"/>
              <w:rPr>
                <w:b/>
                <w:bCs/>
                <w:sz w:val="20"/>
                <w:lang w:val="en-US"/>
              </w:rPr>
            </w:pPr>
            <w:r w:rsidRPr="00614CC6">
              <w:rPr>
                <w:b/>
                <w:bCs/>
                <w:sz w:val="20"/>
                <w:lang w:val="en-US"/>
              </w:rPr>
              <w:t>TF</w:t>
            </w:r>
          </w:p>
        </w:tc>
        <w:tc>
          <w:tcPr>
            <w:tcW w:w="8220" w:type="dxa"/>
          </w:tcPr>
          <w:p w:rsidR="0014322C" w:rsidRPr="00614CC6" w:rsidRDefault="0014322C" w:rsidP="0014322C">
            <w:pPr>
              <w:spacing w:before="30" w:after="30"/>
              <w:rPr>
                <w:sz w:val="20"/>
              </w:rPr>
            </w:pPr>
            <w:r w:rsidRPr="00614CC6">
              <w:rPr>
                <w:sz w:val="20"/>
              </w:rPr>
              <w:t>Emissions de fréquences étalon et de signaux horaires</w:t>
            </w:r>
          </w:p>
        </w:tc>
      </w:tr>
      <w:tr w:rsidR="0014322C" w:rsidRPr="00036EE3">
        <w:tc>
          <w:tcPr>
            <w:tcW w:w="1140" w:type="dxa"/>
          </w:tcPr>
          <w:p w:rsidR="0014322C" w:rsidRPr="00614CC6" w:rsidRDefault="0014322C" w:rsidP="0014322C">
            <w:pPr>
              <w:spacing w:before="30" w:after="30"/>
              <w:ind w:left="57"/>
              <w:rPr>
                <w:b/>
                <w:bCs/>
                <w:sz w:val="20"/>
                <w:lang w:val="en-US"/>
              </w:rPr>
            </w:pPr>
            <w:r w:rsidRPr="00614CC6">
              <w:rPr>
                <w:b/>
                <w:bCs/>
                <w:sz w:val="20"/>
                <w:lang w:val="en-US"/>
              </w:rPr>
              <w:t>V</w:t>
            </w:r>
          </w:p>
        </w:tc>
        <w:tc>
          <w:tcPr>
            <w:tcW w:w="8220" w:type="dxa"/>
          </w:tcPr>
          <w:p w:rsidR="0014322C" w:rsidRPr="00614CC6" w:rsidRDefault="0014322C" w:rsidP="0014322C">
            <w:pPr>
              <w:spacing w:before="30" w:after="140"/>
              <w:rPr>
                <w:sz w:val="20"/>
                <w:lang w:val="en-US"/>
              </w:rPr>
            </w:pPr>
            <w:r w:rsidRPr="00614CC6">
              <w:rPr>
                <w:sz w:val="20"/>
              </w:rPr>
              <w:t>Vocabulaire et sujets associés</w:t>
            </w:r>
          </w:p>
        </w:tc>
      </w:tr>
    </w:tbl>
    <w:p w:rsidR="0014322C" w:rsidRPr="00036EE3" w:rsidRDefault="0014322C" w:rsidP="0014322C">
      <w:pPr>
        <w:spacing w:before="0"/>
        <w:jc w:val="center"/>
        <w:rPr>
          <w:sz w:val="20"/>
          <w:lang w:val="en-US"/>
        </w:rPr>
      </w:pPr>
    </w:p>
    <w:p w:rsidR="0014322C" w:rsidRPr="00036EE3" w:rsidRDefault="0014322C"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4322C" w:rsidRPr="00756B4D">
        <w:tc>
          <w:tcPr>
            <w:tcW w:w="9360" w:type="dxa"/>
          </w:tcPr>
          <w:p w:rsidR="0014322C" w:rsidRPr="00756B4D" w:rsidRDefault="0014322C" w:rsidP="0091020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14322C" w:rsidRPr="00756B4D" w:rsidRDefault="0014322C" w:rsidP="0014322C">
      <w:pPr>
        <w:spacing w:before="0"/>
        <w:jc w:val="center"/>
        <w:rPr>
          <w:sz w:val="22"/>
        </w:rPr>
      </w:pPr>
    </w:p>
    <w:p w:rsidR="0014322C" w:rsidRPr="00614CC6" w:rsidRDefault="0014322C" w:rsidP="0014322C">
      <w:pPr>
        <w:spacing w:before="100"/>
        <w:jc w:val="right"/>
        <w:rPr>
          <w:i/>
          <w:iCs/>
          <w:sz w:val="20"/>
        </w:rPr>
      </w:pPr>
      <w:r w:rsidRPr="00614CC6">
        <w:rPr>
          <w:i/>
          <w:iCs/>
          <w:sz w:val="20"/>
        </w:rPr>
        <w:t>Publication électronique</w:t>
      </w:r>
    </w:p>
    <w:p w:rsidR="0014322C" w:rsidRPr="00614CC6" w:rsidRDefault="0014322C" w:rsidP="003C0395">
      <w:pPr>
        <w:spacing w:before="0"/>
        <w:jc w:val="right"/>
        <w:rPr>
          <w:sz w:val="20"/>
        </w:rPr>
      </w:pPr>
      <w:r w:rsidRPr="00614CC6">
        <w:rPr>
          <w:sz w:val="20"/>
        </w:rPr>
        <w:t>Genève, 20</w:t>
      </w:r>
      <w:r w:rsidR="009D3E41">
        <w:rPr>
          <w:sz w:val="20"/>
        </w:rPr>
        <w:t>1</w:t>
      </w:r>
      <w:r w:rsidR="00B207C7">
        <w:rPr>
          <w:sz w:val="20"/>
        </w:rPr>
        <w:t>5</w:t>
      </w:r>
    </w:p>
    <w:p w:rsidR="0014322C" w:rsidRPr="00614CC6" w:rsidRDefault="0014322C" w:rsidP="003C0395">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sidR="009D3E41">
        <w:rPr>
          <w:sz w:val="20"/>
        </w:rPr>
        <w:t>1</w:t>
      </w:r>
      <w:r w:rsidR="00B207C7">
        <w:rPr>
          <w:sz w:val="20"/>
        </w:rPr>
        <w:t>5</w:t>
      </w:r>
    </w:p>
    <w:p w:rsidR="0014322C" w:rsidRPr="00614CC6" w:rsidRDefault="0014322C"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w:t>
      </w:r>
      <w:r w:rsidR="00904F4B">
        <w:rPr>
          <w:sz w:val="18"/>
          <w:szCs w:val="18"/>
        </w:rPr>
        <w:t>que procédé que ce soit, sans l'accord écrit préalable de l'</w:t>
      </w:r>
      <w:r>
        <w:rPr>
          <w:sz w:val="18"/>
          <w:szCs w:val="18"/>
        </w:rPr>
        <w:t>UIT</w:t>
      </w:r>
      <w:r w:rsidRPr="00614CC6">
        <w:rPr>
          <w:sz w:val="18"/>
          <w:szCs w:val="18"/>
        </w:rPr>
        <w:t>.</w:t>
      </w:r>
    </w:p>
    <w:p w:rsidR="0014322C" w:rsidRPr="00614CC6" w:rsidRDefault="0014322C" w:rsidP="0014322C">
      <w:pPr>
        <w:spacing w:before="160"/>
        <w:rPr>
          <w:i/>
          <w:sz w:val="20"/>
          <w:highlight w:val="yellow"/>
        </w:rPr>
        <w:sectPr w:rsidR="0014322C" w:rsidRPr="00614CC6"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124F3A" w:rsidRDefault="00403476" w:rsidP="009D10A1">
      <w:pPr>
        <w:pStyle w:val="RecNo"/>
        <w:spacing w:before="0"/>
      </w:pPr>
      <w:bookmarkStart w:id="4" w:name="irecnoe"/>
      <w:bookmarkEnd w:id="4"/>
      <w:r>
        <w:lastRenderedPageBreak/>
        <w:t xml:space="preserve">RECOMMANDATION  </w:t>
      </w:r>
      <w:r>
        <w:rPr>
          <w:rStyle w:val="href"/>
        </w:rPr>
        <w:t>UIT-R  BT</w:t>
      </w:r>
      <w:bookmarkEnd w:id="0"/>
      <w:r w:rsidR="00586BCF">
        <w:rPr>
          <w:rStyle w:val="href"/>
        </w:rPr>
        <w:t>.</w:t>
      </w:r>
      <w:r w:rsidR="009D10A1">
        <w:rPr>
          <w:rStyle w:val="href"/>
        </w:rPr>
        <w:t>1206-2</w:t>
      </w:r>
    </w:p>
    <w:p w:rsidR="00124F3A" w:rsidRDefault="00124F3A" w:rsidP="00124F3A">
      <w:pPr>
        <w:pStyle w:val="Rectitle"/>
      </w:pPr>
      <w:r w:rsidRPr="00C932F5">
        <w:t xml:space="preserve">Gabarits de limite spectrale pour la radiodiffusion télévisuelle </w:t>
      </w:r>
      <w:r>
        <w:br/>
      </w:r>
      <w:r w:rsidRPr="00C932F5">
        <w:t>numérique de</w:t>
      </w:r>
      <w:r>
        <w:t xml:space="preserve"> </w:t>
      </w:r>
      <w:r w:rsidRPr="00C932F5">
        <w:t>Terre</w:t>
      </w:r>
    </w:p>
    <w:p w:rsidR="001D1994" w:rsidRDefault="001D1994" w:rsidP="001D1994">
      <w:pPr>
        <w:pStyle w:val="Recref"/>
      </w:pPr>
      <w:r w:rsidRPr="00C932F5">
        <w:t xml:space="preserve">(Question UIT-R </w:t>
      </w:r>
      <w:r w:rsidRPr="00C932F5">
        <w:rPr>
          <w:lang w:eastAsia="ja-JP"/>
        </w:rPr>
        <w:t>132/6</w:t>
      </w:r>
      <w:r w:rsidRPr="00C932F5">
        <w:t>)</w:t>
      </w:r>
    </w:p>
    <w:p w:rsidR="002B014C" w:rsidRDefault="002D19BC" w:rsidP="002D19BC">
      <w:pPr>
        <w:pStyle w:val="Recdate"/>
      </w:pPr>
      <w:r w:rsidRPr="00C932F5">
        <w:t>(1995-2013</w:t>
      </w:r>
      <w:r>
        <w:t>-2014</w:t>
      </w:r>
      <w:r w:rsidRPr="00C932F5">
        <w:t>)</w:t>
      </w:r>
    </w:p>
    <w:p w:rsidR="002B014C" w:rsidRPr="00757682" w:rsidRDefault="002B014C" w:rsidP="00FC0E77">
      <w:pPr>
        <w:pStyle w:val="HeadingSum"/>
        <w:rPr>
          <w:lang w:val="fr-CH" w:eastAsia="zh-CN"/>
        </w:rPr>
      </w:pPr>
      <w:r w:rsidRPr="00757682">
        <w:rPr>
          <w:lang w:val="fr-CH" w:eastAsia="zh-CN"/>
        </w:rPr>
        <w:t>Domaine d'application</w:t>
      </w:r>
    </w:p>
    <w:p w:rsidR="002B014C" w:rsidRPr="00757682" w:rsidRDefault="002B014C" w:rsidP="00904F4B">
      <w:pPr>
        <w:pStyle w:val="Summary"/>
        <w:rPr>
          <w:rFonts w:cs="Times New Roman Bold"/>
          <w:lang w:val="fr-CH"/>
        </w:rPr>
      </w:pPr>
      <w:r w:rsidRPr="00757682">
        <w:rPr>
          <w:lang w:val="fr-CH"/>
        </w:rPr>
        <w:t>La présente Recommandation définit des gabarits de limite spectrale propres aux systèmes de radiodiffusion télévisuelle numérique de Terre spécifiés dans la Recommandation UIT</w:t>
      </w:r>
      <w:r w:rsidRPr="00757682">
        <w:rPr>
          <w:lang w:val="fr-CH" w:eastAsia="ja-JP"/>
        </w:rPr>
        <w:t>-R BT.1306</w:t>
      </w:r>
      <w:r w:rsidRPr="00757682">
        <w:rPr>
          <w:lang w:val="fr-CH"/>
        </w:rPr>
        <w:t>.</w:t>
      </w:r>
      <w:r w:rsidRPr="00757682">
        <w:rPr>
          <w:lang w:val="fr-CH" w:eastAsia="ja-JP"/>
        </w:rPr>
        <w:t xml:space="preserve"> La Recommandation UIT</w:t>
      </w:r>
      <w:r w:rsidRPr="00757682">
        <w:rPr>
          <w:lang w:val="fr-CH" w:eastAsia="ja-JP"/>
        </w:rPr>
        <w:noBreakHyphen/>
        <w:t>R SM.1541 fournit les limites d'émission dans le domaine des émissions hors bande qui devraient être considérées comme des gabarits de limite spectrale génériques mais il est possible que des gabarits de limite spectrale spécifiques soient nécessaires dans des environnements particuliers afin d'améliorer la compatibilité avec les autres services de radiocommunication.</w:t>
      </w:r>
      <w:r w:rsidRPr="00757682">
        <w:rPr>
          <w:rFonts w:cs="Times New Roman Bold"/>
          <w:lang w:val="fr-CH"/>
        </w:rPr>
        <w:t xml:space="preserve"> </w:t>
      </w:r>
    </w:p>
    <w:p w:rsidR="002B014C" w:rsidRPr="002B014C" w:rsidRDefault="002B014C" w:rsidP="00FC0E77">
      <w:pPr>
        <w:pStyle w:val="Headingb"/>
        <w:rPr>
          <w:lang w:eastAsia="zh-CN"/>
        </w:rPr>
      </w:pPr>
      <w:r w:rsidRPr="002B014C">
        <w:rPr>
          <w:lang w:eastAsia="zh-CN"/>
        </w:rPr>
        <w:t>Mots clés</w:t>
      </w:r>
    </w:p>
    <w:p w:rsidR="002B014C" w:rsidRPr="002B014C" w:rsidRDefault="002B014C" w:rsidP="00FC0E77">
      <w:pPr>
        <w:rPr>
          <w:lang w:eastAsia="zh-CN"/>
        </w:rPr>
      </w:pPr>
      <w:r w:rsidRPr="002B014C">
        <w:rPr>
          <w:lang w:eastAsia="zh-CN"/>
        </w:rPr>
        <w:t xml:space="preserve">Gabarit spectral, radiodiffusion télévisuelle numérique de Terre (DTTB), </w:t>
      </w:r>
      <w:r w:rsidRPr="002B014C">
        <w:rPr>
          <w:rFonts w:eastAsiaTheme="minorEastAsia"/>
          <w:lang w:val="fr-CH"/>
        </w:rPr>
        <w:t>ATSC, DVB-T, ISDB-T, DTMB.</w:t>
      </w:r>
    </w:p>
    <w:p w:rsidR="002B014C" w:rsidRPr="002B014C" w:rsidRDefault="002B014C" w:rsidP="00FC0E77">
      <w:pPr>
        <w:pStyle w:val="Normalaftertitle"/>
      </w:pPr>
      <w:r w:rsidRPr="002B014C">
        <w:t>L'Assemblée des radiocommunications de l'UIT,</w:t>
      </w:r>
    </w:p>
    <w:p w:rsidR="002B014C" w:rsidRPr="002B014C" w:rsidRDefault="002B014C" w:rsidP="00FC0E77">
      <w:pPr>
        <w:pStyle w:val="Call"/>
      </w:pPr>
      <w:r w:rsidRPr="002B014C">
        <w:t xml:space="preserve">considérant </w:t>
      </w:r>
    </w:p>
    <w:p w:rsidR="002B014C" w:rsidRPr="002B014C" w:rsidRDefault="002B014C" w:rsidP="00FC0E77">
      <w:pPr>
        <w:rPr>
          <w:lang w:eastAsia="ja-JP"/>
        </w:rPr>
      </w:pPr>
      <w:r w:rsidRPr="00B207C7">
        <w:rPr>
          <w:i/>
          <w:iCs/>
        </w:rPr>
        <w:t>a)</w:t>
      </w:r>
      <w:r w:rsidRPr="002B014C">
        <w:tab/>
        <w:t>qu'il conviendrait de définir, dans un souci de compatibilité maximale, les limites spectrales applicables aux systèmes de télévision numérique afin de bien planifier la radiodiffusion de Terre;</w:t>
      </w:r>
    </w:p>
    <w:p w:rsidR="002B014C" w:rsidRPr="002B014C" w:rsidRDefault="002B014C" w:rsidP="00FC0E77">
      <w:pPr>
        <w:rPr>
          <w:lang w:eastAsia="ja-JP"/>
        </w:rPr>
      </w:pPr>
      <w:r w:rsidRPr="00B207C7">
        <w:rPr>
          <w:i/>
          <w:iCs/>
          <w:lang w:eastAsia="ja-JP"/>
        </w:rPr>
        <w:t>b)</w:t>
      </w:r>
      <w:r w:rsidRPr="002B014C">
        <w:rPr>
          <w:lang w:eastAsia="ja-JP"/>
        </w:rPr>
        <w:tab/>
        <w:t>que les méthodes de correction d'erreur, de mise en trame des données, de modulation et d'émission propres aux systèmes de radiodiffusion télévisuelle numérique de Terre (DTTB) sont définies dans la Recommandation UIT</w:t>
      </w:r>
      <w:r w:rsidRPr="002B014C">
        <w:rPr>
          <w:lang w:eastAsia="ja-JP"/>
        </w:rPr>
        <w:noBreakHyphen/>
        <w:t xml:space="preserve">R BT.1306; </w:t>
      </w:r>
    </w:p>
    <w:p w:rsidR="002B014C" w:rsidRPr="002B014C" w:rsidRDefault="002B014C" w:rsidP="00FC0E77">
      <w:pPr>
        <w:rPr>
          <w:lang w:eastAsia="ja-JP"/>
        </w:rPr>
      </w:pPr>
      <w:r w:rsidRPr="00B207C7">
        <w:rPr>
          <w:i/>
          <w:iCs/>
          <w:lang w:eastAsia="ja-JP"/>
        </w:rPr>
        <w:t>c)</w:t>
      </w:r>
      <w:r w:rsidRPr="002B014C">
        <w:rPr>
          <w:lang w:eastAsia="ja-JP"/>
        </w:rPr>
        <w:tab/>
        <w:t xml:space="preserve">que les critères de planification applicables aux services de radiodiffusion télévisuelle numérique de Terre exploités dans les bandes des ondes métriques et décimétriques sont indiqués dans la Recommandation UIT-R BT.1368; </w:t>
      </w:r>
    </w:p>
    <w:p w:rsidR="002B014C" w:rsidRPr="002B014C" w:rsidRDefault="002B014C" w:rsidP="00FC0E77">
      <w:pPr>
        <w:rPr>
          <w:lang w:eastAsia="ja-JP"/>
        </w:rPr>
      </w:pPr>
      <w:r w:rsidRPr="00B207C7">
        <w:rPr>
          <w:i/>
          <w:iCs/>
          <w:lang w:eastAsia="ja-JP"/>
        </w:rPr>
        <w:t>d)</w:t>
      </w:r>
      <w:r w:rsidRPr="002B014C">
        <w:rPr>
          <w:lang w:eastAsia="ja-JP"/>
        </w:rPr>
        <w:tab/>
        <w:t>que les systèmes de radiodiffusion télévisuelle numérique de Terre peuvent utiliser en partage des bandes de fréquences avec les systèmes de radiodiffusion télévisuelle analogique de Terre et d'autres services de radiocommunication;</w:t>
      </w:r>
    </w:p>
    <w:p w:rsidR="002B014C" w:rsidRPr="002B014C" w:rsidRDefault="002B014C" w:rsidP="00FC0E77">
      <w:pPr>
        <w:rPr>
          <w:lang w:eastAsia="ja-JP"/>
        </w:rPr>
      </w:pPr>
      <w:r w:rsidRPr="00B207C7">
        <w:rPr>
          <w:i/>
          <w:iCs/>
          <w:lang w:eastAsia="ja-JP"/>
        </w:rPr>
        <w:t>e)</w:t>
      </w:r>
      <w:r w:rsidRPr="002B014C">
        <w:rPr>
          <w:lang w:eastAsia="ja-JP"/>
        </w:rPr>
        <w:tab/>
        <w:t>que la Recommandation UIT-R SM.1541 définit les rayonnements non désirés dans le domaine des émissions hors bande, pour les fréquences comprises entre 9 kHz et 300 GHz, ainsi que les limites d'émission dans le domaine des émissions hors bande pour les systèmes de radiodiffusion télévisuelle;</w:t>
      </w:r>
    </w:p>
    <w:p w:rsidR="002B014C" w:rsidRPr="002B014C" w:rsidRDefault="002B014C" w:rsidP="00FC0E77">
      <w:pPr>
        <w:rPr>
          <w:lang w:eastAsia="ja-JP"/>
        </w:rPr>
      </w:pPr>
      <w:r w:rsidRPr="00B207C7">
        <w:rPr>
          <w:i/>
          <w:iCs/>
          <w:lang w:eastAsia="ja-JP"/>
        </w:rPr>
        <w:t>f)</w:t>
      </w:r>
      <w:r w:rsidRPr="002B014C">
        <w:rPr>
          <w:lang w:eastAsia="ja-JP"/>
        </w:rPr>
        <w:tab/>
        <w:t>que les limites spectrales spécifiées dans la Recommandation UIT-R SM.1541 devraient être considérées comme des limites génériques qui correspondent, en règle générale, aux limites d'émission dans le domaine des émissions hors bande les moins restrictives, parfois appelées limites de type filet de sécurité, lesquelles sont utilisées avec succès dans les réglementations nationales ou régionales;</w:t>
      </w:r>
    </w:p>
    <w:p w:rsidR="002B014C" w:rsidRPr="002B014C" w:rsidRDefault="002B014C" w:rsidP="00891E6A">
      <w:pPr>
        <w:rPr>
          <w:lang w:eastAsia="ja-JP"/>
        </w:rPr>
      </w:pPr>
      <w:r w:rsidRPr="00B207C7">
        <w:rPr>
          <w:i/>
          <w:iCs/>
          <w:lang w:eastAsia="ja-JP"/>
        </w:rPr>
        <w:t>g)</w:t>
      </w:r>
      <w:r w:rsidRPr="002B014C">
        <w:rPr>
          <w:lang w:eastAsia="ja-JP"/>
        </w:rPr>
        <w:tab/>
        <w:t xml:space="preserve">que la Recommandation UIT-R SM.1541 précise qu'il convient d'encourager l'élaboration par les administrations de gabarits de limite spectrale plus spécifiques pour chaque système et dans chaque largeur de bande de canal, tout en tenant compte de l'application concrète, de la modulation et des capacités de filtrage du système et tout en veillant à assurer la compatibilité avec les autres </w:t>
      </w:r>
      <w:r w:rsidRPr="002B014C">
        <w:rPr>
          <w:lang w:eastAsia="ja-JP"/>
        </w:rPr>
        <w:lastRenderedPageBreak/>
        <w:t>services de radiocommunication exploités dans la même bande de fréquences ou dans des bandes de fréquences adjacentes;</w:t>
      </w:r>
    </w:p>
    <w:p w:rsidR="002B014C" w:rsidRPr="002B014C" w:rsidRDefault="002B014C" w:rsidP="00891E6A">
      <w:pPr>
        <w:rPr>
          <w:lang w:eastAsia="ja-JP"/>
        </w:rPr>
      </w:pPr>
      <w:r w:rsidRPr="00B207C7">
        <w:rPr>
          <w:i/>
          <w:iCs/>
          <w:lang w:eastAsia="ja-JP"/>
        </w:rPr>
        <w:t>h)</w:t>
      </w:r>
      <w:r w:rsidRPr="002B014C">
        <w:rPr>
          <w:lang w:eastAsia="ja-JP"/>
        </w:rPr>
        <w:tab/>
        <w:t>que des gabarits de limite spectrale propres à la radiodiffusion télévisuelle numérique de Terre (DTTB) sont définis dans certains pays ou certaines régions où des limites plus strictes sont nécessaires pour une planification efficace,</w:t>
      </w:r>
    </w:p>
    <w:p w:rsidR="002B014C" w:rsidRPr="002B014C" w:rsidRDefault="002B014C" w:rsidP="00891E6A">
      <w:pPr>
        <w:pStyle w:val="Call"/>
      </w:pPr>
      <w:r w:rsidRPr="002B014C">
        <w:t>recommande</w:t>
      </w:r>
    </w:p>
    <w:p w:rsidR="002B014C" w:rsidRPr="002B014C" w:rsidRDefault="002B014C" w:rsidP="00CE5FF7">
      <w:r w:rsidRPr="002B014C">
        <w:t>de définir les gabarits de limite spectrale pour les systèmes de radiodiffusion télévisuelle numérique de Terre fonctionnant dans les bandes d'ondes métriques et décimétriques à partir des gabarits donnés dans les Annexes 1</w:t>
      </w:r>
      <w:r w:rsidRPr="002B014C">
        <w:rPr>
          <w:lang w:eastAsia="ja-JP"/>
        </w:rPr>
        <w:t>,</w:t>
      </w:r>
      <w:r w:rsidRPr="002B014C">
        <w:t xml:space="preserve"> 2</w:t>
      </w:r>
      <w:r w:rsidRPr="002B014C">
        <w:rPr>
          <w:lang w:eastAsia="ja-JP"/>
        </w:rPr>
        <w:t>, 3</w:t>
      </w:r>
      <w:r w:rsidRPr="002B014C">
        <w:t xml:space="preserve"> et </w:t>
      </w:r>
      <w:r w:rsidRPr="002B014C">
        <w:rPr>
          <w:lang w:eastAsia="ja-JP"/>
        </w:rPr>
        <w:t>4</w:t>
      </w:r>
      <w:r w:rsidRPr="002B014C">
        <w:t xml:space="preserve"> dans les cas où l'on a besoin de gabarits de limite spectrale spécifiques qui vont au-delà des gabarits de limite spectrale généraux spécifiés dans la Recommandation UIT</w:t>
      </w:r>
      <w:r w:rsidRPr="002B014C">
        <w:noBreakHyphen/>
        <w:t>R SM.1541.</w:t>
      </w:r>
    </w:p>
    <w:p w:rsidR="002B014C" w:rsidRPr="002B014C" w:rsidRDefault="002B014C" w:rsidP="00CE5FF7">
      <w:pPr>
        <w:pStyle w:val="Headingb"/>
      </w:pPr>
      <w:r w:rsidRPr="002B014C">
        <w:t>Introduction</w:t>
      </w:r>
    </w:p>
    <w:p w:rsidR="002B014C" w:rsidRPr="002B014C" w:rsidRDefault="002B014C" w:rsidP="00891E6A">
      <w:pPr>
        <w:rPr>
          <w:lang w:eastAsia="ja-JP"/>
        </w:rPr>
      </w:pPr>
      <w:r w:rsidRPr="002B014C">
        <w:rPr>
          <w:lang w:eastAsia="ja-JP"/>
        </w:rPr>
        <w:t>La présente Recommandation contient les Annexes suivantes:</w:t>
      </w:r>
    </w:p>
    <w:p w:rsidR="002B014C" w:rsidRPr="002B014C" w:rsidRDefault="002B014C" w:rsidP="00891E6A">
      <w:pPr>
        <w:rPr>
          <w:lang w:eastAsia="ja-JP"/>
        </w:rPr>
      </w:pPr>
      <w:r w:rsidRPr="002B014C">
        <w:rPr>
          <w:lang w:eastAsia="ja-JP"/>
        </w:rPr>
        <w:t>Annexe 1 – Gabarits de limite spectrale propres au système A de télévision numérique de Terre (ATSC).</w:t>
      </w:r>
    </w:p>
    <w:p w:rsidR="002B014C" w:rsidRPr="002B014C" w:rsidRDefault="002B014C" w:rsidP="00891E6A">
      <w:r w:rsidRPr="002B014C">
        <w:t xml:space="preserve">Annexe </w:t>
      </w:r>
      <w:r w:rsidRPr="002B014C">
        <w:rPr>
          <w:lang w:eastAsia="ja-JP"/>
        </w:rPr>
        <w:t>2 – Gabarits de limite spectrale propres au système B de télévision numérique de Terre</w:t>
      </w:r>
      <w:r w:rsidRPr="002B014C">
        <w:t xml:space="preserve"> (</w:t>
      </w:r>
      <w:r w:rsidRPr="002B014C">
        <w:rPr>
          <w:lang w:eastAsia="ja-JP"/>
        </w:rPr>
        <w:t>DVB-</w:t>
      </w:r>
      <w:r w:rsidR="00891E6A">
        <w:rPr>
          <w:lang w:eastAsia="ja-JP"/>
        </w:rPr>
        <w:t> </w:t>
      </w:r>
      <w:r w:rsidRPr="002B014C">
        <w:rPr>
          <w:lang w:eastAsia="ja-JP"/>
        </w:rPr>
        <w:t>T</w:t>
      </w:r>
      <w:r w:rsidRPr="002B014C">
        <w:t>).</w:t>
      </w:r>
    </w:p>
    <w:p w:rsidR="002B014C" w:rsidRPr="002B014C" w:rsidRDefault="002B014C" w:rsidP="00891E6A">
      <w:pPr>
        <w:rPr>
          <w:lang w:eastAsia="ja-JP"/>
        </w:rPr>
      </w:pPr>
      <w:r w:rsidRPr="002B014C">
        <w:t xml:space="preserve">Annexe </w:t>
      </w:r>
      <w:r w:rsidRPr="002B014C">
        <w:rPr>
          <w:lang w:eastAsia="ja-JP"/>
        </w:rPr>
        <w:t>3 – Gabarits de limite spectrale propres au système C de télévision numérique de Terre (ISDB-T).</w:t>
      </w:r>
    </w:p>
    <w:p w:rsidR="002B014C" w:rsidRPr="002B014C" w:rsidRDefault="002B014C" w:rsidP="00891E6A">
      <w:r w:rsidRPr="002B014C">
        <w:rPr>
          <w:lang w:eastAsia="ja-JP"/>
        </w:rPr>
        <w:t>Annexe 4 – Gabarits de limite spectrale propres au système D de télévision numérique de Terre (DTMB).</w:t>
      </w:r>
    </w:p>
    <w:p w:rsidR="002B014C" w:rsidRPr="002B014C" w:rsidRDefault="002B014C" w:rsidP="00891E6A">
      <w:pPr>
        <w:rPr>
          <w:lang w:eastAsia="ja-JP"/>
        </w:rPr>
      </w:pPr>
      <w:r w:rsidRPr="002B014C">
        <w:rPr>
          <w:lang w:eastAsia="ja-JP"/>
        </w:rPr>
        <w:t>Le gabarit de limite spectrale définit les limites des émissions dans la bande et dans le domaine des émissions hors bande.</w:t>
      </w:r>
    </w:p>
    <w:p w:rsidR="002B014C" w:rsidRPr="002B014C" w:rsidRDefault="002B014C" w:rsidP="00891E6A">
      <w:r w:rsidRPr="002B014C">
        <w:t xml:space="preserve">Le niveau de puissance relatif est défini dans une largeur de bande de référence de 4 kHz. Le niveau de référence de 0 dB correspond à la puissance moyenne en sortie mesurée dans la largeur de bande du canal. </w:t>
      </w:r>
    </w:p>
    <w:p w:rsidR="002B014C" w:rsidRPr="002B014C" w:rsidRDefault="002B014C" w:rsidP="002B014C">
      <w:pPr>
        <w:jc w:val="left"/>
      </w:pPr>
    </w:p>
    <w:p w:rsidR="002B014C" w:rsidRPr="002B014C" w:rsidRDefault="002B014C" w:rsidP="002B014C">
      <w:pPr>
        <w:jc w:val="left"/>
      </w:pPr>
    </w:p>
    <w:p w:rsidR="002B014C" w:rsidRPr="002B014C" w:rsidRDefault="002B014C" w:rsidP="00891E6A">
      <w:pPr>
        <w:pStyle w:val="AnnexNoTitle"/>
      </w:pPr>
      <w:r w:rsidRPr="002B014C">
        <w:t>Annexe 1</w:t>
      </w:r>
      <w:r w:rsidRPr="002B014C">
        <w:br/>
      </w:r>
      <w:r w:rsidRPr="002B014C">
        <w:br/>
      </w:r>
      <w:r w:rsidRPr="002B014C">
        <w:rPr>
          <w:lang w:eastAsia="ja-JP"/>
        </w:rPr>
        <w:t xml:space="preserve">Gabarits de limite spectrale propres au système A de télévision </w:t>
      </w:r>
      <w:r w:rsidRPr="002B014C">
        <w:rPr>
          <w:lang w:eastAsia="ja-JP"/>
        </w:rPr>
        <w:br/>
        <w:t>numérique de Terre (ATSC)</w:t>
      </w:r>
    </w:p>
    <w:p w:rsidR="002B014C" w:rsidRPr="002B014C" w:rsidRDefault="002B014C" w:rsidP="00891E6A">
      <w:pPr>
        <w:pStyle w:val="Heading1"/>
      </w:pPr>
      <w:r w:rsidRPr="002B014C">
        <w:t>1</w:t>
      </w:r>
      <w:r w:rsidRPr="002B014C">
        <w:tab/>
        <w:t xml:space="preserve">Système A de télévision numérique de Terre </w:t>
      </w:r>
    </w:p>
    <w:p w:rsidR="002B014C" w:rsidRPr="002B014C" w:rsidRDefault="002B014C" w:rsidP="00891E6A">
      <w:r w:rsidRPr="002B014C">
        <w:t xml:space="preserve">Les gabarits de limite spectrale décrits dans la présente Annexe s'appliquent au système A de radiodiffusion télévisuelle numérique de Terre (DTTB) de l'UIT-R qui utilise une modulation </w:t>
      </w:r>
      <w:r w:rsidRPr="00891E6A">
        <w:t>monoporteuse à bande latérale résiduelle à huit niveaux (8-VSB) avec des canaux de 6 MHz.</w:t>
      </w:r>
    </w:p>
    <w:p w:rsidR="002B014C" w:rsidRPr="002B014C" w:rsidRDefault="002B014C" w:rsidP="00891E6A">
      <w:pPr>
        <w:pStyle w:val="Heading1"/>
      </w:pPr>
      <w:r w:rsidRPr="002B014C">
        <w:t>2</w:t>
      </w:r>
      <w:r w:rsidRPr="002B014C">
        <w:tab/>
        <w:t>Echantillonnage à la sortie de l'émetteur</w:t>
      </w:r>
    </w:p>
    <w:p w:rsidR="002B014C" w:rsidRPr="002B014C" w:rsidRDefault="002B014C" w:rsidP="00891E6A">
      <w:r w:rsidRPr="002B014C">
        <w:t xml:space="preserve">Pour examiner le spectre, la borne de sortie de l'émetteur (y compris les éventuels filtres de définition des canaux RF) est connectée à un analyseur de spectre par l'intermédiaire d'un dispositif de couplage </w:t>
      </w:r>
      <w:r w:rsidRPr="002B014C">
        <w:lastRenderedPageBreak/>
        <w:t>ou d'échantillonnage inséré dans la ligne de transmission (câble coaxial ou guide d'ondes) entre l'émetteur et sa charge ou l'antenne. Pendant les mesures, l'émetteur peut fonctionner avec une antenne ou une charge fictive. On préfère la charge fictive car elle permet de limiter les éventuels problèmes liés à l'arrivée de signaux par voie hertzienne. Les limites de mise en forme du spectre sont définies à partir d'une largeur de bande de mesure (ou de résolution) de 500 kHz. Il est possible d'utiliser d'autres largeurs de bande de mesure si l'on applique des facteurs de correction appropriés. Il n'est pas nécessaire de faire de mesures à une fréquence éloignée du bord du canal de moins de la moitié de la largeur de bande de résolution de l'instrument de mesure.</w:t>
      </w:r>
    </w:p>
    <w:p w:rsidR="002B014C" w:rsidRPr="002B014C" w:rsidRDefault="002B014C" w:rsidP="00891E6A">
      <w:pPr>
        <w:pStyle w:val="Heading1"/>
      </w:pPr>
      <w:r w:rsidRPr="002B014C">
        <w:t>3</w:t>
      </w:r>
      <w:r w:rsidRPr="002B014C">
        <w:tab/>
        <w:t xml:space="preserve">Gabarits de limite spectrale pour les systèmes DTTB utilisant des canaux de 6 MHz et une modulation 8-VSB </w:t>
      </w:r>
    </w:p>
    <w:p w:rsidR="002B014C" w:rsidRPr="002B014C" w:rsidRDefault="002B014C" w:rsidP="00891E6A">
      <w:r w:rsidRPr="002B014C">
        <w:t>Les gabarits de limite spectrale suivants applicables aux systèmes DTTB utilisant des canaux de 6 MHz, qui doivent être utilisés en dehors des canaux de 6 MHz, sont définis par rapport à une amplitude de référence. L'amplitude de référence pour la limite de mise en forme du spectre correspond à la puissance totale en sortie de l'émetteur, y compris le signal pilote, contenue dans le canal de 6 MHz. Trois cas sont examinés dans les paragraphes qui suivent. Le gabarit de limite spectrale «haute puissance» est destiné aux émetteurs de forte puissance qui desservent des zones de population importantes. Ils peuvent être implantés sur le même site que des émetteurs similaires mais qui fonctionnent dans des canaux adjacents pour éviter les brouillages. Le gabarit de limite spectrale «basse puissance» est destiné aux émetteurs et réémetteurs de télévision de faible puissance (LPTV). Un émetteur LPTV dessert en règle générale de petites communautés vivant dans des zones rurales ou à l'intérieur de zones urbaines plus étendues. Les réémetteurs de télévision sont des stations du service de radiodiffusion qui sont conçues pour retransmettre les programmes et signaux d'une station de radiodiffusion télévisuelle dans des zones où la réception est mauvaise. Le gabarit de limite spectrale «simple» est lui aussi destiné aux émetteurs et réémetteurs LPTV dans des emplacements où ces émetteurs et réémetteurs ne causeront pas de brouillage.</w:t>
      </w:r>
    </w:p>
    <w:p w:rsidR="002B014C" w:rsidRPr="002B014C" w:rsidRDefault="002B014C" w:rsidP="00891E6A">
      <w:r w:rsidRPr="002B014C">
        <w:t>On trouvera dans la norme IEEE.1631</w:t>
      </w:r>
      <w:r w:rsidRPr="002B014C">
        <w:rPr>
          <w:position w:val="6"/>
          <w:sz w:val="18"/>
        </w:rPr>
        <w:footnoteReference w:id="1"/>
      </w:r>
      <w:r w:rsidRPr="002B014C">
        <w:t xml:space="preserve"> une pratique recommandée pour la mesure de ces gabarits.</w:t>
      </w:r>
    </w:p>
    <w:p w:rsidR="002B014C" w:rsidRPr="002B014C" w:rsidRDefault="002B014C" w:rsidP="00891E6A">
      <w:pPr>
        <w:pStyle w:val="Heading2"/>
      </w:pPr>
      <w:r w:rsidRPr="002B014C">
        <w:t>3.1</w:t>
      </w:r>
      <w:r w:rsidRPr="002B014C">
        <w:tab/>
        <w:t xml:space="preserve">Gabarit de limite spectrale pour systèmes DTTB «haute puissance» </w:t>
      </w:r>
    </w:p>
    <w:p w:rsidR="002B014C" w:rsidRPr="002B014C" w:rsidRDefault="002B014C" w:rsidP="002B014C">
      <w:pPr>
        <w:spacing w:before="80"/>
        <w:ind w:left="794" w:hanging="794"/>
        <w:jc w:val="left"/>
      </w:pPr>
      <w:r w:rsidRPr="002B014C">
        <w:t>•</w:t>
      </w:r>
      <w:r w:rsidRPr="00891E6A">
        <w:rPr>
          <w:rStyle w:val="enumlev1Char"/>
        </w:rPr>
        <w:tab/>
        <w:t>La limite de mise en forme du spectre entre la moitié de la largeur de bande de résolution du filtre utilisé et 500 kHz depuis le bord du canal, par rapport à la puissance en sortie totale de l'émetteur devrait être la suivante:</w:t>
      </w:r>
    </w:p>
    <w:p w:rsidR="002B014C" w:rsidRPr="002B014C" w:rsidRDefault="002B014C" w:rsidP="00891E6A">
      <w:pPr>
        <w:pStyle w:val="Equation"/>
      </w:pPr>
      <w:r w:rsidRPr="002B014C">
        <w:tab/>
      </w:r>
      <w:r w:rsidRPr="002B014C">
        <w:tab/>
        <w:t xml:space="preserve">Limite de mise en forme du spectre </w:t>
      </w:r>
      <w:r w:rsidRPr="002B014C">
        <w:sym w:font="Symbol" w:char="F0A3"/>
      </w:r>
      <w:r w:rsidRPr="002B014C">
        <w:t xml:space="preserve"> –47 (dB</w:t>
      </w:r>
      <w:r w:rsidRPr="002B014C">
        <w:rPr>
          <w:vertAlign w:val="subscript"/>
        </w:rPr>
        <w:t>DTV</w:t>
      </w:r>
      <w:r w:rsidRPr="002B014C">
        <w:t>)</w:t>
      </w:r>
      <w:r w:rsidRPr="002B014C">
        <w:tab/>
        <w:t>(1)</w:t>
      </w:r>
    </w:p>
    <w:p w:rsidR="002B014C" w:rsidRPr="002B014C" w:rsidRDefault="002B014C" w:rsidP="00891E6A">
      <w:pPr>
        <w:pStyle w:val="enumlev1"/>
      </w:pPr>
      <w:r w:rsidRPr="002B014C">
        <w:t>•</w:t>
      </w:r>
      <w:r w:rsidRPr="002B014C">
        <w:tab/>
        <w:t>La limite de mise en forme du spectre pour n'importe quelle fréquence comprise entre 500 kHz et 6 MHz depuis le bord du canal devrait être la suivante:</w:t>
      </w:r>
    </w:p>
    <w:p w:rsidR="002B014C" w:rsidRPr="002B014C" w:rsidRDefault="002B014C" w:rsidP="00C16437">
      <w:pPr>
        <w:pStyle w:val="Equation"/>
      </w:pPr>
      <w:r w:rsidRPr="002B014C">
        <w:tab/>
      </w:r>
      <w:r w:rsidRPr="002B014C">
        <w:tab/>
        <w:t xml:space="preserve">Limite de mise en forme du spectre </w:t>
      </w:r>
      <w:r w:rsidRPr="002B014C">
        <w:sym w:font="Symbol" w:char="F0A3"/>
      </w:r>
      <w:r w:rsidRPr="002B014C">
        <w:t xml:space="preserve"> –(11,5 (|ΔF| – 0,5) + 47) (dB</w:t>
      </w:r>
      <w:r w:rsidRPr="002B014C">
        <w:rPr>
          <w:vertAlign w:val="subscript"/>
        </w:rPr>
        <w:t>DTV</w:t>
      </w:r>
      <w:r w:rsidRPr="002B014C">
        <w:t>)</w:t>
      </w:r>
      <w:r w:rsidRPr="002B014C">
        <w:tab/>
        <w:t>(2)</w:t>
      </w:r>
    </w:p>
    <w:p w:rsidR="002B014C" w:rsidRPr="002B014C" w:rsidRDefault="002B014C" w:rsidP="00C16437">
      <w:r w:rsidRPr="002B014C">
        <w:t>où:</w:t>
      </w:r>
    </w:p>
    <w:p w:rsidR="002B014C" w:rsidRPr="00757682" w:rsidRDefault="002B014C" w:rsidP="00C16437">
      <w:pPr>
        <w:pStyle w:val="Equationlegend"/>
        <w:rPr>
          <w:lang w:val="fr-CH"/>
        </w:rPr>
      </w:pPr>
      <w:r w:rsidRPr="00757682">
        <w:rPr>
          <w:lang w:val="fr-CH"/>
        </w:rPr>
        <w:tab/>
      </w:r>
      <w:r w:rsidRPr="002B014C">
        <w:t>Δ</w:t>
      </w:r>
      <w:r w:rsidRPr="00757682">
        <w:rPr>
          <w:lang w:val="fr-CH"/>
        </w:rPr>
        <w:t xml:space="preserve">F </w:t>
      </w:r>
      <w:r w:rsidRPr="00757682">
        <w:rPr>
          <w:lang w:val="fr-CH"/>
        </w:rPr>
        <w:tab/>
        <w:t>est la différence de fréquence en MHz, depuis le bord du canal.</w:t>
      </w:r>
    </w:p>
    <w:p w:rsidR="002B014C" w:rsidRPr="002B014C" w:rsidRDefault="002B014C" w:rsidP="00C16437">
      <w:pPr>
        <w:pStyle w:val="enumlev1"/>
      </w:pPr>
      <w:r w:rsidRPr="002B014C">
        <w:t>•</w:t>
      </w:r>
      <w:r w:rsidRPr="002B014C">
        <w:tab/>
        <w:t>La limite de mise en forme du spectre pour toute fréquence située à plus de 6 MHz du bord du canal devrait être la suivante:</w:t>
      </w:r>
    </w:p>
    <w:p w:rsidR="002B014C" w:rsidRPr="002B014C" w:rsidRDefault="002B014C" w:rsidP="00C16437">
      <w:pPr>
        <w:pStyle w:val="Equation"/>
      </w:pPr>
      <w:r w:rsidRPr="002B014C">
        <w:tab/>
      </w:r>
      <w:r w:rsidRPr="002B014C">
        <w:tab/>
        <w:t xml:space="preserve">Limite de mise en forme du spectre </w:t>
      </w:r>
      <w:r w:rsidRPr="002B014C">
        <w:sym w:font="Symbol" w:char="F0A3"/>
      </w:r>
      <w:r w:rsidRPr="002B014C">
        <w:t xml:space="preserve"> –110 dB</w:t>
      </w:r>
      <w:r w:rsidRPr="002B014C">
        <w:rPr>
          <w:vertAlign w:val="subscript"/>
        </w:rPr>
        <w:t>DTV</w:t>
      </w:r>
      <w:r w:rsidRPr="002B014C">
        <w:tab/>
        <w:t>(3)</w:t>
      </w:r>
    </w:p>
    <w:p w:rsidR="002B014C" w:rsidRPr="002B014C" w:rsidRDefault="002B014C" w:rsidP="00C16437">
      <w:r w:rsidRPr="002B014C">
        <w:lastRenderedPageBreak/>
        <w:t>Le gabarit de limite spectrale pour un émetteur DTTB de forte puissance est illustré graphiquement dans la Fig. 1.</w:t>
      </w:r>
    </w:p>
    <w:p w:rsidR="002B014C" w:rsidRPr="002B014C" w:rsidRDefault="002B014C" w:rsidP="00C16437">
      <w:pPr>
        <w:pStyle w:val="FigureNo"/>
      </w:pPr>
      <w:r w:rsidRPr="002B014C">
        <w:t>Figure 1</w:t>
      </w:r>
    </w:p>
    <w:p w:rsidR="002B014C" w:rsidRPr="002B014C" w:rsidRDefault="002B014C" w:rsidP="00C16437">
      <w:pPr>
        <w:pStyle w:val="Figuretitle"/>
      </w:pPr>
      <w:r w:rsidRPr="002B014C">
        <w:t xml:space="preserve">Gabarit de limite spectrale pour des systèmes de télévision numérique de Terre utilisant </w:t>
      </w:r>
      <w:r w:rsidRPr="002B014C">
        <w:br/>
        <w:t xml:space="preserve">des canaux de 6 MHz et une modulation 8-VSB </w:t>
      </w:r>
    </w:p>
    <w:p w:rsidR="002B014C" w:rsidRPr="002B014C" w:rsidRDefault="002B014C" w:rsidP="00C16437">
      <w:pPr>
        <w:pStyle w:val="Figure"/>
        <w:rPr>
          <w:noProof/>
          <w:lang w:eastAsia="zh-CN"/>
        </w:rPr>
      </w:pPr>
      <w:r w:rsidRPr="002B014C">
        <w:rPr>
          <w:noProof/>
          <w:lang w:eastAsia="zh-CN"/>
        </w:rPr>
        <w:object w:dxaOrig="4561" w:dyaOrig="4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pt;height:331pt" o:ole="">
            <v:imagedata r:id="rId13" o:title=""/>
          </v:shape>
          <o:OLEObject Type="Embed" ProgID="CorelDRAW.Graphic.14" ShapeID="_x0000_i1025" DrawAspect="Content" ObjectID="_1498452931" r:id="rId14"/>
        </w:object>
      </w:r>
    </w:p>
    <w:p w:rsidR="002B014C" w:rsidRPr="002B014C" w:rsidRDefault="002B014C" w:rsidP="00C16437">
      <w:pPr>
        <w:pStyle w:val="Heading2"/>
      </w:pPr>
      <w:r w:rsidRPr="002B014C">
        <w:t>3.2</w:t>
      </w:r>
      <w:r w:rsidRPr="002B014C">
        <w:tab/>
        <w:t>Gabarit de limite spectrale «basse puissance» DTTB pour émetteurs et réémetteurs LPTV</w:t>
      </w:r>
    </w:p>
    <w:p w:rsidR="002B014C" w:rsidRPr="002B014C" w:rsidRDefault="002B014C" w:rsidP="00C16437">
      <w:pPr>
        <w:pStyle w:val="enumlev1"/>
      </w:pPr>
      <w:r w:rsidRPr="002B014C">
        <w:t>•</w:t>
      </w:r>
      <w:r w:rsidRPr="002B014C">
        <w:tab/>
        <w:t>La limite de mise en forme du spectre entre la moitié de la largeur de bande de résolution du filtre utilisé et 500 kHz depuis le bord du canal, par rapport à la puissance en sortie totale de l'émetteur devrait être la suivante:</w:t>
      </w:r>
    </w:p>
    <w:p w:rsidR="002B014C" w:rsidRPr="002B014C" w:rsidRDefault="002B014C" w:rsidP="00C16437">
      <w:pPr>
        <w:pStyle w:val="Equation"/>
      </w:pPr>
      <w:r w:rsidRPr="002B014C">
        <w:tab/>
      </w:r>
      <w:r w:rsidRPr="002B014C">
        <w:tab/>
        <w:t xml:space="preserve">Limite de mise en forme du spectre </w:t>
      </w:r>
      <w:r w:rsidRPr="002B014C">
        <w:sym w:font="Symbol" w:char="F0A3"/>
      </w:r>
      <w:r w:rsidRPr="002B014C">
        <w:t xml:space="preserve"> –47 (dB</w:t>
      </w:r>
      <w:r w:rsidRPr="002B014C">
        <w:rPr>
          <w:vertAlign w:val="subscript"/>
        </w:rPr>
        <w:t>DTV</w:t>
      </w:r>
      <w:r w:rsidRPr="002B014C">
        <w:t>)</w:t>
      </w:r>
      <w:r w:rsidRPr="002B014C">
        <w:tab/>
        <w:t>(4)</w:t>
      </w:r>
    </w:p>
    <w:p w:rsidR="002B014C" w:rsidRPr="002B014C" w:rsidRDefault="002B014C" w:rsidP="00C16437">
      <w:pPr>
        <w:pStyle w:val="enumlev1"/>
      </w:pPr>
      <w:r w:rsidRPr="002B014C">
        <w:t>•</w:t>
      </w:r>
      <w:r w:rsidRPr="002B014C">
        <w:tab/>
        <w:t>La limite de mise en forme du spectre pour n'importe quelle fréquence comprise entre 500 kHz et 3 MHz depuis le bord du canal devrait être la suivante:</w:t>
      </w:r>
    </w:p>
    <w:p w:rsidR="002B014C" w:rsidRPr="002B014C" w:rsidRDefault="002B014C" w:rsidP="00C16437">
      <w:pPr>
        <w:pStyle w:val="Equation"/>
      </w:pPr>
      <w:r w:rsidRPr="002B014C">
        <w:tab/>
      </w:r>
      <w:r w:rsidRPr="002B014C">
        <w:tab/>
        <w:t xml:space="preserve">Limite de mise en forme du spectre </w:t>
      </w:r>
      <w:r w:rsidRPr="002B014C">
        <w:sym w:font="Symbol" w:char="F0A3"/>
      </w:r>
      <w:r w:rsidRPr="002B014C">
        <w:t xml:space="preserve"> –(11,5 (|ΔF| – 0,5) + 47) (dB</w:t>
      </w:r>
      <w:r w:rsidRPr="002B014C">
        <w:rPr>
          <w:vertAlign w:val="subscript"/>
        </w:rPr>
        <w:t>DTV</w:t>
      </w:r>
      <w:r w:rsidRPr="002B014C">
        <w:t>)</w:t>
      </w:r>
      <w:r w:rsidRPr="002B014C">
        <w:tab/>
        <w:t>(5)</w:t>
      </w:r>
    </w:p>
    <w:p w:rsidR="002B014C" w:rsidRPr="002B014C" w:rsidRDefault="002B014C" w:rsidP="00C16437">
      <w:r w:rsidRPr="002B014C">
        <w:t>où:</w:t>
      </w:r>
    </w:p>
    <w:p w:rsidR="002B014C" w:rsidRPr="00757682" w:rsidRDefault="002B014C" w:rsidP="00C16437">
      <w:pPr>
        <w:pStyle w:val="Equationlegend"/>
        <w:rPr>
          <w:lang w:val="fr-CH"/>
        </w:rPr>
      </w:pPr>
      <w:r w:rsidRPr="00757682">
        <w:rPr>
          <w:lang w:val="fr-CH"/>
        </w:rPr>
        <w:tab/>
      </w:r>
      <w:r w:rsidRPr="002B014C">
        <w:t>Δ</w:t>
      </w:r>
      <w:r w:rsidRPr="00757682">
        <w:rPr>
          <w:lang w:val="fr-CH"/>
        </w:rPr>
        <w:t xml:space="preserve">F </w:t>
      </w:r>
      <w:r w:rsidRPr="00757682">
        <w:rPr>
          <w:lang w:val="fr-CH"/>
        </w:rPr>
        <w:tab/>
        <w:t>est la différence de fréquence en MHz, depuis le bord du canal.</w:t>
      </w:r>
    </w:p>
    <w:p w:rsidR="002B014C" w:rsidRPr="002B014C" w:rsidRDefault="002B014C" w:rsidP="00C16437">
      <w:pPr>
        <w:pStyle w:val="enumlev1"/>
      </w:pPr>
      <w:r w:rsidRPr="002B014C">
        <w:t>•</w:t>
      </w:r>
      <w:r w:rsidRPr="002B014C">
        <w:tab/>
        <w:t>La limite de mise en forme du spectre pour toute fréquence située à plus de 3 MHz du bord du canal devrait être la suivante:</w:t>
      </w:r>
    </w:p>
    <w:p w:rsidR="002B014C" w:rsidRPr="002B014C" w:rsidRDefault="002B014C" w:rsidP="00002FFF">
      <w:pPr>
        <w:pStyle w:val="Equation"/>
      </w:pPr>
      <w:r w:rsidRPr="002B014C">
        <w:tab/>
      </w:r>
      <w:r w:rsidRPr="002B014C">
        <w:tab/>
        <w:t xml:space="preserve">Limite de mise en forme du spectre </w:t>
      </w:r>
      <w:r w:rsidRPr="002B014C">
        <w:sym w:font="Symbol" w:char="F0A3"/>
      </w:r>
      <w:r w:rsidRPr="002B014C">
        <w:t xml:space="preserve"> –76 dB</w:t>
      </w:r>
      <w:r w:rsidRPr="002B014C">
        <w:rPr>
          <w:vertAlign w:val="subscript"/>
        </w:rPr>
        <w:t>DTV</w:t>
      </w:r>
      <w:r w:rsidRPr="002B014C">
        <w:tab/>
        <w:t>(6)</w:t>
      </w:r>
    </w:p>
    <w:p w:rsidR="002B014C" w:rsidRPr="002B014C" w:rsidRDefault="002B014C" w:rsidP="00002FFF">
      <w:r w:rsidRPr="002B014C">
        <w:t>Le gabarit de limite spectrale «basse puissance» DTTB pour des émetteurs et réémetteurs LPTV est illustré graphiquement dans la Fig. 2.</w:t>
      </w:r>
    </w:p>
    <w:p w:rsidR="002B014C" w:rsidRPr="002B014C" w:rsidRDefault="002B014C" w:rsidP="00002FFF">
      <w:pPr>
        <w:pStyle w:val="FigureNo"/>
      </w:pPr>
      <w:r w:rsidRPr="002B014C">
        <w:lastRenderedPageBreak/>
        <w:t>Figure 2</w:t>
      </w:r>
    </w:p>
    <w:p w:rsidR="002B014C" w:rsidRPr="002B014C" w:rsidRDefault="002B014C" w:rsidP="00002FFF">
      <w:pPr>
        <w:pStyle w:val="Figuretitle"/>
      </w:pPr>
      <w:r w:rsidRPr="002B014C">
        <w:t xml:space="preserve">Gabarit de limite spectrale «basse puissance» pour émetteurs et réémetteurs LPTV </w:t>
      </w:r>
      <w:r w:rsidRPr="002B014C">
        <w:br/>
        <w:t xml:space="preserve">utilisant des canaux de 6 MHz et une modulation 8-VSB </w:t>
      </w:r>
    </w:p>
    <w:p w:rsidR="002B014C" w:rsidRPr="002B014C" w:rsidRDefault="002B014C" w:rsidP="00002FFF">
      <w:pPr>
        <w:pStyle w:val="Figure"/>
        <w:rPr>
          <w:noProof/>
          <w:lang w:eastAsia="zh-CN"/>
        </w:rPr>
      </w:pPr>
      <w:r w:rsidRPr="002B014C">
        <w:rPr>
          <w:noProof/>
          <w:lang w:eastAsia="zh-CN"/>
        </w:rPr>
        <w:object w:dxaOrig="4472" w:dyaOrig="3675">
          <v:shape id="_x0000_i1026" type="#_x0000_t75" style="width:335.8pt;height:276.7pt" o:ole="">
            <v:imagedata r:id="rId15" o:title=""/>
          </v:shape>
          <o:OLEObject Type="Embed" ProgID="CorelDRAW.Graphic.14" ShapeID="_x0000_i1026" DrawAspect="Content" ObjectID="_1498452932" r:id="rId16"/>
        </w:object>
      </w:r>
    </w:p>
    <w:p w:rsidR="002B014C" w:rsidRPr="002B014C" w:rsidRDefault="002B014C" w:rsidP="00806CFA">
      <w:pPr>
        <w:pStyle w:val="Heading2"/>
      </w:pPr>
      <w:r w:rsidRPr="002B014C">
        <w:t>3.3</w:t>
      </w:r>
      <w:r w:rsidRPr="002B014C">
        <w:tab/>
        <w:t xml:space="preserve">Gabarit de limite spectrale DTTB simple pour émetteurs et réémetteurs LPTV </w:t>
      </w:r>
    </w:p>
    <w:p w:rsidR="002B014C" w:rsidRPr="002B014C" w:rsidRDefault="002B014C" w:rsidP="00806CFA">
      <w:pPr>
        <w:pStyle w:val="enumlev1"/>
      </w:pPr>
      <w:r w:rsidRPr="002B014C">
        <w:t>•</w:t>
      </w:r>
      <w:r w:rsidRPr="002B014C">
        <w:tab/>
        <w:t>La limite de mise en forme du spectre entre la moitié de la largeur de bande de résolution du filtre utilisé et 500 kHz depuis le bord du canal, par rapport à la puissance en sortie totale de l'émetteur devrait être la suivante:</w:t>
      </w:r>
    </w:p>
    <w:p w:rsidR="002B014C" w:rsidRPr="002B014C" w:rsidRDefault="002B014C" w:rsidP="00F850E7">
      <w:pPr>
        <w:pStyle w:val="Equation"/>
      </w:pPr>
      <w:r w:rsidRPr="002B014C">
        <w:tab/>
      </w:r>
      <w:r w:rsidRPr="002B014C">
        <w:tab/>
        <w:t xml:space="preserve">Limite de mise en forme du spectre </w:t>
      </w:r>
      <w:r w:rsidRPr="002B014C">
        <w:sym w:font="Symbol" w:char="F0A3"/>
      </w:r>
      <w:r w:rsidRPr="002B014C">
        <w:t xml:space="preserve"> –((ΔF</w:t>
      </w:r>
      <w:r w:rsidRPr="002B014C">
        <w:rPr>
          <w:vertAlign w:val="superscript"/>
        </w:rPr>
        <w:t>2</w:t>
      </w:r>
      <w:r w:rsidRPr="002B014C">
        <w:t>/1,44) + 46) (dB</w:t>
      </w:r>
      <w:r w:rsidRPr="002B014C">
        <w:rPr>
          <w:vertAlign w:val="subscript"/>
        </w:rPr>
        <w:t>DTV</w:t>
      </w:r>
      <w:r w:rsidRPr="002B014C">
        <w:t>)</w:t>
      </w:r>
      <w:r w:rsidRPr="002B014C">
        <w:tab/>
        <w:t>(7)</w:t>
      </w:r>
    </w:p>
    <w:p w:rsidR="002B014C" w:rsidRPr="002B014C" w:rsidRDefault="002B014C" w:rsidP="00F850E7">
      <w:r w:rsidRPr="002B014C">
        <w:t>où:</w:t>
      </w:r>
    </w:p>
    <w:p w:rsidR="002B014C" w:rsidRPr="00757682" w:rsidRDefault="002B014C" w:rsidP="00F850E7">
      <w:pPr>
        <w:pStyle w:val="Equationlegend"/>
        <w:rPr>
          <w:lang w:val="fr-CH"/>
        </w:rPr>
      </w:pPr>
      <w:r w:rsidRPr="00757682">
        <w:rPr>
          <w:lang w:val="fr-CH"/>
        </w:rPr>
        <w:tab/>
      </w:r>
      <w:r w:rsidRPr="002B014C">
        <w:t>Δ</w:t>
      </w:r>
      <w:r w:rsidRPr="00757682">
        <w:rPr>
          <w:lang w:val="fr-CH"/>
        </w:rPr>
        <w:t xml:space="preserve">F </w:t>
      </w:r>
      <w:r w:rsidRPr="00757682">
        <w:rPr>
          <w:lang w:val="fr-CH"/>
        </w:rPr>
        <w:tab/>
        <w:t>est la différence de fréquence en MHz, depuis le bord du canal.</w:t>
      </w:r>
    </w:p>
    <w:p w:rsidR="002B014C" w:rsidRPr="002B014C" w:rsidRDefault="002B014C" w:rsidP="00F850E7">
      <w:pPr>
        <w:pStyle w:val="enumlev1"/>
      </w:pPr>
      <w:r w:rsidRPr="002B014C">
        <w:t>•</w:t>
      </w:r>
      <w:r w:rsidRPr="002B014C">
        <w:tab/>
        <w:t>La limite de mise en forme du spectre pour toute fréquence située à plus de 6 MHz du bord du canal devrait être la suivante:</w:t>
      </w:r>
    </w:p>
    <w:p w:rsidR="002B014C" w:rsidRPr="002B014C" w:rsidRDefault="002B014C" w:rsidP="00F850E7">
      <w:pPr>
        <w:pStyle w:val="Equation"/>
      </w:pPr>
      <w:r w:rsidRPr="002B014C">
        <w:tab/>
      </w:r>
      <w:r w:rsidRPr="002B014C">
        <w:tab/>
        <w:t xml:space="preserve">Limite de mise en forme du spectre </w:t>
      </w:r>
      <w:r w:rsidRPr="002B014C">
        <w:sym w:font="Symbol" w:char="F0A3"/>
      </w:r>
      <w:r w:rsidRPr="002B014C">
        <w:t xml:space="preserve"> –71 dB</w:t>
      </w:r>
      <w:r w:rsidRPr="002B014C">
        <w:rPr>
          <w:vertAlign w:val="subscript"/>
        </w:rPr>
        <w:t>DTV</w:t>
      </w:r>
      <w:r w:rsidRPr="002B014C">
        <w:tab/>
        <w:t>(8)</w:t>
      </w:r>
    </w:p>
    <w:p w:rsidR="00F850E7" w:rsidRPr="00F850E7" w:rsidRDefault="002B014C" w:rsidP="00F850E7">
      <w:r w:rsidRPr="002B014C">
        <w:t>Le gabarit de limite spectrale DTTB simple pour émetteurs et réémetteurs LPTV est illustré graphiquement dans la Fig. 3.</w:t>
      </w:r>
    </w:p>
    <w:p w:rsidR="002B014C" w:rsidRPr="002B014C" w:rsidRDefault="00F850E7" w:rsidP="005F6419">
      <w:pPr>
        <w:pStyle w:val="FigureNo"/>
      </w:pPr>
      <w:r>
        <w:br w:type="column"/>
      </w:r>
      <w:r w:rsidR="002B014C" w:rsidRPr="002B014C">
        <w:lastRenderedPageBreak/>
        <w:t>Figure 3</w:t>
      </w:r>
    </w:p>
    <w:p w:rsidR="002B014C" w:rsidRPr="002B014C" w:rsidRDefault="002B014C" w:rsidP="005F6419">
      <w:pPr>
        <w:pStyle w:val="Figuretitle"/>
      </w:pPr>
      <w:r w:rsidRPr="002B014C">
        <w:t xml:space="preserve">Gabarit de limite spectrale DTTB simple pour émetteurs et réémetteurs LPTV utilisant </w:t>
      </w:r>
      <w:r w:rsidRPr="002B014C">
        <w:br/>
        <w:t xml:space="preserve">des canaux de 6 MHz et une modulation 8-VSB </w:t>
      </w:r>
    </w:p>
    <w:p w:rsidR="002B014C" w:rsidRPr="002B014C" w:rsidRDefault="002B014C" w:rsidP="005F6419">
      <w:pPr>
        <w:pStyle w:val="Figure"/>
      </w:pPr>
      <w:r w:rsidRPr="002B014C">
        <w:rPr>
          <w:noProof/>
          <w:lang w:val="en-US" w:eastAsia="zh-CN"/>
        </w:rPr>
        <mc:AlternateContent>
          <mc:Choice Requires="wps">
            <w:drawing>
              <wp:anchor distT="0" distB="0" distL="114300" distR="114300" simplePos="0" relativeHeight="251663360" behindDoc="0" locked="0" layoutInCell="1" allowOverlap="1" wp14:anchorId="00230B38" wp14:editId="5B7210E6">
                <wp:simplePos x="0" y="0"/>
                <wp:positionH relativeFrom="column">
                  <wp:posOffset>5947410</wp:posOffset>
                </wp:positionH>
                <wp:positionV relativeFrom="paragraph">
                  <wp:posOffset>4093845</wp:posOffset>
                </wp:positionV>
                <wp:extent cx="119380" cy="90805"/>
                <wp:effectExtent l="0" t="0" r="0" b="444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A8073" id="Rectangle 16" o:spid="_x0000_s1026" style="position:absolute;margin-left:468.3pt;margin-top:322.35pt;width:9.4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" stroked="f"/>
            </w:pict>
          </mc:Fallback>
        </mc:AlternateContent>
      </w:r>
      <w:r w:rsidRPr="002B014C">
        <w:rPr>
          <w:noProof/>
          <w:lang w:val="en-US" w:eastAsia="zh-CN"/>
        </w:rPr>
        <mc:AlternateContent>
          <mc:Choice Requires="wps">
            <w:drawing>
              <wp:anchor distT="0" distB="0" distL="114300" distR="114300" simplePos="0" relativeHeight="251662336" behindDoc="0" locked="0" layoutInCell="1" allowOverlap="1" wp14:anchorId="41FF322E" wp14:editId="7634E2C7">
                <wp:simplePos x="0" y="0"/>
                <wp:positionH relativeFrom="column">
                  <wp:posOffset>5790565</wp:posOffset>
                </wp:positionH>
                <wp:positionV relativeFrom="paragraph">
                  <wp:posOffset>4093845</wp:posOffset>
                </wp:positionV>
                <wp:extent cx="190500" cy="123825"/>
                <wp:effectExtent l="0" t="0" r="0"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D342B" id="Rectangle 15" o:spid="_x0000_s1026" style="position:absolute;margin-left:455.95pt;margin-top:322.35pt;width:1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" stroked="f"/>
            </w:pict>
          </mc:Fallback>
        </mc:AlternateContent>
      </w:r>
      <w:r w:rsidRPr="002B014C">
        <w:rPr>
          <w:noProof/>
          <w:lang w:eastAsia="zh-CN"/>
        </w:rPr>
        <w:object w:dxaOrig="4472" w:dyaOrig="3652">
          <v:shape id="_x0000_i1027" type="#_x0000_t75" style="width:334.75pt;height:274.55pt" o:ole="">
            <v:imagedata r:id="rId17" o:title=""/>
          </v:shape>
          <o:OLEObject Type="Embed" ProgID="CorelDRAW.Graphic.14" ShapeID="_x0000_i1027" DrawAspect="Content" ObjectID="_1498452933" r:id="rId18"/>
        </w:object>
      </w:r>
    </w:p>
    <w:p w:rsidR="002B014C" w:rsidRPr="002B014C" w:rsidRDefault="002B014C" w:rsidP="002B014C">
      <w:pPr>
        <w:jc w:val="left"/>
      </w:pPr>
    </w:p>
    <w:p w:rsidR="002B014C" w:rsidRPr="002B014C" w:rsidRDefault="002B014C" w:rsidP="002B014C">
      <w:pPr>
        <w:jc w:val="left"/>
      </w:pPr>
    </w:p>
    <w:p w:rsidR="002B014C" w:rsidRPr="002B014C" w:rsidRDefault="002B014C" w:rsidP="00C43910">
      <w:pPr>
        <w:pStyle w:val="AnnexNoTitle"/>
      </w:pPr>
      <w:r w:rsidRPr="002B014C">
        <w:rPr>
          <w:szCs w:val="28"/>
        </w:rPr>
        <w:t>Annexe 2</w:t>
      </w:r>
      <w:r w:rsidRPr="002B014C">
        <w:br/>
      </w:r>
      <w:r w:rsidRPr="002B014C">
        <w:br/>
      </w:r>
      <w:r w:rsidRPr="002B014C">
        <w:rPr>
          <w:lang w:eastAsia="ja-JP"/>
        </w:rPr>
        <w:t xml:space="preserve">Gabarits de limite spectrale propres au système B de télévision </w:t>
      </w:r>
      <w:r w:rsidRPr="002B014C">
        <w:rPr>
          <w:lang w:eastAsia="ja-JP"/>
        </w:rPr>
        <w:br/>
        <w:t>numérique de Terre</w:t>
      </w:r>
      <w:r w:rsidRPr="002B014C">
        <w:t xml:space="preserve"> (</w:t>
      </w:r>
      <w:r w:rsidRPr="002B014C">
        <w:rPr>
          <w:lang w:eastAsia="ja-JP"/>
        </w:rPr>
        <w:t>DVB-T</w:t>
      </w:r>
      <w:r w:rsidRPr="002B014C">
        <w:t>)</w:t>
      </w:r>
    </w:p>
    <w:p w:rsidR="002B014C" w:rsidRPr="002B014C" w:rsidRDefault="002B014C" w:rsidP="00C43910">
      <w:pPr>
        <w:pStyle w:val="Heading1"/>
        <w:rPr>
          <w:lang w:eastAsia="ja-JP"/>
        </w:rPr>
      </w:pPr>
      <w:r w:rsidRPr="002B014C">
        <w:rPr>
          <w:lang w:eastAsia="ja-JP"/>
        </w:rPr>
        <w:t>1</w:t>
      </w:r>
      <w:r w:rsidRPr="002B014C">
        <w:rPr>
          <w:lang w:eastAsia="ja-JP"/>
        </w:rPr>
        <w:tab/>
        <w:t>Gabarits de limite spectrale propres au système B (DVB</w:t>
      </w:r>
      <w:r w:rsidRPr="002B014C">
        <w:rPr>
          <w:lang w:eastAsia="ja-JP"/>
        </w:rPr>
        <w:noBreakHyphen/>
        <w:t xml:space="preserve">T) utilisant un découpage en canaux de 7 MHz </w:t>
      </w:r>
    </w:p>
    <w:p w:rsidR="002B014C" w:rsidRPr="002B014C" w:rsidRDefault="002B014C" w:rsidP="00C43910">
      <w:pPr>
        <w:rPr>
          <w:lang w:eastAsia="ja-JP"/>
        </w:rPr>
      </w:pPr>
      <w:r w:rsidRPr="002B014C">
        <w:rPr>
          <w:lang w:eastAsia="ja-JP"/>
        </w:rPr>
        <w:t>Pour un système de télévision numérique utilisant des canaux de 7 MHz, le domaine des émissions hors bande s'étend de ±3,5 MHz (c'est</w:t>
      </w:r>
      <w:r w:rsidRPr="002B014C">
        <w:rPr>
          <w:lang w:eastAsia="ja-JP"/>
        </w:rPr>
        <w:noBreakHyphen/>
        <w:t>à</w:t>
      </w:r>
      <w:r w:rsidRPr="002B014C">
        <w:rPr>
          <w:lang w:eastAsia="ja-JP"/>
        </w:rPr>
        <w:noBreakHyphen/>
        <w:t>dire ±0,5 × 7</w:t>
      </w:r>
      <w:r w:rsidR="00904F4B">
        <w:rPr>
          <w:lang w:eastAsia="ja-JP"/>
        </w:rPr>
        <w:t xml:space="preserve"> MHz) à ±17,5 MHz (c'est</w:t>
      </w:r>
      <w:r w:rsidR="00904F4B">
        <w:rPr>
          <w:lang w:eastAsia="ja-JP"/>
        </w:rPr>
        <w:noBreakHyphen/>
        <w:t>à</w:t>
      </w:r>
      <w:r w:rsidR="00904F4B">
        <w:rPr>
          <w:lang w:eastAsia="ja-JP"/>
        </w:rPr>
        <w:noBreakHyphen/>
        <w:t>dire</w:t>
      </w:r>
      <w:r w:rsidR="00C43910">
        <w:rPr>
          <w:lang w:eastAsia="ja-JP"/>
        </w:rPr>
        <w:t> </w:t>
      </w:r>
      <w:r w:rsidRPr="002B014C">
        <w:rPr>
          <w:lang w:eastAsia="ja-JP"/>
        </w:rPr>
        <w:t>±2,5 × 7 MHz) par rapport au centre du canal.</w:t>
      </w:r>
    </w:p>
    <w:p w:rsidR="002B014C" w:rsidRPr="002B014C" w:rsidRDefault="002B014C" w:rsidP="00C43910">
      <w:pPr>
        <w:rPr>
          <w:lang w:eastAsia="ja-JP"/>
        </w:rPr>
      </w:pPr>
      <w:r w:rsidRPr="002B014C">
        <w:rPr>
          <w:lang w:eastAsia="ja-JP"/>
        </w:rPr>
        <w:t>Deux gabarits spectraux sont donnés dans la Fig. 4 et le Tableau 1 associé. La courbe supérieure correspond au gabarit spectral pour les cas non critiques et la courbe inférieure correspond au gabarit spectral pour les cas sensibles.</w:t>
      </w:r>
    </w:p>
    <w:p w:rsidR="002B014C" w:rsidRPr="002B014C" w:rsidRDefault="002B014C" w:rsidP="001D7725">
      <w:pPr>
        <w:pStyle w:val="FigureNo"/>
        <w:rPr>
          <w:lang w:eastAsia="ja-JP"/>
        </w:rPr>
      </w:pPr>
      <w:r w:rsidRPr="002B014C">
        <w:rPr>
          <w:lang w:eastAsia="ja-JP"/>
        </w:rPr>
        <w:lastRenderedPageBreak/>
        <w:t>Figure 4</w:t>
      </w:r>
    </w:p>
    <w:p w:rsidR="002B014C" w:rsidRPr="002B014C" w:rsidRDefault="002B014C" w:rsidP="001D7725">
      <w:pPr>
        <w:pStyle w:val="Figuretitle"/>
        <w:rPr>
          <w:lang w:eastAsia="ja-JP"/>
        </w:rPr>
      </w:pPr>
      <w:r w:rsidRPr="002B014C">
        <w:rPr>
          <w:lang w:eastAsia="ja-JP"/>
        </w:rPr>
        <w:t>Gabarits de limite spectrale pour le système B (DVB-T) utilisant des canaux de 7 MHz</w:t>
      </w:r>
    </w:p>
    <w:p w:rsidR="002B014C" w:rsidRPr="002B014C" w:rsidRDefault="002B014C" w:rsidP="001D7725">
      <w:pPr>
        <w:pStyle w:val="Figure"/>
      </w:pPr>
      <w:r w:rsidRPr="002B014C">
        <w:object w:dxaOrig="4388" w:dyaOrig="3305">
          <v:shape id="_x0000_i1028" type="#_x0000_t75" style="width:330.45pt;height:248.8pt" o:ole="">
            <v:imagedata r:id="rId19" o:title=""/>
          </v:shape>
          <o:OLEObject Type="Embed" ProgID="CorelDRAW.Graphic.14" ShapeID="_x0000_i1028" DrawAspect="Content" ObjectID="_1498452934" r:id="rId20"/>
        </w:object>
      </w:r>
    </w:p>
    <w:p w:rsidR="002B014C" w:rsidRPr="002B014C" w:rsidRDefault="002B014C" w:rsidP="001D7725">
      <w:pPr>
        <w:pStyle w:val="TableNo"/>
        <w:rPr>
          <w:lang w:eastAsia="ja-JP"/>
        </w:rPr>
      </w:pPr>
      <w:r w:rsidRPr="002B014C">
        <w:rPr>
          <w:lang w:eastAsia="ja-JP"/>
        </w:rPr>
        <w:t>TABLEAU 1</w:t>
      </w:r>
    </w:p>
    <w:p w:rsidR="002B014C" w:rsidRPr="002B014C" w:rsidRDefault="002B014C" w:rsidP="001D7725">
      <w:pPr>
        <w:pStyle w:val="Tabletitle"/>
        <w:rPr>
          <w:lang w:eastAsia="ja-JP"/>
        </w:rPr>
      </w:pPr>
      <w:r w:rsidRPr="002B014C">
        <w:rPr>
          <w:lang w:eastAsia="ja-JP"/>
        </w:rPr>
        <w:t xml:space="preserve">Tableau des points de rupture correspondant à la Fig. 4 pour le système B (DVB-T) </w:t>
      </w:r>
      <w:r w:rsidRPr="002B014C">
        <w:rPr>
          <w:lang w:eastAsia="ja-JP"/>
        </w:rPr>
        <w:br/>
        <w:t>utilisant un découpage en canaux de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2B014C" w:rsidRPr="002B014C" w:rsidTr="002B014C">
        <w:trPr>
          <w:jc w:val="center"/>
        </w:trPr>
        <w:tc>
          <w:tcPr>
            <w:tcW w:w="2802" w:type="dxa"/>
            <w:vMerge w:val="restart"/>
            <w:vAlign w:val="center"/>
          </w:tcPr>
          <w:p w:rsidR="002B014C" w:rsidRPr="002B014C" w:rsidRDefault="002B014C" w:rsidP="001D7725">
            <w:pPr>
              <w:pStyle w:val="Tablehead"/>
            </w:pPr>
            <w:r w:rsidRPr="002B014C">
              <w:t>Fréquence par rapport au centre du canal de 7 MHz (MHz)</w:t>
            </w:r>
          </w:p>
        </w:tc>
        <w:tc>
          <w:tcPr>
            <w:tcW w:w="6520" w:type="dxa"/>
            <w:gridSpan w:val="2"/>
            <w:vAlign w:val="center"/>
          </w:tcPr>
          <w:p w:rsidR="002B014C" w:rsidRPr="002B014C" w:rsidRDefault="002B014C" w:rsidP="001D7725">
            <w:pPr>
              <w:pStyle w:val="Tablehead"/>
            </w:pPr>
            <w:r w:rsidRPr="002B014C">
              <w:t>Niveau relatif dans une largeur de bande de mesure de 4 kHz (dB)</w:t>
            </w:r>
          </w:p>
        </w:tc>
      </w:tr>
      <w:tr w:rsidR="002B014C" w:rsidRPr="002B014C" w:rsidTr="002B014C">
        <w:trPr>
          <w:jc w:val="center"/>
        </w:trPr>
        <w:tc>
          <w:tcPr>
            <w:tcW w:w="2802" w:type="dxa"/>
            <w:vMerge/>
            <w:vAlign w:val="center"/>
          </w:tcPr>
          <w:p w:rsidR="002B014C" w:rsidRPr="002B014C" w:rsidRDefault="002B014C" w:rsidP="001D7725">
            <w:pPr>
              <w:pStyle w:val="Tablehead"/>
            </w:pPr>
          </w:p>
        </w:tc>
        <w:tc>
          <w:tcPr>
            <w:tcW w:w="3118" w:type="dxa"/>
            <w:vAlign w:val="center"/>
          </w:tcPr>
          <w:p w:rsidR="002B014C" w:rsidRPr="002B014C" w:rsidRDefault="002B014C" w:rsidP="001D7725">
            <w:pPr>
              <w:pStyle w:val="Tablehead"/>
            </w:pPr>
            <w:r w:rsidRPr="002B014C">
              <w:t xml:space="preserve">Gabarit </w:t>
            </w:r>
            <w:r w:rsidRPr="001D7725">
              <w:rPr>
                <w:szCs w:val="22"/>
              </w:rPr>
              <w:t>d'émission</w:t>
            </w:r>
            <w:r w:rsidRPr="002B014C">
              <w:t xml:space="preserve"> non critique</w:t>
            </w:r>
          </w:p>
        </w:tc>
        <w:tc>
          <w:tcPr>
            <w:tcW w:w="3402" w:type="dxa"/>
            <w:vAlign w:val="center"/>
          </w:tcPr>
          <w:p w:rsidR="002B014C" w:rsidRPr="002B014C" w:rsidRDefault="002B014C" w:rsidP="001D7725">
            <w:pPr>
              <w:pStyle w:val="Tablehead"/>
            </w:pPr>
            <w:r w:rsidRPr="002B014C">
              <w:t>Cas sensibles</w:t>
            </w:r>
          </w:p>
        </w:tc>
      </w:tr>
      <w:tr w:rsidR="002B014C" w:rsidRPr="002B014C" w:rsidTr="002B014C">
        <w:trPr>
          <w:jc w:val="center"/>
        </w:trPr>
        <w:tc>
          <w:tcPr>
            <w:tcW w:w="2802" w:type="dxa"/>
          </w:tcPr>
          <w:p w:rsidR="002B014C" w:rsidRPr="001D7725" w:rsidRDefault="002B014C" w:rsidP="003607DD">
            <w:pPr>
              <w:pStyle w:val="Tabletext"/>
              <w:jc w:val="center"/>
              <w:rPr>
                <w:szCs w:val="22"/>
              </w:rPr>
            </w:pPr>
            <w:r w:rsidRPr="001D7725">
              <w:rPr>
                <w:szCs w:val="22"/>
              </w:rPr>
              <w:t>–17,5</w:t>
            </w:r>
          </w:p>
        </w:tc>
        <w:tc>
          <w:tcPr>
            <w:tcW w:w="3118" w:type="dxa"/>
          </w:tcPr>
          <w:p w:rsidR="002B014C" w:rsidRPr="001D7725" w:rsidRDefault="002B014C" w:rsidP="003607DD">
            <w:pPr>
              <w:pStyle w:val="Tabletext"/>
              <w:jc w:val="center"/>
              <w:rPr>
                <w:szCs w:val="22"/>
              </w:rPr>
            </w:pPr>
            <w:r w:rsidRPr="001D7725">
              <w:rPr>
                <w:szCs w:val="22"/>
              </w:rPr>
              <w:t>–110</w:t>
            </w:r>
          </w:p>
        </w:tc>
        <w:tc>
          <w:tcPr>
            <w:tcW w:w="3402" w:type="dxa"/>
          </w:tcPr>
          <w:p w:rsidR="002B014C" w:rsidRPr="001D7725" w:rsidRDefault="002B014C" w:rsidP="003607DD">
            <w:pPr>
              <w:pStyle w:val="Tabletext"/>
              <w:jc w:val="center"/>
              <w:rPr>
                <w:szCs w:val="22"/>
              </w:rPr>
            </w:pPr>
            <w:r w:rsidRPr="001D7725">
              <w:rPr>
                <w:szCs w:val="22"/>
              </w:rPr>
              <w:t>–120</w:t>
            </w:r>
          </w:p>
        </w:tc>
      </w:tr>
      <w:tr w:rsidR="002B014C" w:rsidRPr="002B014C" w:rsidTr="002B014C">
        <w:trPr>
          <w:jc w:val="center"/>
        </w:trPr>
        <w:tc>
          <w:tcPr>
            <w:tcW w:w="2802" w:type="dxa"/>
          </w:tcPr>
          <w:p w:rsidR="002B014C" w:rsidRPr="001D7725" w:rsidRDefault="002B014C" w:rsidP="003607DD">
            <w:pPr>
              <w:pStyle w:val="Tabletext"/>
              <w:jc w:val="center"/>
              <w:rPr>
                <w:szCs w:val="22"/>
              </w:rPr>
            </w:pPr>
            <w:r w:rsidRPr="001D7725">
              <w:rPr>
                <w:szCs w:val="22"/>
              </w:rPr>
              <w:t>–10,5</w:t>
            </w:r>
          </w:p>
        </w:tc>
        <w:tc>
          <w:tcPr>
            <w:tcW w:w="3118" w:type="dxa"/>
          </w:tcPr>
          <w:p w:rsidR="002B014C" w:rsidRPr="001D7725" w:rsidRDefault="002B014C" w:rsidP="003607DD">
            <w:pPr>
              <w:pStyle w:val="Tabletext"/>
              <w:jc w:val="center"/>
              <w:rPr>
                <w:szCs w:val="22"/>
              </w:rPr>
            </w:pPr>
            <w:r w:rsidRPr="001D7725">
              <w:rPr>
                <w:szCs w:val="22"/>
              </w:rPr>
              <w:t>–110</w:t>
            </w:r>
          </w:p>
        </w:tc>
        <w:tc>
          <w:tcPr>
            <w:tcW w:w="3402" w:type="dxa"/>
          </w:tcPr>
          <w:p w:rsidR="002B014C" w:rsidRPr="001D7725" w:rsidRDefault="002B014C" w:rsidP="003607DD">
            <w:pPr>
              <w:pStyle w:val="Tabletext"/>
              <w:jc w:val="center"/>
              <w:rPr>
                <w:szCs w:val="22"/>
              </w:rPr>
            </w:pPr>
            <w:r w:rsidRPr="001D7725">
              <w:rPr>
                <w:szCs w:val="22"/>
              </w:rPr>
              <w:t>–120</w:t>
            </w:r>
          </w:p>
        </w:tc>
      </w:tr>
      <w:tr w:rsidR="002B014C" w:rsidRPr="002B014C" w:rsidTr="002B014C">
        <w:trPr>
          <w:jc w:val="center"/>
        </w:trPr>
        <w:tc>
          <w:tcPr>
            <w:tcW w:w="2802" w:type="dxa"/>
          </w:tcPr>
          <w:p w:rsidR="002B014C" w:rsidRPr="001D7725" w:rsidRDefault="002B014C" w:rsidP="003607DD">
            <w:pPr>
              <w:pStyle w:val="Tabletext"/>
              <w:jc w:val="center"/>
              <w:rPr>
                <w:szCs w:val="22"/>
              </w:rPr>
            </w:pPr>
            <w:r w:rsidRPr="001D7725">
              <w:rPr>
                <w:szCs w:val="22"/>
              </w:rPr>
              <w:t>–5,25</w:t>
            </w:r>
          </w:p>
        </w:tc>
        <w:tc>
          <w:tcPr>
            <w:tcW w:w="3118" w:type="dxa"/>
          </w:tcPr>
          <w:p w:rsidR="002B014C" w:rsidRPr="001D7725" w:rsidRDefault="002B014C" w:rsidP="003607DD">
            <w:pPr>
              <w:pStyle w:val="Tabletext"/>
              <w:jc w:val="center"/>
              <w:rPr>
                <w:szCs w:val="22"/>
              </w:rPr>
            </w:pPr>
            <w:r w:rsidRPr="001D7725">
              <w:rPr>
                <w:szCs w:val="22"/>
              </w:rPr>
              <w:t>–85</w:t>
            </w:r>
          </w:p>
        </w:tc>
        <w:tc>
          <w:tcPr>
            <w:tcW w:w="3402" w:type="dxa"/>
          </w:tcPr>
          <w:p w:rsidR="002B014C" w:rsidRPr="001D7725" w:rsidRDefault="002B014C" w:rsidP="003607DD">
            <w:pPr>
              <w:pStyle w:val="Tabletext"/>
              <w:jc w:val="center"/>
              <w:rPr>
                <w:szCs w:val="22"/>
              </w:rPr>
            </w:pPr>
            <w:r w:rsidRPr="001D7725">
              <w:rPr>
                <w:szCs w:val="22"/>
              </w:rPr>
              <w:t>–95</w:t>
            </w:r>
          </w:p>
        </w:tc>
      </w:tr>
      <w:tr w:rsidR="002B014C" w:rsidRPr="002B014C" w:rsidTr="002B014C">
        <w:trPr>
          <w:jc w:val="center"/>
        </w:trPr>
        <w:tc>
          <w:tcPr>
            <w:tcW w:w="2802" w:type="dxa"/>
          </w:tcPr>
          <w:p w:rsidR="002B014C" w:rsidRPr="001D7725" w:rsidRDefault="002B014C" w:rsidP="003607DD">
            <w:pPr>
              <w:pStyle w:val="Tabletext"/>
              <w:jc w:val="center"/>
              <w:rPr>
                <w:szCs w:val="22"/>
              </w:rPr>
            </w:pPr>
            <w:r w:rsidRPr="001D7725">
              <w:rPr>
                <w:szCs w:val="22"/>
              </w:rPr>
              <w:t>–3,7</w:t>
            </w:r>
          </w:p>
        </w:tc>
        <w:tc>
          <w:tcPr>
            <w:tcW w:w="3118" w:type="dxa"/>
          </w:tcPr>
          <w:p w:rsidR="002B014C" w:rsidRPr="001D7725" w:rsidRDefault="002B014C" w:rsidP="003607DD">
            <w:pPr>
              <w:pStyle w:val="Tabletext"/>
              <w:jc w:val="center"/>
              <w:rPr>
                <w:szCs w:val="22"/>
              </w:rPr>
            </w:pPr>
            <w:r w:rsidRPr="001D7725">
              <w:rPr>
                <w:szCs w:val="22"/>
              </w:rPr>
              <w:t>–73</w:t>
            </w:r>
          </w:p>
        </w:tc>
        <w:tc>
          <w:tcPr>
            <w:tcW w:w="3402" w:type="dxa"/>
          </w:tcPr>
          <w:p w:rsidR="002B014C" w:rsidRPr="001D7725" w:rsidRDefault="002B014C" w:rsidP="003607DD">
            <w:pPr>
              <w:pStyle w:val="Tabletext"/>
              <w:jc w:val="center"/>
              <w:rPr>
                <w:szCs w:val="22"/>
              </w:rPr>
            </w:pPr>
            <w:r w:rsidRPr="001D7725">
              <w:rPr>
                <w:szCs w:val="22"/>
              </w:rPr>
              <w:t>–83</w:t>
            </w:r>
          </w:p>
        </w:tc>
      </w:tr>
      <w:tr w:rsidR="002B014C" w:rsidRPr="002B014C" w:rsidTr="002B014C">
        <w:trPr>
          <w:jc w:val="center"/>
        </w:trPr>
        <w:tc>
          <w:tcPr>
            <w:tcW w:w="2802" w:type="dxa"/>
          </w:tcPr>
          <w:p w:rsidR="002B014C" w:rsidRPr="001D7725" w:rsidRDefault="002B014C" w:rsidP="003607DD">
            <w:pPr>
              <w:pStyle w:val="Tabletext"/>
              <w:jc w:val="center"/>
              <w:rPr>
                <w:szCs w:val="22"/>
              </w:rPr>
            </w:pPr>
            <w:r w:rsidRPr="001D7725">
              <w:rPr>
                <w:szCs w:val="22"/>
              </w:rPr>
              <w:t>–3,35</w:t>
            </w:r>
          </w:p>
        </w:tc>
        <w:tc>
          <w:tcPr>
            <w:tcW w:w="3118" w:type="dxa"/>
          </w:tcPr>
          <w:p w:rsidR="002B014C" w:rsidRPr="001D7725" w:rsidRDefault="002B014C" w:rsidP="003607DD">
            <w:pPr>
              <w:pStyle w:val="Tabletext"/>
              <w:jc w:val="center"/>
              <w:rPr>
                <w:szCs w:val="22"/>
              </w:rPr>
            </w:pPr>
            <w:r w:rsidRPr="001D7725">
              <w:rPr>
                <w:szCs w:val="22"/>
              </w:rPr>
              <w:t>–32,8</w:t>
            </w:r>
          </w:p>
        </w:tc>
        <w:tc>
          <w:tcPr>
            <w:tcW w:w="3402" w:type="dxa"/>
          </w:tcPr>
          <w:p w:rsidR="002B014C" w:rsidRPr="001D7725" w:rsidRDefault="002B014C" w:rsidP="003607DD">
            <w:pPr>
              <w:pStyle w:val="Tabletext"/>
              <w:jc w:val="center"/>
              <w:rPr>
                <w:szCs w:val="22"/>
              </w:rPr>
            </w:pPr>
            <w:r w:rsidRPr="001D7725">
              <w:rPr>
                <w:szCs w:val="22"/>
              </w:rPr>
              <w:t>–32,8</w:t>
            </w:r>
          </w:p>
        </w:tc>
      </w:tr>
      <w:tr w:rsidR="002B014C" w:rsidRPr="002B014C" w:rsidTr="002B014C">
        <w:trPr>
          <w:jc w:val="center"/>
        </w:trPr>
        <w:tc>
          <w:tcPr>
            <w:tcW w:w="2802" w:type="dxa"/>
          </w:tcPr>
          <w:p w:rsidR="002B014C" w:rsidRPr="001D7725" w:rsidRDefault="002B014C" w:rsidP="003607DD">
            <w:pPr>
              <w:pStyle w:val="Tabletext"/>
              <w:jc w:val="center"/>
              <w:rPr>
                <w:szCs w:val="22"/>
              </w:rPr>
            </w:pPr>
            <w:r w:rsidRPr="001D7725">
              <w:rPr>
                <w:szCs w:val="22"/>
              </w:rPr>
              <w:t>+3,35</w:t>
            </w:r>
          </w:p>
        </w:tc>
        <w:tc>
          <w:tcPr>
            <w:tcW w:w="3118" w:type="dxa"/>
          </w:tcPr>
          <w:p w:rsidR="002B014C" w:rsidRPr="001D7725" w:rsidRDefault="002B014C" w:rsidP="003607DD">
            <w:pPr>
              <w:pStyle w:val="Tabletext"/>
              <w:jc w:val="center"/>
              <w:rPr>
                <w:szCs w:val="22"/>
              </w:rPr>
            </w:pPr>
            <w:r w:rsidRPr="001D7725">
              <w:rPr>
                <w:szCs w:val="22"/>
              </w:rPr>
              <w:t>–32,8</w:t>
            </w:r>
          </w:p>
        </w:tc>
        <w:tc>
          <w:tcPr>
            <w:tcW w:w="3402" w:type="dxa"/>
          </w:tcPr>
          <w:p w:rsidR="002B014C" w:rsidRPr="001D7725" w:rsidRDefault="002B014C" w:rsidP="003607DD">
            <w:pPr>
              <w:pStyle w:val="Tabletext"/>
              <w:jc w:val="center"/>
              <w:rPr>
                <w:szCs w:val="22"/>
              </w:rPr>
            </w:pPr>
            <w:r w:rsidRPr="001D7725">
              <w:rPr>
                <w:szCs w:val="22"/>
              </w:rPr>
              <w:t>–32,8</w:t>
            </w:r>
          </w:p>
        </w:tc>
      </w:tr>
      <w:tr w:rsidR="002B014C" w:rsidRPr="002B014C" w:rsidTr="002B014C">
        <w:trPr>
          <w:jc w:val="center"/>
        </w:trPr>
        <w:tc>
          <w:tcPr>
            <w:tcW w:w="2802" w:type="dxa"/>
          </w:tcPr>
          <w:p w:rsidR="002B014C" w:rsidRPr="001D7725" w:rsidRDefault="002B014C" w:rsidP="003607DD">
            <w:pPr>
              <w:pStyle w:val="Tabletext"/>
              <w:jc w:val="center"/>
              <w:rPr>
                <w:szCs w:val="22"/>
              </w:rPr>
            </w:pPr>
            <w:r w:rsidRPr="001D7725">
              <w:rPr>
                <w:szCs w:val="22"/>
              </w:rPr>
              <w:t>+3,7</w:t>
            </w:r>
          </w:p>
        </w:tc>
        <w:tc>
          <w:tcPr>
            <w:tcW w:w="3118" w:type="dxa"/>
          </w:tcPr>
          <w:p w:rsidR="002B014C" w:rsidRPr="001D7725" w:rsidRDefault="002B014C" w:rsidP="003607DD">
            <w:pPr>
              <w:pStyle w:val="Tabletext"/>
              <w:jc w:val="center"/>
              <w:rPr>
                <w:szCs w:val="22"/>
              </w:rPr>
            </w:pPr>
            <w:r w:rsidRPr="001D7725">
              <w:rPr>
                <w:szCs w:val="22"/>
              </w:rPr>
              <w:t>–73</w:t>
            </w:r>
          </w:p>
        </w:tc>
        <w:tc>
          <w:tcPr>
            <w:tcW w:w="3402" w:type="dxa"/>
          </w:tcPr>
          <w:p w:rsidR="002B014C" w:rsidRPr="001D7725" w:rsidRDefault="002B014C" w:rsidP="003607DD">
            <w:pPr>
              <w:pStyle w:val="Tabletext"/>
              <w:jc w:val="center"/>
              <w:rPr>
                <w:szCs w:val="22"/>
              </w:rPr>
            </w:pPr>
            <w:r w:rsidRPr="001D7725">
              <w:rPr>
                <w:szCs w:val="22"/>
              </w:rPr>
              <w:t>–83</w:t>
            </w:r>
          </w:p>
        </w:tc>
      </w:tr>
      <w:tr w:rsidR="002B014C" w:rsidRPr="002B014C" w:rsidTr="002B014C">
        <w:trPr>
          <w:jc w:val="center"/>
        </w:trPr>
        <w:tc>
          <w:tcPr>
            <w:tcW w:w="2802" w:type="dxa"/>
          </w:tcPr>
          <w:p w:rsidR="002B014C" w:rsidRPr="001D7725" w:rsidRDefault="002B014C" w:rsidP="003607DD">
            <w:pPr>
              <w:pStyle w:val="Tabletext"/>
              <w:jc w:val="center"/>
              <w:rPr>
                <w:szCs w:val="22"/>
              </w:rPr>
            </w:pPr>
            <w:r w:rsidRPr="001D7725">
              <w:rPr>
                <w:szCs w:val="22"/>
              </w:rPr>
              <w:t>+5,25</w:t>
            </w:r>
          </w:p>
        </w:tc>
        <w:tc>
          <w:tcPr>
            <w:tcW w:w="3118" w:type="dxa"/>
          </w:tcPr>
          <w:p w:rsidR="002B014C" w:rsidRPr="001D7725" w:rsidRDefault="002B014C" w:rsidP="003607DD">
            <w:pPr>
              <w:pStyle w:val="Tabletext"/>
              <w:jc w:val="center"/>
              <w:rPr>
                <w:szCs w:val="22"/>
              </w:rPr>
            </w:pPr>
            <w:r w:rsidRPr="001D7725">
              <w:rPr>
                <w:szCs w:val="22"/>
              </w:rPr>
              <w:t>–85</w:t>
            </w:r>
          </w:p>
        </w:tc>
        <w:tc>
          <w:tcPr>
            <w:tcW w:w="3402" w:type="dxa"/>
          </w:tcPr>
          <w:p w:rsidR="002B014C" w:rsidRPr="001D7725" w:rsidRDefault="002B014C" w:rsidP="003607DD">
            <w:pPr>
              <w:pStyle w:val="Tabletext"/>
              <w:jc w:val="center"/>
              <w:rPr>
                <w:szCs w:val="22"/>
              </w:rPr>
            </w:pPr>
            <w:r w:rsidRPr="001D7725">
              <w:rPr>
                <w:szCs w:val="22"/>
              </w:rPr>
              <w:t>–95</w:t>
            </w:r>
          </w:p>
        </w:tc>
      </w:tr>
      <w:tr w:rsidR="002B014C" w:rsidRPr="002B014C" w:rsidTr="002B014C">
        <w:trPr>
          <w:jc w:val="center"/>
        </w:trPr>
        <w:tc>
          <w:tcPr>
            <w:tcW w:w="2802" w:type="dxa"/>
          </w:tcPr>
          <w:p w:rsidR="002B014C" w:rsidRPr="001D7725" w:rsidRDefault="002B014C" w:rsidP="003607DD">
            <w:pPr>
              <w:pStyle w:val="Tabletext"/>
              <w:jc w:val="center"/>
              <w:rPr>
                <w:szCs w:val="22"/>
              </w:rPr>
            </w:pPr>
            <w:r w:rsidRPr="001D7725">
              <w:rPr>
                <w:szCs w:val="22"/>
              </w:rPr>
              <w:t>+10,5</w:t>
            </w:r>
          </w:p>
        </w:tc>
        <w:tc>
          <w:tcPr>
            <w:tcW w:w="3118" w:type="dxa"/>
          </w:tcPr>
          <w:p w:rsidR="002B014C" w:rsidRPr="001D7725" w:rsidRDefault="002B014C" w:rsidP="003607DD">
            <w:pPr>
              <w:pStyle w:val="Tabletext"/>
              <w:jc w:val="center"/>
              <w:rPr>
                <w:szCs w:val="22"/>
              </w:rPr>
            </w:pPr>
            <w:r w:rsidRPr="001D7725">
              <w:rPr>
                <w:szCs w:val="22"/>
              </w:rPr>
              <w:t>–110</w:t>
            </w:r>
          </w:p>
        </w:tc>
        <w:tc>
          <w:tcPr>
            <w:tcW w:w="3402" w:type="dxa"/>
          </w:tcPr>
          <w:p w:rsidR="002B014C" w:rsidRPr="001D7725" w:rsidRDefault="002B014C" w:rsidP="003607DD">
            <w:pPr>
              <w:pStyle w:val="Tabletext"/>
              <w:jc w:val="center"/>
              <w:rPr>
                <w:szCs w:val="22"/>
              </w:rPr>
            </w:pPr>
            <w:r w:rsidRPr="001D7725">
              <w:rPr>
                <w:szCs w:val="22"/>
              </w:rPr>
              <w:t>–120</w:t>
            </w:r>
          </w:p>
        </w:tc>
      </w:tr>
      <w:tr w:rsidR="002B014C" w:rsidRPr="002B014C" w:rsidTr="002B014C">
        <w:trPr>
          <w:jc w:val="center"/>
        </w:trPr>
        <w:tc>
          <w:tcPr>
            <w:tcW w:w="2802" w:type="dxa"/>
          </w:tcPr>
          <w:p w:rsidR="002B014C" w:rsidRPr="001D7725" w:rsidRDefault="002B014C" w:rsidP="003607DD">
            <w:pPr>
              <w:pStyle w:val="Tabletext"/>
              <w:jc w:val="center"/>
              <w:rPr>
                <w:szCs w:val="22"/>
              </w:rPr>
            </w:pPr>
            <w:r w:rsidRPr="001D7725">
              <w:rPr>
                <w:szCs w:val="22"/>
              </w:rPr>
              <w:t>+17,5</w:t>
            </w:r>
          </w:p>
        </w:tc>
        <w:tc>
          <w:tcPr>
            <w:tcW w:w="3118" w:type="dxa"/>
          </w:tcPr>
          <w:p w:rsidR="002B014C" w:rsidRPr="001D7725" w:rsidRDefault="002B014C" w:rsidP="003607DD">
            <w:pPr>
              <w:pStyle w:val="Tabletext"/>
              <w:jc w:val="center"/>
              <w:rPr>
                <w:szCs w:val="22"/>
              </w:rPr>
            </w:pPr>
            <w:r w:rsidRPr="001D7725">
              <w:rPr>
                <w:szCs w:val="22"/>
              </w:rPr>
              <w:t>–110</w:t>
            </w:r>
          </w:p>
        </w:tc>
        <w:tc>
          <w:tcPr>
            <w:tcW w:w="3402" w:type="dxa"/>
          </w:tcPr>
          <w:p w:rsidR="002B014C" w:rsidRPr="001D7725" w:rsidRDefault="002B014C" w:rsidP="003607DD">
            <w:pPr>
              <w:pStyle w:val="Tabletext"/>
              <w:jc w:val="center"/>
              <w:rPr>
                <w:szCs w:val="22"/>
              </w:rPr>
            </w:pPr>
            <w:r w:rsidRPr="001D7725">
              <w:rPr>
                <w:szCs w:val="22"/>
              </w:rPr>
              <w:t>–120</w:t>
            </w:r>
          </w:p>
        </w:tc>
      </w:tr>
    </w:tbl>
    <w:p w:rsidR="00B22D8D" w:rsidRDefault="00B22D8D" w:rsidP="00B22D8D">
      <w:pPr>
        <w:pStyle w:val="Tablefin"/>
        <w:rPr>
          <w:lang w:eastAsia="ja-JP"/>
        </w:rPr>
      </w:pPr>
    </w:p>
    <w:p w:rsidR="002B014C" w:rsidRPr="002B014C" w:rsidRDefault="002B014C" w:rsidP="00B22D8D">
      <w:pPr>
        <w:pStyle w:val="Heading1"/>
        <w:rPr>
          <w:lang w:eastAsia="ja-JP"/>
        </w:rPr>
      </w:pPr>
      <w:r w:rsidRPr="002B014C">
        <w:rPr>
          <w:lang w:eastAsia="ja-JP"/>
        </w:rPr>
        <w:t>2</w:t>
      </w:r>
      <w:r w:rsidRPr="002B014C">
        <w:rPr>
          <w:lang w:eastAsia="ja-JP"/>
        </w:rPr>
        <w:tab/>
        <w:t>Gabarits de limite spectrale propres au système B (DVB</w:t>
      </w:r>
      <w:r w:rsidRPr="002B014C">
        <w:rPr>
          <w:lang w:eastAsia="ja-JP"/>
        </w:rPr>
        <w:noBreakHyphen/>
        <w:t>T) utilisant un découpage en canaux de 8 MHz</w:t>
      </w:r>
    </w:p>
    <w:p w:rsidR="002B014C" w:rsidRPr="002B014C" w:rsidRDefault="002B014C" w:rsidP="00B22D8D">
      <w:pPr>
        <w:rPr>
          <w:lang w:eastAsia="ja-JP"/>
        </w:rPr>
      </w:pPr>
      <w:r w:rsidRPr="002B014C">
        <w:rPr>
          <w:lang w:eastAsia="ja-JP"/>
        </w:rPr>
        <w:t>Pour un système de télévision numérique utilisant des canaux de 8 MHz, le domaine des émissions hors bande s'étend de ±4 MHz (c'est</w:t>
      </w:r>
      <w:r w:rsidRPr="002B014C">
        <w:rPr>
          <w:lang w:eastAsia="ja-JP"/>
        </w:rPr>
        <w:noBreakHyphen/>
        <w:t>à</w:t>
      </w:r>
      <w:r w:rsidRPr="002B014C">
        <w:rPr>
          <w:lang w:eastAsia="ja-JP"/>
        </w:rPr>
        <w:noBreakHyphen/>
        <w:t>dire ±0,5 × 8 MHz) à ±20 MHz (c'est</w:t>
      </w:r>
      <w:r w:rsidRPr="002B014C">
        <w:rPr>
          <w:lang w:eastAsia="ja-JP"/>
        </w:rPr>
        <w:noBreakHyphen/>
        <w:t>à</w:t>
      </w:r>
      <w:r w:rsidRPr="002B014C">
        <w:rPr>
          <w:lang w:eastAsia="ja-JP"/>
        </w:rPr>
        <w:noBreakHyphen/>
        <w:t>dire ±2,5 × 8 MHz) par rapport au centre du canal.</w:t>
      </w:r>
    </w:p>
    <w:p w:rsidR="002B014C" w:rsidRPr="002B014C" w:rsidRDefault="002B014C" w:rsidP="00FB521B">
      <w:pPr>
        <w:rPr>
          <w:lang w:eastAsia="ja-JP"/>
        </w:rPr>
      </w:pPr>
      <w:r w:rsidRPr="002B014C">
        <w:rPr>
          <w:lang w:eastAsia="ja-JP"/>
        </w:rPr>
        <w:lastRenderedPageBreak/>
        <w:t>Deux gabarits spectraux sont donnés dans la Fig. 5 et le Tableau 2 associé. La courbe supérieure correspond au gabarit spectral pour les cas non critiques et la courbe inférieure correspond au gabarit spectral pour les cas sensibles.</w:t>
      </w:r>
    </w:p>
    <w:p w:rsidR="002B014C" w:rsidRPr="002B014C" w:rsidRDefault="002B014C" w:rsidP="00FB521B">
      <w:pPr>
        <w:pStyle w:val="FigureNo"/>
        <w:rPr>
          <w:lang w:eastAsia="ja-JP"/>
        </w:rPr>
      </w:pPr>
      <w:r w:rsidRPr="002B014C">
        <w:rPr>
          <w:lang w:eastAsia="ja-JP"/>
        </w:rPr>
        <w:t>Figure 5</w:t>
      </w:r>
    </w:p>
    <w:p w:rsidR="002B014C" w:rsidRPr="002B014C" w:rsidRDefault="002B014C" w:rsidP="00FB521B">
      <w:pPr>
        <w:pStyle w:val="Figuretitle"/>
        <w:rPr>
          <w:lang w:eastAsia="ja-JP"/>
        </w:rPr>
      </w:pPr>
      <w:r w:rsidRPr="002B014C">
        <w:rPr>
          <w:lang w:eastAsia="ja-JP"/>
        </w:rPr>
        <w:t xml:space="preserve">Gabarits de limite spectrale pour le système B (DVB-T) utilisant un découpage </w:t>
      </w:r>
      <w:r w:rsidRPr="002B014C">
        <w:rPr>
          <w:lang w:eastAsia="ja-JP"/>
        </w:rPr>
        <w:br/>
        <w:t xml:space="preserve">en canaux de 8 MHz </w:t>
      </w:r>
    </w:p>
    <w:p w:rsidR="002B014C" w:rsidRPr="002B014C" w:rsidRDefault="002B014C" w:rsidP="00FB521B">
      <w:pPr>
        <w:pStyle w:val="Figure"/>
      </w:pPr>
      <w:r w:rsidRPr="002B014C">
        <w:object w:dxaOrig="7211" w:dyaOrig="4860">
          <v:shape id="_x0000_i1029" type="#_x0000_t75" style="width:428.8pt;height:288.55pt" o:ole="">
            <v:imagedata r:id="rId21" o:title=""/>
          </v:shape>
          <o:OLEObject Type="Embed" ProgID="CorelDRAW.Graphic.14" ShapeID="_x0000_i1029" DrawAspect="Content" ObjectID="_1498452935" r:id="rId22"/>
        </w:object>
      </w:r>
    </w:p>
    <w:p w:rsidR="002B014C" w:rsidRPr="002B014C" w:rsidRDefault="002B014C" w:rsidP="00FB521B">
      <w:pPr>
        <w:pStyle w:val="TableNo"/>
        <w:rPr>
          <w:lang w:eastAsia="ja-JP"/>
        </w:rPr>
      </w:pPr>
      <w:r w:rsidRPr="002B014C">
        <w:rPr>
          <w:lang w:eastAsia="ja-JP"/>
        </w:rPr>
        <w:t>TABLEAU 2</w:t>
      </w:r>
    </w:p>
    <w:p w:rsidR="002B014C" w:rsidRPr="002B014C" w:rsidRDefault="002B014C" w:rsidP="00FB521B">
      <w:pPr>
        <w:pStyle w:val="Tabletitle"/>
        <w:rPr>
          <w:lang w:eastAsia="ja-JP"/>
        </w:rPr>
      </w:pPr>
      <w:r w:rsidRPr="002B014C">
        <w:rPr>
          <w:lang w:eastAsia="ja-JP"/>
        </w:rPr>
        <w:t xml:space="preserve">Tableau des points de rupture correspondant à la Fig. 5 pour le système B (DVB-T) </w:t>
      </w:r>
      <w:r w:rsidRPr="002B014C">
        <w:rPr>
          <w:lang w:eastAsia="ja-JP"/>
        </w:rPr>
        <w:br/>
        <w:t>utilisant un découpage en canaux de 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2B014C" w:rsidRPr="002B014C" w:rsidTr="002B014C">
        <w:trPr>
          <w:jc w:val="center"/>
        </w:trPr>
        <w:tc>
          <w:tcPr>
            <w:tcW w:w="3209" w:type="dxa"/>
            <w:vMerge w:val="restart"/>
            <w:vAlign w:val="center"/>
          </w:tcPr>
          <w:p w:rsidR="002B014C" w:rsidRPr="002B014C" w:rsidRDefault="002B014C" w:rsidP="00FB521B">
            <w:pPr>
              <w:pStyle w:val="Tablehead"/>
              <w:rPr>
                <w:lang w:eastAsia="ja-JP"/>
              </w:rPr>
            </w:pPr>
            <w:r w:rsidRPr="002B014C">
              <w:t>Fréquence par rapport au centre du canal de 8 MHz (MHz)</w:t>
            </w:r>
          </w:p>
        </w:tc>
        <w:tc>
          <w:tcPr>
            <w:tcW w:w="6430" w:type="dxa"/>
            <w:gridSpan w:val="2"/>
            <w:vAlign w:val="center"/>
          </w:tcPr>
          <w:p w:rsidR="002B014C" w:rsidRPr="002B014C" w:rsidRDefault="002B014C" w:rsidP="00FB521B">
            <w:pPr>
              <w:pStyle w:val="Tablehead"/>
            </w:pPr>
            <w:r w:rsidRPr="002B014C">
              <w:t>Niveau relatif dans une largeur de bande de mesure de 4 kHz (dB)</w:t>
            </w:r>
          </w:p>
        </w:tc>
      </w:tr>
      <w:tr w:rsidR="002B014C" w:rsidRPr="002B014C" w:rsidTr="002B014C">
        <w:trPr>
          <w:jc w:val="center"/>
        </w:trPr>
        <w:tc>
          <w:tcPr>
            <w:tcW w:w="3209" w:type="dxa"/>
            <w:vMerge/>
            <w:vAlign w:val="center"/>
          </w:tcPr>
          <w:p w:rsidR="002B014C" w:rsidRPr="002B014C" w:rsidRDefault="002B014C" w:rsidP="00FB521B">
            <w:pPr>
              <w:pStyle w:val="Tablehead"/>
              <w:rPr>
                <w:lang w:eastAsia="ja-JP"/>
              </w:rPr>
            </w:pPr>
          </w:p>
        </w:tc>
        <w:tc>
          <w:tcPr>
            <w:tcW w:w="3224" w:type="dxa"/>
            <w:vAlign w:val="center"/>
          </w:tcPr>
          <w:p w:rsidR="002B014C" w:rsidRPr="002B014C" w:rsidRDefault="002B014C" w:rsidP="00FB521B">
            <w:pPr>
              <w:pStyle w:val="Tablehead"/>
            </w:pPr>
            <w:r w:rsidRPr="002B014C">
              <w:t>Gabarit d'émission non critique</w:t>
            </w:r>
          </w:p>
        </w:tc>
        <w:tc>
          <w:tcPr>
            <w:tcW w:w="3206" w:type="dxa"/>
            <w:vAlign w:val="center"/>
          </w:tcPr>
          <w:p w:rsidR="002B014C" w:rsidRPr="002B014C" w:rsidRDefault="002B014C" w:rsidP="00FB521B">
            <w:pPr>
              <w:pStyle w:val="Tablehead"/>
            </w:pPr>
            <w:r w:rsidRPr="002B014C">
              <w:t>Cas sensibles</w:t>
            </w:r>
          </w:p>
        </w:tc>
      </w:tr>
      <w:tr w:rsidR="002B014C" w:rsidRPr="002B014C" w:rsidTr="002B014C">
        <w:trPr>
          <w:jc w:val="center"/>
        </w:trPr>
        <w:tc>
          <w:tcPr>
            <w:tcW w:w="3209" w:type="dxa"/>
          </w:tcPr>
          <w:p w:rsidR="002B014C" w:rsidRPr="002B014C" w:rsidRDefault="002B014C" w:rsidP="00FB521B">
            <w:pPr>
              <w:pStyle w:val="Tabletext"/>
              <w:jc w:val="center"/>
              <w:rPr>
                <w:lang w:eastAsia="ja-JP"/>
              </w:rPr>
            </w:pPr>
            <w:r w:rsidRPr="002B014C">
              <w:t>–</w:t>
            </w:r>
            <w:r w:rsidRPr="002B014C">
              <w:rPr>
                <w:lang w:eastAsia="ja-JP"/>
              </w:rPr>
              <w:t>20</w:t>
            </w:r>
          </w:p>
        </w:tc>
        <w:tc>
          <w:tcPr>
            <w:tcW w:w="3224" w:type="dxa"/>
          </w:tcPr>
          <w:p w:rsidR="002B014C" w:rsidRPr="002B014C" w:rsidRDefault="002B014C" w:rsidP="00FB521B">
            <w:pPr>
              <w:pStyle w:val="Tabletext"/>
              <w:jc w:val="center"/>
              <w:rPr>
                <w:lang w:eastAsia="ja-JP"/>
              </w:rPr>
            </w:pPr>
            <w:r w:rsidRPr="002B014C">
              <w:t>–</w:t>
            </w:r>
            <w:r w:rsidRPr="002B014C">
              <w:rPr>
                <w:lang w:eastAsia="ja-JP"/>
              </w:rPr>
              <w:t>110</w:t>
            </w:r>
          </w:p>
        </w:tc>
        <w:tc>
          <w:tcPr>
            <w:tcW w:w="3206" w:type="dxa"/>
          </w:tcPr>
          <w:p w:rsidR="002B014C" w:rsidRPr="002B014C" w:rsidRDefault="002B014C" w:rsidP="00FB521B">
            <w:pPr>
              <w:pStyle w:val="Tabletext"/>
              <w:jc w:val="center"/>
              <w:rPr>
                <w:lang w:eastAsia="ja-JP"/>
              </w:rPr>
            </w:pPr>
            <w:r w:rsidRPr="002B014C">
              <w:t>–</w:t>
            </w:r>
            <w:r w:rsidRPr="002B014C">
              <w:rPr>
                <w:lang w:eastAsia="ja-JP"/>
              </w:rPr>
              <w:t>120</w:t>
            </w:r>
          </w:p>
        </w:tc>
      </w:tr>
      <w:tr w:rsidR="002B014C" w:rsidRPr="002B014C" w:rsidTr="002B014C">
        <w:trPr>
          <w:jc w:val="center"/>
        </w:trPr>
        <w:tc>
          <w:tcPr>
            <w:tcW w:w="3209" w:type="dxa"/>
          </w:tcPr>
          <w:p w:rsidR="002B014C" w:rsidRPr="002B014C" w:rsidRDefault="002B014C" w:rsidP="00FB521B">
            <w:pPr>
              <w:pStyle w:val="Tabletext"/>
              <w:jc w:val="center"/>
              <w:rPr>
                <w:lang w:eastAsia="ja-JP"/>
              </w:rPr>
            </w:pPr>
            <w:r w:rsidRPr="002B014C">
              <w:rPr>
                <w:lang w:eastAsia="ja-JP"/>
              </w:rPr>
              <w:t>–12</w:t>
            </w:r>
          </w:p>
        </w:tc>
        <w:tc>
          <w:tcPr>
            <w:tcW w:w="3224" w:type="dxa"/>
          </w:tcPr>
          <w:p w:rsidR="002B014C" w:rsidRPr="002B014C" w:rsidRDefault="002B014C" w:rsidP="00FB521B">
            <w:pPr>
              <w:pStyle w:val="Tabletext"/>
              <w:jc w:val="center"/>
              <w:rPr>
                <w:lang w:eastAsia="ja-JP"/>
              </w:rPr>
            </w:pPr>
            <w:r w:rsidRPr="002B014C">
              <w:rPr>
                <w:lang w:eastAsia="ja-JP"/>
              </w:rPr>
              <w:t>–110</w:t>
            </w:r>
          </w:p>
        </w:tc>
        <w:tc>
          <w:tcPr>
            <w:tcW w:w="3206" w:type="dxa"/>
          </w:tcPr>
          <w:p w:rsidR="002B014C" w:rsidRPr="002B014C" w:rsidRDefault="002B014C" w:rsidP="00FB521B">
            <w:pPr>
              <w:pStyle w:val="Tabletext"/>
              <w:jc w:val="center"/>
              <w:rPr>
                <w:lang w:eastAsia="ja-JP"/>
              </w:rPr>
            </w:pPr>
            <w:r w:rsidRPr="002B014C">
              <w:rPr>
                <w:lang w:eastAsia="ja-JP"/>
              </w:rPr>
              <w:t>–120</w:t>
            </w:r>
          </w:p>
        </w:tc>
      </w:tr>
      <w:tr w:rsidR="002B014C" w:rsidRPr="002B014C" w:rsidTr="002B014C">
        <w:trPr>
          <w:jc w:val="center"/>
        </w:trPr>
        <w:tc>
          <w:tcPr>
            <w:tcW w:w="3209" w:type="dxa"/>
          </w:tcPr>
          <w:p w:rsidR="002B014C" w:rsidRPr="002B014C" w:rsidRDefault="002B014C" w:rsidP="00FB521B">
            <w:pPr>
              <w:pStyle w:val="Tabletext"/>
              <w:jc w:val="center"/>
              <w:rPr>
                <w:lang w:eastAsia="ja-JP"/>
              </w:rPr>
            </w:pPr>
            <w:r w:rsidRPr="002B014C">
              <w:rPr>
                <w:lang w:eastAsia="ja-JP"/>
              </w:rPr>
              <w:t>–6</w:t>
            </w:r>
          </w:p>
        </w:tc>
        <w:tc>
          <w:tcPr>
            <w:tcW w:w="3224" w:type="dxa"/>
          </w:tcPr>
          <w:p w:rsidR="002B014C" w:rsidRPr="002B014C" w:rsidRDefault="002B014C" w:rsidP="00FB521B">
            <w:pPr>
              <w:pStyle w:val="Tabletext"/>
              <w:jc w:val="center"/>
              <w:rPr>
                <w:lang w:eastAsia="ja-JP"/>
              </w:rPr>
            </w:pPr>
            <w:r w:rsidRPr="002B014C">
              <w:rPr>
                <w:lang w:eastAsia="ja-JP"/>
              </w:rPr>
              <w:t>–85</w:t>
            </w:r>
          </w:p>
        </w:tc>
        <w:tc>
          <w:tcPr>
            <w:tcW w:w="3206" w:type="dxa"/>
          </w:tcPr>
          <w:p w:rsidR="002B014C" w:rsidRPr="002B014C" w:rsidRDefault="002B014C" w:rsidP="00FB521B">
            <w:pPr>
              <w:pStyle w:val="Tabletext"/>
              <w:jc w:val="center"/>
              <w:rPr>
                <w:lang w:eastAsia="ja-JP"/>
              </w:rPr>
            </w:pPr>
            <w:r w:rsidRPr="002B014C">
              <w:rPr>
                <w:lang w:eastAsia="ja-JP"/>
              </w:rPr>
              <w:t>–95</w:t>
            </w:r>
          </w:p>
        </w:tc>
      </w:tr>
      <w:tr w:rsidR="002B014C" w:rsidRPr="002B014C" w:rsidTr="002B014C">
        <w:trPr>
          <w:jc w:val="center"/>
        </w:trPr>
        <w:tc>
          <w:tcPr>
            <w:tcW w:w="3209" w:type="dxa"/>
          </w:tcPr>
          <w:p w:rsidR="002B014C" w:rsidRPr="002B014C" w:rsidRDefault="002B014C" w:rsidP="00FB521B">
            <w:pPr>
              <w:pStyle w:val="Tabletext"/>
              <w:jc w:val="center"/>
              <w:rPr>
                <w:lang w:eastAsia="ja-JP"/>
              </w:rPr>
            </w:pPr>
            <w:r w:rsidRPr="002B014C">
              <w:rPr>
                <w:lang w:eastAsia="ja-JP"/>
              </w:rPr>
              <w:t>–4,2</w:t>
            </w:r>
          </w:p>
        </w:tc>
        <w:tc>
          <w:tcPr>
            <w:tcW w:w="3224" w:type="dxa"/>
          </w:tcPr>
          <w:p w:rsidR="002B014C" w:rsidRPr="002B014C" w:rsidRDefault="002B014C" w:rsidP="00FB521B">
            <w:pPr>
              <w:pStyle w:val="Tabletext"/>
              <w:jc w:val="center"/>
              <w:rPr>
                <w:lang w:eastAsia="ja-JP"/>
              </w:rPr>
            </w:pPr>
            <w:r w:rsidRPr="002B014C">
              <w:rPr>
                <w:lang w:eastAsia="ja-JP"/>
              </w:rPr>
              <w:t>–73</w:t>
            </w:r>
          </w:p>
        </w:tc>
        <w:tc>
          <w:tcPr>
            <w:tcW w:w="3206" w:type="dxa"/>
          </w:tcPr>
          <w:p w:rsidR="002B014C" w:rsidRPr="002B014C" w:rsidRDefault="002B014C" w:rsidP="00FB521B">
            <w:pPr>
              <w:pStyle w:val="Tabletext"/>
              <w:jc w:val="center"/>
              <w:rPr>
                <w:lang w:eastAsia="ja-JP"/>
              </w:rPr>
            </w:pPr>
            <w:r w:rsidRPr="002B014C">
              <w:rPr>
                <w:lang w:eastAsia="ja-JP"/>
              </w:rPr>
              <w:t>–83</w:t>
            </w:r>
          </w:p>
        </w:tc>
      </w:tr>
      <w:tr w:rsidR="002B014C" w:rsidRPr="002B014C" w:rsidTr="002B014C">
        <w:trPr>
          <w:jc w:val="center"/>
        </w:trPr>
        <w:tc>
          <w:tcPr>
            <w:tcW w:w="3209" w:type="dxa"/>
          </w:tcPr>
          <w:p w:rsidR="002B014C" w:rsidRPr="002B014C" w:rsidRDefault="002B014C" w:rsidP="00FB521B">
            <w:pPr>
              <w:pStyle w:val="Tabletext"/>
              <w:jc w:val="center"/>
              <w:rPr>
                <w:lang w:eastAsia="ja-JP"/>
              </w:rPr>
            </w:pPr>
            <w:r w:rsidRPr="002B014C">
              <w:rPr>
                <w:lang w:eastAsia="ja-JP"/>
              </w:rPr>
              <w:t>–3,9</w:t>
            </w:r>
          </w:p>
        </w:tc>
        <w:tc>
          <w:tcPr>
            <w:tcW w:w="3224" w:type="dxa"/>
          </w:tcPr>
          <w:p w:rsidR="002B014C" w:rsidRPr="002B014C" w:rsidRDefault="002B014C" w:rsidP="00FB521B">
            <w:pPr>
              <w:pStyle w:val="Tabletext"/>
              <w:jc w:val="center"/>
              <w:rPr>
                <w:lang w:eastAsia="ja-JP"/>
              </w:rPr>
            </w:pPr>
            <w:r w:rsidRPr="002B014C">
              <w:rPr>
                <w:lang w:eastAsia="ja-JP"/>
              </w:rPr>
              <w:t>–32,8</w:t>
            </w:r>
          </w:p>
        </w:tc>
        <w:tc>
          <w:tcPr>
            <w:tcW w:w="3206" w:type="dxa"/>
          </w:tcPr>
          <w:p w:rsidR="002B014C" w:rsidRPr="002B014C" w:rsidRDefault="002B014C" w:rsidP="00FB521B">
            <w:pPr>
              <w:pStyle w:val="Tabletext"/>
              <w:jc w:val="center"/>
              <w:rPr>
                <w:lang w:eastAsia="ja-JP"/>
              </w:rPr>
            </w:pPr>
            <w:r w:rsidRPr="002B014C">
              <w:rPr>
                <w:lang w:eastAsia="ja-JP"/>
              </w:rPr>
              <w:t>–32,8</w:t>
            </w:r>
          </w:p>
        </w:tc>
      </w:tr>
      <w:tr w:rsidR="002B014C" w:rsidRPr="002B014C" w:rsidTr="002B014C">
        <w:trPr>
          <w:jc w:val="center"/>
        </w:trPr>
        <w:tc>
          <w:tcPr>
            <w:tcW w:w="3209" w:type="dxa"/>
          </w:tcPr>
          <w:p w:rsidR="002B014C" w:rsidRPr="002B014C" w:rsidRDefault="002B014C" w:rsidP="00FB521B">
            <w:pPr>
              <w:pStyle w:val="Tabletext"/>
              <w:jc w:val="center"/>
              <w:rPr>
                <w:lang w:eastAsia="ja-JP"/>
              </w:rPr>
            </w:pPr>
            <w:r w:rsidRPr="002B014C">
              <w:rPr>
                <w:lang w:eastAsia="ja-JP"/>
              </w:rPr>
              <w:t>+3,9</w:t>
            </w:r>
          </w:p>
        </w:tc>
        <w:tc>
          <w:tcPr>
            <w:tcW w:w="3224" w:type="dxa"/>
          </w:tcPr>
          <w:p w:rsidR="002B014C" w:rsidRPr="002B014C" w:rsidRDefault="002B014C" w:rsidP="00FB521B">
            <w:pPr>
              <w:pStyle w:val="Tabletext"/>
              <w:jc w:val="center"/>
              <w:rPr>
                <w:lang w:eastAsia="ja-JP"/>
              </w:rPr>
            </w:pPr>
            <w:r w:rsidRPr="002B014C">
              <w:rPr>
                <w:lang w:eastAsia="ja-JP"/>
              </w:rPr>
              <w:t>–32,8</w:t>
            </w:r>
          </w:p>
        </w:tc>
        <w:tc>
          <w:tcPr>
            <w:tcW w:w="3206" w:type="dxa"/>
          </w:tcPr>
          <w:p w:rsidR="002B014C" w:rsidRPr="002B014C" w:rsidRDefault="002B014C" w:rsidP="00FB521B">
            <w:pPr>
              <w:pStyle w:val="Tabletext"/>
              <w:jc w:val="center"/>
              <w:rPr>
                <w:lang w:eastAsia="ja-JP"/>
              </w:rPr>
            </w:pPr>
            <w:r w:rsidRPr="002B014C">
              <w:rPr>
                <w:lang w:eastAsia="ja-JP"/>
              </w:rPr>
              <w:t>–32,8</w:t>
            </w:r>
          </w:p>
        </w:tc>
      </w:tr>
      <w:tr w:rsidR="002B014C" w:rsidRPr="002B014C" w:rsidTr="002B014C">
        <w:trPr>
          <w:jc w:val="center"/>
        </w:trPr>
        <w:tc>
          <w:tcPr>
            <w:tcW w:w="3209" w:type="dxa"/>
          </w:tcPr>
          <w:p w:rsidR="002B014C" w:rsidRPr="002B014C" w:rsidRDefault="002B014C" w:rsidP="00FB521B">
            <w:pPr>
              <w:pStyle w:val="Tabletext"/>
              <w:jc w:val="center"/>
              <w:rPr>
                <w:lang w:eastAsia="ja-JP"/>
              </w:rPr>
            </w:pPr>
            <w:r w:rsidRPr="002B014C">
              <w:rPr>
                <w:lang w:eastAsia="ja-JP"/>
              </w:rPr>
              <w:t>+4,2</w:t>
            </w:r>
          </w:p>
        </w:tc>
        <w:tc>
          <w:tcPr>
            <w:tcW w:w="3224" w:type="dxa"/>
          </w:tcPr>
          <w:p w:rsidR="002B014C" w:rsidRPr="002B014C" w:rsidRDefault="002B014C" w:rsidP="00FB521B">
            <w:pPr>
              <w:pStyle w:val="Tabletext"/>
              <w:jc w:val="center"/>
              <w:rPr>
                <w:lang w:eastAsia="ja-JP"/>
              </w:rPr>
            </w:pPr>
            <w:r w:rsidRPr="002B014C">
              <w:rPr>
                <w:lang w:eastAsia="ja-JP"/>
              </w:rPr>
              <w:t>–73</w:t>
            </w:r>
          </w:p>
        </w:tc>
        <w:tc>
          <w:tcPr>
            <w:tcW w:w="3206" w:type="dxa"/>
          </w:tcPr>
          <w:p w:rsidR="002B014C" w:rsidRPr="002B014C" w:rsidRDefault="002B014C" w:rsidP="00FB521B">
            <w:pPr>
              <w:pStyle w:val="Tabletext"/>
              <w:jc w:val="center"/>
              <w:rPr>
                <w:lang w:eastAsia="ja-JP"/>
              </w:rPr>
            </w:pPr>
            <w:r w:rsidRPr="002B014C">
              <w:rPr>
                <w:lang w:eastAsia="ja-JP"/>
              </w:rPr>
              <w:t>–83</w:t>
            </w:r>
          </w:p>
        </w:tc>
      </w:tr>
      <w:tr w:rsidR="002B014C" w:rsidRPr="002B014C" w:rsidTr="002B014C">
        <w:trPr>
          <w:jc w:val="center"/>
        </w:trPr>
        <w:tc>
          <w:tcPr>
            <w:tcW w:w="3209" w:type="dxa"/>
          </w:tcPr>
          <w:p w:rsidR="002B014C" w:rsidRPr="002B014C" w:rsidRDefault="002B014C" w:rsidP="00FB521B">
            <w:pPr>
              <w:pStyle w:val="Tabletext"/>
              <w:jc w:val="center"/>
              <w:rPr>
                <w:lang w:eastAsia="ja-JP"/>
              </w:rPr>
            </w:pPr>
            <w:r w:rsidRPr="002B014C">
              <w:rPr>
                <w:lang w:eastAsia="ja-JP"/>
              </w:rPr>
              <w:t>+6</w:t>
            </w:r>
          </w:p>
        </w:tc>
        <w:tc>
          <w:tcPr>
            <w:tcW w:w="3224" w:type="dxa"/>
          </w:tcPr>
          <w:p w:rsidR="002B014C" w:rsidRPr="002B014C" w:rsidRDefault="002B014C" w:rsidP="00FB521B">
            <w:pPr>
              <w:pStyle w:val="Tabletext"/>
              <w:jc w:val="center"/>
              <w:rPr>
                <w:lang w:eastAsia="ja-JP"/>
              </w:rPr>
            </w:pPr>
            <w:r w:rsidRPr="002B014C">
              <w:rPr>
                <w:lang w:eastAsia="ja-JP"/>
              </w:rPr>
              <w:t>–85</w:t>
            </w:r>
          </w:p>
        </w:tc>
        <w:tc>
          <w:tcPr>
            <w:tcW w:w="3206" w:type="dxa"/>
          </w:tcPr>
          <w:p w:rsidR="002B014C" w:rsidRPr="002B014C" w:rsidRDefault="002B014C" w:rsidP="00FB521B">
            <w:pPr>
              <w:pStyle w:val="Tabletext"/>
              <w:jc w:val="center"/>
              <w:rPr>
                <w:lang w:eastAsia="ja-JP"/>
              </w:rPr>
            </w:pPr>
            <w:r w:rsidRPr="002B014C">
              <w:rPr>
                <w:lang w:eastAsia="ja-JP"/>
              </w:rPr>
              <w:t>–95</w:t>
            </w:r>
          </w:p>
        </w:tc>
      </w:tr>
      <w:tr w:rsidR="002B014C" w:rsidRPr="002B014C" w:rsidTr="002B014C">
        <w:trPr>
          <w:jc w:val="center"/>
        </w:trPr>
        <w:tc>
          <w:tcPr>
            <w:tcW w:w="3209" w:type="dxa"/>
          </w:tcPr>
          <w:p w:rsidR="002B014C" w:rsidRPr="002B014C" w:rsidRDefault="002B014C" w:rsidP="00FB521B">
            <w:pPr>
              <w:pStyle w:val="Tabletext"/>
              <w:jc w:val="center"/>
              <w:rPr>
                <w:lang w:eastAsia="ja-JP"/>
              </w:rPr>
            </w:pPr>
            <w:r w:rsidRPr="002B014C">
              <w:rPr>
                <w:lang w:eastAsia="ja-JP"/>
              </w:rPr>
              <w:t>+12</w:t>
            </w:r>
          </w:p>
        </w:tc>
        <w:tc>
          <w:tcPr>
            <w:tcW w:w="3224" w:type="dxa"/>
          </w:tcPr>
          <w:p w:rsidR="002B014C" w:rsidRPr="002B014C" w:rsidRDefault="002B014C" w:rsidP="00FB521B">
            <w:pPr>
              <w:pStyle w:val="Tabletext"/>
              <w:jc w:val="center"/>
              <w:rPr>
                <w:lang w:eastAsia="ja-JP"/>
              </w:rPr>
            </w:pPr>
            <w:r w:rsidRPr="002B014C">
              <w:rPr>
                <w:lang w:eastAsia="ja-JP"/>
              </w:rPr>
              <w:t>–110</w:t>
            </w:r>
          </w:p>
        </w:tc>
        <w:tc>
          <w:tcPr>
            <w:tcW w:w="3206" w:type="dxa"/>
          </w:tcPr>
          <w:p w:rsidR="002B014C" w:rsidRPr="002B014C" w:rsidRDefault="002B014C" w:rsidP="00FB521B">
            <w:pPr>
              <w:pStyle w:val="Tabletext"/>
              <w:jc w:val="center"/>
              <w:rPr>
                <w:lang w:eastAsia="ja-JP"/>
              </w:rPr>
            </w:pPr>
            <w:r w:rsidRPr="002B014C">
              <w:rPr>
                <w:lang w:eastAsia="ja-JP"/>
              </w:rPr>
              <w:t>–120</w:t>
            </w:r>
          </w:p>
        </w:tc>
      </w:tr>
      <w:tr w:rsidR="002B014C" w:rsidRPr="002B014C" w:rsidTr="002B014C">
        <w:trPr>
          <w:jc w:val="center"/>
        </w:trPr>
        <w:tc>
          <w:tcPr>
            <w:tcW w:w="3209" w:type="dxa"/>
          </w:tcPr>
          <w:p w:rsidR="002B014C" w:rsidRPr="002B014C" w:rsidRDefault="002B014C" w:rsidP="00FB521B">
            <w:pPr>
              <w:pStyle w:val="Tabletext"/>
              <w:jc w:val="center"/>
              <w:rPr>
                <w:lang w:eastAsia="ja-JP"/>
              </w:rPr>
            </w:pPr>
            <w:r w:rsidRPr="002B014C">
              <w:rPr>
                <w:lang w:eastAsia="ja-JP"/>
              </w:rPr>
              <w:t>+20</w:t>
            </w:r>
          </w:p>
        </w:tc>
        <w:tc>
          <w:tcPr>
            <w:tcW w:w="3224" w:type="dxa"/>
          </w:tcPr>
          <w:p w:rsidR="002B014C" w:rsidRPr="002B014C" w:rsidRDefault="002B014C" w:rsidP="00FB521B">
            <w:pPr>
              <w:pStyle w:val="Tabletext"/>
              <w:jc w:val="center"/>
              <w:rPr>
                <w:lang w:eastAsia="ja-JP"/>
              </w:rPr>
            </w:pPr>
            <w:r w:rsidRPr="002B014C">
              <w:t>–</w:t>
            </w:r>
            <w:r w:rsidRPr="002B014C">
              <w:rPr>
                <w:lang w:eastAsia="ja-JP"/>
              </w:rPr>
              <w:t>110</w:t>
            </w:r>
          </w:p>
        </w:tc>
        <w:tc>
          <w:tcPr>
            <w:tcW w:w="3206" w:type="dxa"/>
          </w:tcPr>
          <w:p w:rsidR="002B014C" w:rsidRPr="002B014C" w:rsidRDefault="002B014C" w:rsidP="00FB521B">
            <w:pPr>
              <w:pStyle w:val="Tabletext"/>
              <w:jc w:val="center"/>
              <w:rPr>
                <w:lang w:eastAsia="ja-JP"/>
              </w:rPr>
            </w:pPr>
            <w:r w:rsidRPr="002B014C">
              <w:t>–</w:t>
            </w:r>
            <w:r w:rsidRPr="002B014C">
              <w:rPr>
                <w:lang w:eastAsia="ja-JP"/>
              </w:rPr>
              <w:t>120</w:t>
            </w:r>
          </w:p>
        </w:tc>
      </w:tr>
    </w:tbl>
    <w:p w:rsidR="002B014C" w:rsidRPr="002B014C" w:rsidRDefault="002B014C" w:rsidP="00F135E5">
      <w:pPr>
        <w:pStyle w:val="Tablefin"/>
      </w:pPr>
    </w:p>
    <w:p w:rsidR="002B014C" w:rsidRPr="002B014C" w:rsidRDefault="002B014C" w:rsidP="00F135E5">
      <w:pPr>
        <w:pStyle w:val="AnnexNoTitle"/>
        <w:rPr>
          <w:lang w:eastAsia="ja-JP"/>
        </w:rPr>
      </w:pPr>
      <w:r w:rsidRPr="002B014C">
        <w:lastRenderedPageBreak/>
        <w:t xml:space="preserve">Annexe </w:t>
      </w:r>
      <w:r w:rsidRPr="002B014C">
        <w:rPr>
          <w:lang w:eastAsia="ja-JP"/>
        </w:rPr>
        <w:t>3</w:t>
      </w:r>
      <w:r w:rsidRPr="002B014C">
        <w:rPr>
          <w:lang w:eastAsia="ja-JP"/>
        </w:rPr>
        <w:br/>
      </w:r>
      <w:r w:rsidRPr="002B014C">
        <w:rPr>
          <w:lang w:eastAsia="ja-JP"/>
        </w:rPr>
        <w:br/>
        <w:t xml:space="preserve">Gabarits de limite spectrale propres au système C de télévision </w:t>
      </w:r>
      <w:r w:rsidRPr="002B014C">
        <w:rPr>
          <w:lang w:eastAsia="ja-JP"/>
        </w:rPr>
        <w:br/>
        <w:t>numérique de Terre (ISDB-T)</w:t>
      </w:r>
    </w:p>
    <w:p w:rsidR="002B014C" w:rsidRPr="002B014C" w:rsidRDefault="002B014C" w:rsidP="00F135E5">
      <w:pPr>
        <w:pStyle w:val="Heading1"/>
        <w:rPr>
          <w:lang w:eastAsia="ja-JP"/>
        </w:rPr>
      </w:pPr>
      <w:r w:rsidRPr="002B014C">
        <w:rPr>
          <w:lang w:eastAsia="ja-JP"/>
        </w:rPr>
        <w:t>1</w:t>
      </w:r>
      <w:r w:rsidRPr="002B014C">
        <w:rPr>
          <w:lang w:eastAsia="ja-JP"/>
        </w:rPr>
        <w:tab/>
        <w:t>Gabarits de limite spectrale propres au système C (ISDB-T) utilisant un découpage en canaux de 6 MHz</w:t>
      </w:r>
    </w:p>
    <w:p w:rsidR="002B014C" w:rsidRPr="002B014C" w:rsidRDefault="002B014C" w:rsidP="00F135E5">
      <w:pPr>
        <w:rPr>
          <w:lang w:eastAsia="ja-JP"/>
        </w:rPr>
      </w:pPr>
      <w:r w:rsidRPr="002B014C">
        <w:rPr>
          <w:lang w:eastAsia="ja-JP"/>
        </w:rPr>
        <w:t>Pour un système de télévision numérique utilisant des canaux de 6 MHz, le domaine des émissions hors bande s'étend de ±3 MHz (c'est</w:t>
      </w:r>
      <w:r w:rsidRPr="002B014C">
        <w:rPr>
          <w:lang w:eastAsia="ja-JP"/>
        </w:rPr>
        <w:noBreakHyphen/>
        <w:t>à</w:t>
      </w:r>
      <w:r w:rsidRPr="002B014C">
        <w:rPr>
          <w:lang w:eastAsia="ja-JP"/>
        </w:rPr>
        <w:noBreakHyphen/>
        <w:t>dire ±0,5 × 6 MHz) à ±15 MHz (c'est</w:t>
      </w:r>
      <w:r w:rsidRPr="002B014C">
        <w:rPr>
          <w:lang w:eastAsia="ja-JP"/>
        </w:rPr>
        <w:noBreakHyphen/>
        <w:t>à</w:t>
      </w:r>
      <w:r w:rsidRPr="002B014C">
        <w:rPr>
          <w:lang w:eastAsia="ja-JP"/>
        </w:rPr>
        <w:noBreakHyphen/>
        <w:t>dire ±2,5 × 6 MHz) par rapport au centre du canal.</w:t>
      </w:r>
    </w:p>
    <w:p w:rsidR="002B014C" w:rsidRPr="002B014C" w:rsidRDefault="002B014C" w:rsidP="00F135E5">
      <w:pPr>
        <w:rPr>
          <w:lang w:eastAsia="ja-JP"/>
        </w:rPr>
      </w:pPr>
      <w:r w:rsidRPr="002B014C">
        <w:rPr>
          <w:lang w:eastAsia="ja-JP"/>
        </w:rPr>
        <w:t>Les gabarits de limite spectrale propres au système C (ISDB</w:t>
      </w:r>
      <w:r w:rsidRPr="002B014C">
        <w:rPr>
          <w:lang w:eastAsia="ja-JP"/>
        </w:rPr>
        <w:noBreakHyphen/>
        <w:t xml:space="preserve">T) utilisant un découpage en canaux de 6 MHz sont illustrés à la Fig. 6. Les points de rupture correspondants sont donnés dans le Tableau 3. </w:t>
      </w:r>
    </w:p>
    <w:p w:rsidR="002B014C" w:rsidRPr="002B014C" w:rsidRDefault="002B014C" w:rsidP="00131BBE">
      <w:pPr>
        <w:pStyle w:val="FigureNo"/>
        <w:rPr>
          <w:lang w:eastAsia="ja-JP"/>
        </w:rPr>
      </w:pPr>
      <w:r w:rsidRPr="002B014C">
        <w:rPr>
          <w:lang w:eastAsia="ja-JP"/>
        </w:rPr>
        <w:t>Figure 6</w:t>
      </w:r>
    </w:p>
    <w:p w:rsidR="002B014C" w:rsidRPr="002B014C" w:rsidRDefault="002B014C" w:rsidP="00131BBE">
      <w:pPr>
        <w:pStyle w:val="Figuretitle"/>
        <w:rPr>
          <w:lang w:eastAsia="ja-JP"/>
        </w:rPr>
      </w:pPr>
      <w:r w:rsidRPr="002B014C">
        <w:rPr>
          <w:lang w:eastAsia="ja-JP"/>
        </w:rPr>
        <w:t>Gabarits de limite spectrale propres au système C (ISDB</w:t>
      </w:r>
      <w:r w:rsidRPr="002B014C">
        <w:rPr>
          <w:lang w:eastAsia="ja-JP"/>
        </w:rPr>
        <w:noBreakHyphen/>
        <w:t xml:space="preserve">T) utilisant un découpage </w:t>
      </w:r>
      <w:r w:rsidRPr="002B014C">
        <w:rPr>
          <w:lang w:eastAsia="ja-JP"/>
        </w:rPr>
        <w:br/>
        <w:t xml:space="preserve">en canaux de 6 MHz </w:t>
      </w:r>
    </w:p>
    <w:p w:rsidR="002B014C" w:rsidRPr="002B014C" w:rsidRDefault="002B014C" w:rsidP="00131BBE">
      <w:pPr>
        <w:pStyle w:val="Figure"/>
      </w:pPr>
      <w:r w:rsidRPr="002B014C">
        <w:object w:dxaOrig="7011" w:dyaOrig="3624">
          <v:shape id="_x0000_i1030" type="#_x0000_t75" style="width:422.85pt;height:217.6pt" o:ole="">
            <v:imagedata r:id="rId23" o:title=""/>
          </v:shape>
          <o:OLEObject Type="Embed" ProgID="CorelDRAW.Graphic.14" ShapeID="_x0000_i1030" DrawAspect="Content" ObjectID="_1498452936" r:id="rId24"/>
        </w:object>
      </w:r>
    </w:p>
    <w:p w:rsidR="002B014C" w:rsidRPr="002B014C" w:rsidRDefault="002B014C" w:rsidP="002B014C">
      <w:pPr>
        <w:keepNext/>
        <w:spacing w:before="560" w:after="120"/>
        <w:jc w:val="center"/>
        <w:rPr>
          <w:caps/>
          <w:lang w:eastAsia="ja-JP"/>
        </w:rPr>
      </w:pPr>
      <w:r w:rsidRPr="002B014C">
        <w:rPr>
          <w:caps/>
          <w:lang w:eastAsia="ja-JP"/>
        </w:rPr>
        <w:br w:type="page"/>
      </w:r>
    </w:p>
    <w:p w:rsidR="002B014C" w:rsidRPr="002B014C" w:rsidRDefault="002B014C" w:rsidP="00E401CF">
      <w:pPr>
        <w:pStyle w:val="TableNo"/>
        <w:rPr>
          <w:lang w:eastAsia="ja-JP"/>
        </w:rPr>
      </w:pPr>
      <w:r w:rsidRPr="002B014C">
        <w:rPr>
          <w:lang w:eastAsia="ja-JP"/>
        </w:rPr>
        <w:lastRenderedPageBreak/>
        <w:t>TABLEAU 3</w:t>
      </w:r>
    </w:p>
    <w:p w:rsidR="002B014C" w:rsidRPr="002B014C" w:rsidRDefault="002B014C" w:rsidP="00E401CF">
      <w:pPr>
        <w:pStyle w:val="Tabletitle"/>
        <w:rPr>
          <w:lang w:eastAsia="ja-JP"/>
        </w:rPr>
      </w:pPr>
      <w:r w:rsidRPr="002B014C">
        <w:rPr>
          <w:lang w:eastAsia="ja-JP"/>
        </w:rPr>
        <w:t xml:space="preserve">Tableau des points de rupture correspondant à la Fig. 6 pour le système C (ISDB-T) </w:t>
      </w:r>
      <w:r w:rsidRPr="002B014C">
        <w:rPr>
          <w:lang w:eastAsia="ja-JP"/>
        </w:rPr>
        <w:br/>
        <w:t>utilisant un découpage en canaux de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2B014C" w:rsidRPr="002B014C" w:rsidTr="002B014C">
        <w:trPr>
          <w:jc w:val="center"/>
        </w:trPr>
        <w:tc>
          <w:tcPr>
            <w:tcW w:w="2459" w:type="dxa"/>
            <w:vMerge w:val="restart"/>
            <w:vAlign w:val="center"/>
          </w:tcPr>
          <w:p w:rsidR="002B014C" w:rsidRPr="002B014C" w:rsidRDefault="002B014C" w:rsidP="00E401CF">
            <w:pPr>
              <w:pStyle w:val="Tablehead"/>
              <w:rPr>
                <w:lang w:eastAsia="ja-JP"/>
              </w:rPr>
            </w:pPr>
            <w:r w:rsidRPr="002B014C">
              <w:t>Fréquence par rapport au centre du canal de 6 MHz (MHz)</w:t>
            </w:r>
          </w:p>
        </w:tc>
        <w:tc>
          <w:tcPr>
            <w:tcW w:w="7378" w:type="dxa"/>
            <w:gridSpan w:val="3"/>
            <w:vAlign w:val="center"/>
          </w:tcPr>
          <w:p w:rsidR="002B014C" w:rsidRPr="002B014C" w:rsidRDefault="002B014C" w:rsidP="00E401CF">
            <w:pPr>
              <w:pStyle w:val="Tablehead"/>
              <w:rPr>
                <w:lang w:eastAsia="ja-JP"/>
              </w:rPr>
            </w:pPr>
            <w:r w:rsidRPr="002B014C">
              <w:t>Niveau relatif dans une largeur de bande de mesure de 4 kHz (dB)</w:t>
            </w:r>
          </w:p>
        </w:tc>
      </w:tr>
      <w:tr w:rsidR="002B014C" w:rsidRPr="002B014C" w:rsidTr="002B014C">
        <w:trPr>
          <w:jc w:val="center"/>
        </w:trPr>
        <w:tc>
          <w:tcPr>
            <w:tcW w:w="2459" w:type="dxa"/>
            <w:vMerge/>
            <w:vAlign w:val="center"/>
          </w:tcPr>
          <w:p w:rsidR="002B014C" w:rsidRPr="002B014C" w:rsidRDefault="002B014C" w:rsidP="00E401CF">
            <w:pPr>
              <w:pStyle w:val="Tablehead"/>
              <w:rPr>
                <w:lang w:eastAsia="ja-JP"/>
              </w:rPr>
            </w:pPr>
          </w:p>
        </w:tc>
        <w:tc>
          <w:tcPr>
            <w:tcW w:w="2459" w:type="dxa"/>
            <w:vAlign w:val="center"/>
          </w:tcPr>
          <w:p w:rsidR="002B014C" w:rsidRPr="002B014C" w:rsidRDefault="002B014C" w:rsidP="00E401CF">
            <w:pPr>
              <w:pStyle w:val="Tablehead"/>
              <w:rPr>
                <w:lang w:eastAsia="ja-JP"/>
              </w:rPr>
            </w:pPr>
            <w:r w:rsidRPr="002B014C">
              <w:t>Gabarit d'émission non critique</w:t>
            </w:r>
          </w:p>
        </w:tc>
        <w:tc>
          <w:tcPr>
            <w:tcW w:w="2459" w:type="dxa"/>
            <w:vAlign w:val="center"/>
          </w:tcPr>
          <w:p w:rsidR="002B014C" w:rsidRPr="002B014C" w:rsidRDefault="002B014C" w:rsidP="00E401CF">
            <w:pPr>
              <w:pStyle w:val="Tablehead"/>
              <w:rPr>
                <w:lang w:eastAsia="ja-JP"/>
              </w:rPr>
            </w:pPr>
            <w:r w:rsidRPr="002B014C">
              <w:t>Gabarit d'émission sous critique</w:t>
            </w:r>
          </w:p>
        </w:tc>
        <w:tc>
          <w:tcPr>
            <w:tcW w:w="2460" w:type="dxa"/>
            <w:vAlign w:val="center"/>
          </w:tcPr>
          <w:p w:rsidR="002B014C" w:rsidRPr="002B014C" w:rsidRDefault="002B014C" w:rsidP="00E401CF">
            <w:pPr>
              <w:pStyle w:val="Tablehead"/>
              <w:rPr>
                <w:lang w:eastAsia="ja-JP"/>
              </w:rPr>
            </w:pPr>
            <w:r w:rsidRPr="002B014C">
              <w:t>Gabarit d'émission critique</w:t>
            </w:r>
          </w:p>
        </w:tc>
      </w:tr>
      <w:tr w:rsidR="002B014C" w:rsidRPr="00E401CF" w:rsidTr="002B014C">
        <w:trPr>
          <w:jc w:val="center"/>
        </w:trPr>
        <w:tc>
          <w:tcPr>
            <w:tcW w:w="2459" w:type="dxa"/>
          </w:tcPr>
          <w:p w:rsidR="002B014C" w:rsidRPr="00BD0068" w:rsidRDefault="002B014C" w:rsidP="00BD0068">
            <w:pPr>
              <w:pStyle w:val="Tabletext"/>
              <w:jc w:val="center"/>
              <w:rPr>
                <w:szCs w:val="22"/>
                <w:lang w:eastAsia="ja-JP"/>
              </w:rPr>
            </w:pPr>
            <w:r w:rsidRPr="00BD0068">
              <w:rPr>
                <w:szCs w:val="22"/>
                <w:lang w:eastAsia="ja-JP"/>
              </w:rPr>
              <w:t>–15</w:t>
            </w:r>
          </w:p>
        </w:tc>
        <w:tc>
          <w:tcPr>
            <w:tcW w:w="2459" w:type="dxa"/>
          </w:tcPr>
          <w:p w:rsidR="002B014C" w:rsidRPr="00BD0068" w:rsidRDefault="002B014C" w:rsidP="00BD0068">
            <w:pPr>
              <w:pStyle w:val="Tabletext"/>
              <w:jc w:val="center"/>
              <w:rPr>
                <w:szCs w:val="22"/>
                <w:lang w:eastAsia="ja-JP"/>
              </w:rPr>
            </w:pPr>
            <w:r w:rsidRPr="00BD0068">
              <w:rPr>
                <w:szCs w:val="22"/>
                <w:lang w:eastAsia="ja-JP"/>
              </w:rPr>
              <w:t>–114,4</w:t>
            </w:r>
          </w:p>
        </w:tc>
        <w:tc>
          <w:tcPr>
            <w:tcW w:w="2459" w:type="dxa"/>
          </w:tcPr>
          <w:p w:rsidR="002B014C" w:rsidRPr="00BD0068" w:rsidRDefault="002B014C" w:rsidP="00BD0068">
            <w:pPr>
              <w:pStyle w:val="Tabletext"/>
              <w:jc w:val="center"/>
              <w:rPr>
                <w:szCs w:val="22"/>
                <w:lang w:eastAsia="ja-JP"/>
              </w:rPr>
            </w:pPr>
            <w:r w:rsidRPr="00BD0068">
              <w:rPr>
                <w:szCs w:val="22"/>
                <w:lang w:eastAsia="ja-JP"/>
              </w:rPr>
              <w:t>–121,4</w:t>
            </w:r>
          </w:p>
        </w:tc>
        <w:tc>
          <w:tcPr>
            <w:tcW w:w="2460" w:type="dxa"/>
          </w:tcPr>
          <w:p w:rsidR="002B014C" w:rsidRPr="00BD0068" w:rsidRDefault="002B014C" w:rsidP="00BD0068">
            <w:pPr>
              <w:pStyle w:val="Tabletext"/>
              <w:jc w:val="center"/>
              <w:rPr>
                <w:szCs w:val="22"/>
                <w:lang w:eastAsia="ja-JP"/>
              </w:rPr>
            </w:pPr>
            <w:r w:rsidRPr="00BD0068">
              <w:rPr>
                <w:szCs w:val="22"/>
                <w:lang w:eastAsia="ja-JP"/>
              </w:rPr>
              <w:t>–128,4</w:t>
            </w:r>
          </w:p>
        </w:tc>
      </w:tr>
      <w:tr w:rsidR="002B014C" w:rsidRPr="00E401CF" w:rsidTr="002B014C">
        <w:trPr>
          <w:jc w:val="center"/>
        </w:trPr>
        <w:tc>
          <w:tcPr>
            <w:tcW w:w="2459" w:type="dxa"/>
          </w:tcPr>
          <w:p w:rsidR="002B014C" w:rsidRPr="00BD0068" w:rsidRDefault="002B014C" w:rsidP="00BD0068">
            <w:pPr>
              <w:pStyle w:val="Tabletext"/>
              <w:jc w:val="center"/>
              <w:rPr>
                <w:szCs w:val="22"/>
                <w:lang w:eastAsia="ja-JP"/>
              </w:rPr>
            </w:pPr>
            <w:r w:rsidRPr="00BD0068">
              <w:rPr>
                <w:szCs w:val="22"/>
                <w:lang w:eastAsia="ja-JP"/>
              </w:rPr>
              <w:t>–9</w:t>
            </w:r>
          </w:p>
        </w:tc>
        <w:tc>
          <w:tcPr>
            <w:tcW w:w="2459" w:type="dxa"/>
          </w:tcPr>
          <w:p w:rsidR="002B014C" w:rsidRPr="00BD0068" w:rsidRDefault="002B014C" w:rsidP="00BD0068">
            <w:pPr>
              <w:pStyle w:val="Tabletext"/>
              <w:jc w:val="center"/>
              <w:rPr>
                <w:szCs w:val="22"/>
                <w:lang w:eastAsia="ja-JP"/>
              </w:rPr>
            </w:pPr>
            <w:r w:rsidRPr="00BD0068">
              <w:rPr>
                <w:szCs w:val="22"/>
                <w:lang w:eastAsia="ja-JP"/>
              </w:rPr>
              <w:t>–114,4</w:t>
            </w:r>
          </w:p>
        </w:tc>
        <w:tc>
          <w:tcPr>
            <w:tcW w:w="2459" w:type="dxa"/>
          </w:tcPr>
          <w:p w:rsidR="002B014C" w:rsidRPr="00BD0068" w:rsidRDefault="002B014C" w:rsidP="00BD0068">
            <w:pPr>
              <w:pStyle w:val="Tabletext"/>
              <w:jc w:val="center"/>
              <w:rPr>
                <w:szCs w:val="22"/>
                <w:lang w:eastAsia="ja-JP"/>
              </w:rPr>
            </w:pPr>
            <w:r w:rsidRPr="00BD0068">
              <w:rPr>
                <w:szCs w:val="22"/>
                <w:lang w:eastAsia="ja-JP"/>
              </w:rPr>
              <w:t>–121,4</w:t>
            </w:r>
          </w:p>
        </w:tc>
        <w:tc>
          <w:tcPr>
            <w:tcW w:w="2460" w:type="dxa"/>
          </w:tcPr>
          <w:p w:rsidR="002B014C" w:rsidRPr="00BD0068" w:rsidRDefault="002B014C" w:rsidP="00BD0068">
            <w:pPr>
              <w:pStyle w:val="Tabletext"/>
              <w:jc w:val="center"/>
              <w:rPr>
                <w:szCs w:val="22"/>
                <w:lang w:eastAsia="ja-JP"/>
              </w:rPr>
            </w:pPr>
            <w:r w:rsidRPr="00BD0068">
              <w:rPr>
                <w:szCs w:val="22"/>
                <w:lang w:eastAsia="ja-JP"/>
              </w:rPr>
              <w:t>–128,4</w:t>
            </w:r>
          </w:p>
        </w:tc>
      </w:tr>
      <w:tr w:rsidR="002B014C" w:rsidRPr="00E401CF" w:rsidTr="002B014C">
        <w:trPr>
          <w:jc w:val="center"/>
        </w:trPr>
        <w:tc>
          <w:tcPr>
            <w:tcW w:w="2459" w:type="dxa"/>
          </w:tcPr>
          <w:p w:rsidR="002B014C" w:rsidRPr="00BD0068" w:rsidRDefault="002B014C" w:rsidP="00BD0068">
            <w:pPr>
              <w:pStyle w:val="Tabletext"/>
              <w:jc w:val="center"/>
              <w:rPr>
                <w:szCs w:val="22"/>
                <w:lang w:eastAsia="ja-JP"/>
              </w:rPr>
            </w:pPr>
            <w:r w:rsidRPr="00BD0068">
              <w:rPr>
                <w:szCs w:val="22"/>
                <w:lang w:eastAsia="ja-JP"/>
              </w:rPr>
              <w:t>–4,5</w:t>
            </w:r>
          </w:p>
        </w:tc>
        <w:tc>
          <w:tcPr>
            <w:tcW w:w="2459" w:type="dxa"/>
          </w:tcPr>
          <w:p w:rsidR="002B014C" w:rsidRPr="00BD0068" w:rsidRDefault="002B014C" w:rsidP="00BD0068">
            <w:pPr>
              <w:pStyle w:val="Tabletext"/>
              <w:jc w:val="center"/>
              <w:rPr>
                <w:szCs w:val="22"/>
                <w:lang w:eastAsia="ja-JP"/>
              </w:rPr>
            </w:pPr>
            <w:r w:rsidRPr="00BD0068">
              <w:rPr>
                <w:szCs w:val="22"/>
                <w:lang w:eastAsia="ja-JP"/>
              </w:rPr>
              <w:t>–84,4</w:t>
            </w:r>
          </w:p>
        </w:tc>
        <w:tc>
          <w:tcPr>
            <w:tcW w:w="2459" w:type="dxa"/>
          </w:tcPr>
          <w:p w:rsidR="002B014C" w:rsidRPr="00BD0068" w:rsidRDefault="002B014C" w:rsidP="00BD0068">
            <w:pPr>
              <w:pStyle w:val="Tabletext"/>
              <w:jc w:val="center"/>
              <w:rPr>
                <w:szCs w:val="22"/>
                <w:lang w:eastAsia="ja-JP"/>
              </w:rPr>
            </w:pPr>
            <w:r w:rsidRPr="00BD0068">
              <w:rPr>
                <w:szCs w:val="22"/>
                <w:lang w:eastAsia="ja-JP"/>
              </w:rPr>
              <w:t>–91,4</w:t>
            </w:r>
          </w:p>
        </w:tc>
        <w:tc>
          <w:tcPr>
            <w:tcW w:w="2460" w:type="dxa"/>
          </w:tcPr>
          <w:p w:rsidR="002B014C" w:rsidRPr="00BD0068" w:rsidRDefault="002B014C" w:rsidP="00BD0068">
            <w:pPr>
              <w:pStyle w:val="Tabletext"/>
              <w:jc w:val="center"/>
              <w:rPr>
                <w:szCs w:val="22"/>
                <w:lang w:eastAsia="ja-JP"/>
              </w:rPr>
            </w:pPr>
            <w:r w:rsidRPr="00BD0068">
              <w:rPr>
                <w:szCs w:val="22"/>
                <w:lang w:eastAsia="ja-JP"/>
              </w:rPr>
              <w:t>–98,4</w:t>
            </w:r>
          </w:p>
        </w:tc>
      </w:tr>
      <w:tr w:rsidR="002B014C" w:rsidRPr="00E401CF" w:rsidTr="002B014C">
        <w:trPr>
          <w:jc w:val="center"/>
        </w:trPr>
        <w:tc>
          <w:tcPr>
            <w:tcW w:w="2459" w:type="dxa"/>
          </w:tcPr>
          <w:p w:rsidR="002B014C" w:rsidRPr="00BD0068" w:rsidRDefault="002B014C" w:rsidP="00BD0068">
            <w:pPr>
              <w:pStyle w:val="Tabletext"/>
              <w:jc w:val="center"/>
              <w:rPr>
                <w:szCs w:val="22"/>
                <w:lang w:eastAsia="ja-JP"/>
              </w:rPr>
            </w:pPr>
            <w:r w:rsidRPr="00BD0068">
              <w:rPr>
                <w:szCs w:val="22"/>
                <w:lang w:eastAsia="ja-JP"/>
              </w:rPr>
              <w:t>–3,15</w:t>
            </w:r>
          </w:p>
        </w:tc>
        <w:tc>
          <w:tcPr>
            <w:tcW w:w="2459" w:type="dxa"/>
          </w:tcPr>
          <w:p w:rsidR="002B014C" w:rsidRPr="00BD0068" w:rsidRDefault="002B014C" w:rsidP="00BD0068">
            <w:pPr>
              <w:pStyle w:val="Tabletext"/>
              <w:jc w:val="center"/>
              <w:rPr>
                <w:szCs w:val="22"/>
                <w:lang w:eastAsia="ja-JP"/>
              </w:rPr>
            </w:pPr>
            <w:r w:rsidRPr="00BD0068">
              <w:rPr>
                <w:szCs w:val="22"/>
                <w:lang w:eastAsia="ja-JP"/>
              </w:rPr>
              <w:t>–67,4</w:t>
            </w:r>
          </w:p>
        </w:tc>
        <w:tc>
          <w:tcPr>
            <w:tcW w:w="2459" w:type="dxa"/>
          </w:tcPr>
          <w:p w:rsidR="002B014C" w:rsidRPr="00BD0068" w:rsidRDefault="002B014C" w:rsidP="00BD0068">
            <w:pPr>
              <w:pStyle w:val="Tabletext"/>
              <w:jc w:val="center"/>
              <w:rPr>
                <w:szCs w:val="22"/>
                <w:lang w:eastAsia="ja-JP"/>
              </w:rPr>
            </w:pPr>
            <w:r w:rsidRPr="00BD0068">
              <w:rPr>
                <w:szCs w:val="22"/>
                <w:lang w:eastAsia="ja-JP"/>
              </w:rPr>
              <w:t>–74,4</w:t>
            </w:r>
          </w:p>
        </w:tc>
        <w:tc>
          <w:tcPr>
            <w:tcW w:w="2460" w:type="dxa"/>
          </w:tcPr>
          <w:p w:rsidR="002B014C" w:rsidRPr="00BD0068" w:rsidRDefault="002B014C" w:rsidP="00BD0068">
            <w:pPr>
              <w:pStyle w:val="Tabletext"/>
              <w:jc w:val="center"/>
              <w:rPr>
                <w:szCs w:val="22"/>
                <w:lang w:eastAsia="ja-JP"/>
              </w:rPr>
            </w:pPr>
            <w:r w:rsidRPr="00BD0068">
              <w:rPr>
                <w:szCs w:val="22"/>
                <w:lang w:eastAsia="ja-JP"/>
              </w:rPr>
              <w:t>–81,4</w:t>
            </w:r>
          </w:p>
        </w:tc>
      </w:tr>
      <w:tr w:rsidR="002B014C" w:rsidRPr="00E401CF" w:rsidTr="002B014C">
        <w:trPr>
          <w:jc w:val="center"/>
        </w:trPr>
        <w:tc>
          <w:tcPr>
            <w:tcW w:w="2459" w:type="dxa"/>
          </w:tcPr>
          <w:p w:rsidR="002B014C" w:rsidRPr="00BD0068" w:rsidRDefault="002B014C" w:rsidP="00BD0068">
            <w:pPr>
              <w:pStyle w:val="Tabletext"/>
              <w:jc w:val="center"/>
              <w:rPr>
                <w:szCs w:val="22"/>
                <w:lang w:eastAsia="ja-JP"/>
              </w:rPr>
            </w:pPr>
            <w:r w:rsidRPr="00BD0068">
              <w:rPr>
                <w:szCs w:val="22"/>
                <w:lang w:eastAsia="ja-JP"/>
              </w:rPr>
              <w:t>–3</w:t>
            </w:r>
          </w:p>
        </w:tc>
        <w:tc>
          <w:tcPr>
            <w:tcW w:w="2459" w:type="dxa"/>
          </w:tcPr>
          <w:p w:rsidR="002B014C" w:rsidRPr="00BD0068" w:rsidRDefault="002B014C" w:rsidP="00BD0068">
            <w:pPr>
              <w:pStyle w:val="Tabletext"/>
              <w:jc w:val="center"/>
              <w:rPr>
                <w:szCs w:val="22"/>
                <w:lang w:eastAsia="ja-JP"/>
              </w:rPr>
            </w:pPr>
            <w:r w:rsidRPr="00BD0068">
              <w:rPr>
                <w:szCs w:val="22"/>
                <w:lang w:eastAsia="ja-JP"/>
              </w:rPr>
              <w:t>–58,4</w:t>
            </w:r>
          </w:p>
        </w:tc>
        <w:tc>
          <w:tcPr>
            <w:tcW w:w="2459" w:type="dxa"/>
          </w:tcPr>
          <w:p w:rsidR="002B014C" w:rsidRPr="00BD0068" w:rsidRDefault="002B014C" w:rsidP="00BD0068">
            <w:pPr>
              <w:pStyle w:val="Tabletext"/>
              <w:jc w:val="center"/>
              <w:rPr>
                <w:szCs w:val="22"/>
                <w:lang w:eastAsia="ja-JP"/>
              </w:rPr>
            </w:pPr>
            <w:r w:rsidRPr="00BD0068">
              <w:rPr>
                <w:szCs w:val="22"/>
                <w:lang w:eastAsia="ja-JP"/>
              </w:rPr>
              <w:t>–65,4</w:t>
            </w:r>
          </w:p>
        </w:tc>
        <w:tc>
          <w:tcPr>
            <w:tcW w:w="2460" w:type="dxa"/>
          </w:tcPr>
          <w:p w:rsidR="002B014C" w:rsidRPr="00BD0068" w:rsidRDefault="002B014C" w:rsidP="00BD0068">
            <w:pPr>
              <w:pStyle w:val="Tabletext"/>
              <w:jc w:val="center"/>
              <w:rPr>
                <w:szCs w:val="22"/>
                <w:lang w:eastAsia="ja-JP"/>
              </w:rPr>
            </w:pPr>
            <w:r w:rsidRPr="00BD0068">
              <w:rPr>
                <w:szCs w:val="22"/>
                <w:lang w:eastAsia="ja-JP"/>
              </w:rPr>
              <w:t>–65,4</w:t>
            </w:r>
          </w:p>
        </w:tc>
      </w:tr>
      <w:tr w:rsidR="002B014C" w:rsidRPr="00E401CF" w:rsidTr="002B014C">
        <w:trPr>
          <w:jc w:val="center"/>
        </w:trPr>
        <w:tc>
          <w:tcPr>
            <w:tcW w:w="2459" w:type="dxa"/>
          </w:tcPr>
          <w:p w:rsidR="002B014C" w:rsidRPr="00BD0068" w:rsidRDefault="002B014C" w:rsidP="00BD0068">
            <w:pPr>
              <w:pStyle w:val="Tabletext"/>
              <w:jc w:val="center"/>
              <w:rPr>
                <w:szCs w:val="22"/>
                <w:lang w:eastAsia="ja-JP"/>
              </w:rPr>
            </w:pPr>
            <w:r w:rsidRPr="00BD0068">
              <w:rPr>
                <w:szCs w:val="22"/>
                <w:lang w:eastAsia="ja-JP"/>
              </w:rPr>
              <w:t>–2,86</w:t>
            </w:r>
          </w:p>
        </w:tc>
        <w:tc>
          <w:tcPr>
            <w:tcW w:w="2459" w:type="dxa"/>
          </w:tcPr>
          <w:p w:rsidR="002B014C" w:rsidRPr="00BD0068" w:rsidRDefault="002B014C" w:rsidP="00BD0068">
            <w:pPr>
              <w:pStyle w:val="Tabletext"/>
              <w:jc w:val="center"/>
              <w:rPr>
                <w:szCs w:val="22"/>
                <w:lang w:eastAsia="ja-JP"/>
              </w:rPr>
            </w:pPr>
            <w:r w:rsidRPr="00BD0068">
              <w:rPr>
                <w:szCs w:val="22"/>
                <w:lang w:eastAsia="ja-JP"/>
              </w:rPr>
              <w:t>–51,4</w:t>
            </w:r>
          </w:p>
        </w:tc>
        <w:tc>
          <w:tcPr>
            <w:tcW w:w="2459" w:type="dxa"/>
          </w:tcPr>
          <w:p w:rsidR="002B014C" w:rsidRPr="00BD0068" w:rsidRDefault="002B014C" w:rsidP="00BD0068">
            <w:pPr>
              <w:pStyle w:val="Tabletext"/>
              <w:jc w:val="center"/>
              <w:rPr>
                <w:szCs w:val="22"/>
                <w:lang w:eastAsia="ja-JP"/>
              </w:rPr>
            </w:pPr>
            <w:r w:rsidRPr="00BD0068">
              <w:rPr>
                <w:szCs w:val="22"/>
                <w:lang w:eastAsia="ja-JP"/>
              </w:rPr>
              <w:t>–51,4</w:t>
            </w:r>
          </w:p>
        </w:tc>
        <w:tc>
          <w:tcPr>
            <w:tcW w:w="2460" w:type="dxa"/>
          </w:tcPr>
          <w:p w:rsidR="002B014C" w:rsidRPr="00BD0068" w:rsidRDefault="002B014C" w:rsidP="00BD0068">
            <w:pPr>
              <w:pStyle w:val="Tabletext"/>
              <w:jc w:val="center"/>
              <w:rPr>
                <w:szCs w:val="22"/>
                <w:lang w:eastAsia="ja-JP"/>
              </w:rPr>
            </w:pPr>
            <w:r w:rsidRPr="00BD0068">
              <w:rPr>
                <w:szCs w:val="22"/>
                <w:lang w:eastAsia="ja-JP"/>
              </w:rPr>
              <w:t>–51,4</w:t>
            </w:r>
          </w:p>
        </w:tc>
      </w:tr>
      <w:tr w:rsidR="002B014C" w:rsidRPr="00E401CF" w:rsidTr="002B014C">
        <w:trPr>
          <w:jc w:val="center"/>
        </w:trPr>
        <w:tc>
          <w:tcPr>
            <w:tcW w:w="2459" w:type="dxa"/>
          </w:tcPr>
          <w:p w:rsidR="002B014C" w:rsidRPr="00BD0068" w:rsidRDefault="002B014C" w:rsidP="00BD0068">
            <w:pPr>
              <w:pStyle w:val="Tabletext"/>
              <w:jc w:val="center"/>
              <w:rPr>
                <w:szCs w:val="22"/>
                <w:lang w:eastAsia="ja-JP"/>
              </w:rPr>
            </w:pPr>
            <w:r w:rsidRPr="00BD0068">
              <w:rPr>
                <w:szCs w:val="22"/>
                <w:lang w:eastAsia="ja-JP"/>
              </w:rPr>
              <w:t>–2,79</w:t>
            </w:r>
          </w:p>
        </w:tc>
        <w:tc>
          <w:tcPr>
            <w:tcW w:w="2459" w:type="dxa"/>
          </w:tcPr>
          <w:p w:rsidR="002B014C" w:rsidRPr="00BD0068" w:rsidRDefault="002B014C" w:rsidP="00BD0068">
            <w:pPr>
              <w:pStyle w:val="Tabletext"/>
              <w:jc w:val="center"/>
              <w:rPr>
                <w:szCs w:val="22"/>
                <w:lang w:eastAsia="ja-JP"/>
              </w:rPr>
            </w:pPr>
            <w:r w:rsidRPr="00BD0068">
              <w:rPr>
                <w:szCs w:val="22"/>
                <w:lang w:eastAsia="ja-JP"/>
              </w:rPr>
              <w:t>–31,4</w:t>
            </w:r>
          </w:p>
        </w:tc>
        <w:tc>
          <w:tcPr>
            <w:tcW w:w="2459" w:type="dxa"/>
          </w:tcPr>
          <w:p w:rsidR="002B014C" w:rsidRPr="00BD0068" w:rsidRDefault="002B014C" w:rsidP="00BD0068">
            <w:pPr>
              <w:pStyle w:val="Tabletext"/>
              <w:jc w:val="center"/>
              <w:rPr>
                <w:szCs w:val="22"/>
                <w:lang w:eastAsia="ja-JP"/>
              </w:rPr>
            </w:pPr>
            <w:r w:rsidRPr="00BD0068">
              <w:rPr>
                <w:szCs w:val="22"/>
                <w:lang w:eastAsia="ja-JP"/>
              </w:rPr>
              <w:t>–31,4</w:t>
            </w:r>
          </w:p>
        </w:tc>
        <w:tc>
          <w:tcPr>
            <w:tcW w:w="2460" w:type="dxa"/>
          </w:tcPr>
          <w:p w:rsidR="002B014C" w:rsidRPr="00BD0068" w:rsidRDefault="002B014C" w:rsidP="00BD0068">
            <w:pPr>
              <w:pStyle w:val="Tabletext"/>
              <w:jc w:val="center"/>
              <w:rPr>
                <w:szCs w:val="22"/>
                <w:lang w:eastAsia="ja-JP"/>
              </w:rPr>
            </w:pPr>
            <w:r w:rsidRPr="00BD0068">
              <w:rPr>
                <w:szCs w:val="22"/>
                <w:lang w:eastAsia="ja-JP"/>
              </w:rPr>
              <w:t>–31,4</w:t>
            </w:r>
          </w:p>
        </w:tc>
      </w:tr>
      <w:tr w:rsidR="002B014C" w:rsidRPr="00E401CF" w:rsidTr="002B014C">
        <w:trPr>
          <w:jc w:val="center"/>
        </w:trPr>
        <w:tc>
          <w:tcPr>
            <w:tcW w:w="2459" w:type="dxa"/>
          </w:tcPr>
          <w:p w:rsidR="002B014C" w:rsidRPr="00BD0068" w:rsidRDefault="002B014C" w:rsidP="00BD0068">
            <w:pPr>
              <w:pStyle w:val="Tabletext"/>
              <w:jc w:val="center"/>
              <w:rPr>
                <w:szCs w:val="22"/>
                <w:lang w:eastAsia="ja-JP"/>
              </w:rPr>
            </w:pPr>
            <w:r w:rsidRPr="00BD0068">
              <w:rPr>
                <w:szCs w:val="22"/>
                <w:lang w:eastAsia="ja-JP"/>
              </w:rPr>
              <w:t>2,79</w:t>
            </w:r>
          </w:p>
        </w:tc>
        <w:tc>
          <w:tcPr>
            <w:tcW w:w="2459" w:type="dxa"/>
          </w:tcPr>
          <w:p w:rsidR="002B014C" w:rsidRPr="00BD0068" w:rsidRDefault="002B014C" w:rsidP="00BD0068">
            <w:pPr>
              <w:pStyle w:val="Tabletext"/>
              <w:jc w:val="center"/>
              <w:rPr>
                <w:szCs w:val="22"/>
                <w:lang w:eastAsia="ja-JP"/>
              </w:rPr>
            </w:pPr>
            <w:r w:rsidRPr="00BD0068">
              <w:rPr>
                <w:szCs w:val="22"/>
                <w:lang w:eastAsia="ja-JP"/>
              </w:rPr>
              <w:t>–31,4</w:t>
            </w:r>
          </w:p>
        </w:tc>
        <w:tc>
          <w:tcPr>
            <w:tcW w:w="2459" w:type="dxa"/>
          </w:tcPr>
          <w:p w:rsidR="002B014C" w:rsidRPr="00BD0068" w:rsidRDefault="002B014C" w:rsidP="00BD0068">
            <w:pPr>
              <w:pStyle w:val="Tabletext"/>
              <w:jc w:val="center"/>
              <w:rPr>
                <w:szCs w:val="22"/>
                <w:lang w:eastAsia="ja-JP"/>
              </w:rPr>
            </w:pPr>
            <w:r w:rsidRPr="00BD0068">
              <w:rPr>
                <w:szCs w:val="22"/>
                <w:lang w:eastAsia="ja-JP"/>
              </w:rPr>
              <w:t>–31,4</w:t>
            </w:r>
          </w:p>
        </w:tc>
        <w:tc>
          <w:tcPr>
            <w:tcW w:w="2460" w:type="dxa"/>
          </w:tcPr>
          <w:p w:rsidR="002B014C" w:rsidRPr="00BD0068" w:rsidRDefault="002B014C" w:rsidP="00BD0068">
            <w:pPr>
              <w:pStyle w:val="Tabletext"/>
              <w:jc w:val="center"/>
              <w:rPr>
                <w:szCs w:val="22"/>
                <w:lang w:eastAsia="ja-JP"/>
              </w:rPr>
            </w:pPr>
            <w:r w:rsidRPr="00BD0068">
              <w:rPr>
                <w:szCs w:val="22"/>
                <w:lang w:eastAsia="ja-JP"/>
              </w:rPr>
              <w:t>–31,4</w:t>
            </w:r>
          </w:p>
        </w:tc>
      </w:tr>
      <w:tr w:rsidR="002B014C" w:rsidRPr="00E401CF" w:rsidTr="002B014C">
        <w:trPr>
          <w:jc w:val="center"/>
        </w:trPr>
        <w:tc>
          <w:tcPr>
            <w:tcW w:w="2459" w:type="dxa"/>
          </w:tcPr>
          <w:p w:rsidR="002B014C" w:rsidRPr="00BD0068" w:rsidRDefault="002B014C" w:rsidP="00BD0068">
            <w:pPr>
              <w:pStyle w:val="Tabletext"/>
              <w:jc w:val="center"/>
              <w:rPr>
                <w:szCs w:val="22"/>
                <w:lang w:eastAsia="ja-JP"/>
              </w:rPr>
            </w:pPr>
            <w:r w:rsidRPr="00BD0068">
              <w:rPr>
                <w:szCs w:val="22"/>
                <w:lang w:eastAsia="ja-JP"/>
              </w:rPr>
              <w:t>2,86</w:t>
            </w:r>
          </w:p>
        </w:tc>
        <w:tc>
          <w:tcPr>
            <w:tcW w:w="2459" w:type="dxa"/>
          </w:tcPr>
          <w:p w:rsidR="002B014C" w:rsidRPr="00BD0068" w:rsidRDefault="002B014C" w:rsidP="00BD0068">
            <w:pPr>
              <w:pStyle w:val="Tabletext"/>
              <w:jc w:val="center"/>
              <w:rPr>
                <w:szCs w:val="22"/>
                <w:lang w:eastAsia="ja-JP"/>
              </w:rPr>
            </w:pPr>
            <w:r w:rsidRPr="00BD0068">
              <w:rPr>
                <w:szCs w:val="22"/>
                <w:lang w:eastAsia="ja-JP"/>
              </w:rPr>
              <w:t>–51,4</w:t>
            </w:r>
          </w:p>
        </w:tc>
        <w:tc>
          <w:tcPr>
            <w:tcW w:w="2459" w:type="dxa"/>
          </w:tcPr>
          <w:p w:rsidR="002B014C" w:rsidRPr="00BD0068" w:rsidRDefault="002B014C" w:rsidP="00BD0068">
            <w:pPr>
              <w:pStyle w:val="Tabletext"/>
              <w:jc w:val="center"/>
              <w:rPr>
                <w:szCs w:val="22"/>
                <w:lang w:eastAsia="ja-JP"/>
              </w:rPr>
            </w:pPr>
            <w:r w:rsidRPr="00BD0068">
              <w:rPr>
                <w:szCs w:val="22"/>
                <w:lang w:eastAsia="ja-JP"/>
              </w:rPr>
              <w:t>–51,4</w:t>
            </w:r>
          </w:p>
        </w:tc>
        <w:tc>
          <w:tcPr>
            <w:tcW w:w="2460" w:type="dxa"/>
          </w:tcPr>
          <w:p w:rsidR="002B014C" w:rsidRPr="00BD0068" w:rsidRDefault="002B014C" w:rsidP="00BD0068">
            <w:pPr>
              <w:pStyle w:val="Tabletext"/>
              <w:jc w:val="center"/>
              <w:rPr>
                <w:szCs w:val="22"/>
                <w:lang w:eastAsia="ja-JP"/>
              </w:rPr>
            </w:pPr>
            <w:r w:rsidRPr="00BD0068">
              <w:rPr>
                <w:szCs w:val="22"/>
                <w:lang w:eastAsia="ja-JP"/>
              </w:rPr>
              <w:t>–51,4</w:t>
            </w:r>
          </w:p>
        </w:tc>
      </w:tr>
      <w:tr w:rsidR="002B014C" w:rsidRPr="00E401CF" w:rsidTr="002B014C">
        <w:trPr>
          <w:jc w:val="center"/>
        </w:trPr>
        <w:tc>
          <w:tcPr>
            <w:tcW w:w="2459" w:type="dxa"/>
          </w:tcPr>
          <w:p w:rsidR="002B014C" w:rsidRPr="00BD0068" w:rsidRDefault="002B014C" w:rsidP="00BD0068">
            <w:pPr>
              <w:pStyle w:val="Tabletext"/>
              <w:jc w:val="center"/>
              <w:rPr>
                <w:szCs w:val="22"/>
                <w:lang w:eastAsia="ja-JP"/>
              </w:rPr>
            </w:pPr>
            <w:r w:rsidRPr="00BD0068">
              <w:rPr>
                <w:szCs w:val="22"/>
                <w:lang w:eastAsia="ja-JP"/>
              </w:rPr>
              <w:t>3</w:t>
            </w:r>
          </w:p>
        </w:tc>
        <w:tc>
          <w:tcPr>
            <w:tcW w:w="2459" w:type="dxa"/>
          </w:tcPr>
          <w:p w:rsidR="002B014C" w:rsidRPr="00BD0068" w:rsidRDefault="002B014C" w:rsidP="00BD0068">
            <w:pPr>
              <w:pStyle w:val="Tabletext"/>
              <w:jc w:val="center"/>
              <w:rPr>
                <w:szCs w:val="22"/>
                <w:lang w:eastAsia="ja-JP"/>
              </w:rPr>
            </w:pPr>
            <w:r w:rsidRPr="00BD0068">
              <w:rPr>
                <w:szCs w:val="22"/>
                <w:lang w:eastAsia="ja-JP"/>
              </w:rPr>
              <w:t>–58,4</w:t>
            </w:r>
          </w:p>
        </w:tc>
        <w:tc>
          <w:tcPr>
            <w:tcW w:w="2459" w:type="dxa"/>
          </w:tcPr>
          <w:p w:rsidR="002B014C" w:rsidRPr="00BD0068" w:rsidRDefault="002B014C" w:rsidP="00BD0068">
            <w:pPr>
              <w:pStyle w:val="Tabletext"/>
              <w:jc w:val="center"/>
              <w:rPr>
                <w:szCs w:val="22"/>
                <w:lang w:eastAsia="ja-JP"/>
              </w:rPr>
            </w:pPr>
            <w:r w:rsidRPr="00BD0068">
              <w:rPr>
                <w:szCs w:val="22"/>
                <w:lang w:eastAsia="ja-JP"/>
              </w:rPr>
              <w:t>–65,4</w:t>
            </w:r>
          </w:p>
        </w:tc>
        <w:tc>
          <w:tcPr>
            <w:tcW w:w="2460" w:type="dxa"/>
          </w:tcPr>
          <w:p w:rsidR="002B014C" w:rsidRPr="00BD0068" w:rsidRDefault="002B014C" w:rsidP="00BD0068">
            <w:pPr>
              <w:pStyle w:val="Tabletext"/>
              <w:jc w:val="center"/>
              <w:rPr>
                <w:szCs w:val="22"/>
                <w:lang w:eastAsia="ja-JP"/>
              </w:rPr>
            </w:pPr>
            <w:r w:rsidRPr="00BD0068">
              <w:rPr>
                <w:szCs w:val="22"/>
                <w:lang w:eastAsia="ja-JP"/>
              </w:rPr>
              <w:t>–65,4</w:t>
            </w:r>
          </w:p>
        </w:tc>
      </w:tr>
      <w:tr w:rsidR="002B014C" w:rsidRPr="00E401CF" w:rsidTr="002B014C">
        <w:trPr>
          <w:jc w:val="center"/>
        </w:trPr>
        <w:tc>
          <w:tcPr>
            <w:tcW w:w="2459" w:type="dxa"/>
          </w:tcPr>
          <w:p w:rsidR="002B014C" w:rsidRPr="00BD0068" w:rsidRDefault="002B014C" w:rsidP="00BD0068">
            <w:pPr>
              <w:pStyle w:val="Tabletext"/>
              <w:jc w:val="center"/>
              <w:rPr>
                <w:szCs w:val="22"/>
                <w:lang w:eastAsia="ja-JP"/>
              </w:rPr>
            </w:pPr>
            <w:r w:rsidRPr="00BD0068">
              <w:rPr>
                <w:szCs w:val="22"/>
                <w:lang w:eastAsia="ja-JP"/>
              </w:rPr>
              <w:t>3,15</w:t>
            </w:r>
          </w:p>
        </w:tc>
        <w:tc>
          <w:tcPr>
            <w:tcW w:w="2459" w:type="dxa"/>
          </w:tcPr>
          <w:p w:rsidR="002B014C" w:rsidRPr="00BD0068" w:rsidRDefault="002B014C" w:rsidP="00BD0068">
            <w:pPr>
              <w:pStyle w:val="Tabletext"/>
              <w:jc w:val="center"/>
              <w:rPr>
                <w:szCs w:val="22"/>
                <w:lang w:eastAsia="ja-JP"/>
              </w:rPr>
            </w:pPr>
            <w:r w:rsidRPr="00BD0068">
              <w:rPr>
                <w:szCs w:val="22"/>
                <w:lang w:eastAsia="ja-JP"/>
              </w:rPr>
              <w:t>–67,4</w:t>
            </w:r>
          </w:p>
        </w:tc>
        <w:tc>
          <w:tcPr>
            <w:tcW w:w="2459" w:type="dxa"/>
          </w:tcPr>
          <w:p w:rsidR="002B014C" w:rsidRPr="00BD0068" w:rsidRDefault="002B014C" w:rsidP="00BD0068">
            <w:pPr>
              <w:pStyle w:val="Tabletext"/>
              <w:jc w:val="center"/>
              <w:rPr>
                <w:szCs w:val="22"/>
                <w:lang w:eastAsia="ja-JP"/>
              </w:rPr>
            </w:pPr>
            <w:r w:rsidRPr="00BD0068">
              <w:rPr>
                <w:szCs w:val="22"/>
                <w:lang w:eastAsia="ja-JP"/>
              </w:rPr>
              <w:t>–74,4</w:t>
            </w:r>
          </w:p>
        </w:tc>
        <w:tc>
          <w:tcPr>
            <w:tcW w:w="2460" w:type="dxa"/>
          </w:tcPr>
          <w:p w:rsidR="002B014C" w:rsidRPr="00BD0068" w:rsidRDefault="002B014C" w:rsidP="00BD0068">
            <w:pPr>
              <w:pStyle w:val="Tabletext"/>
              <w:jc w:val="center"/>
              <w:rPr>
                <w:szCs w:val="22"/>
                <w:lang w:eastAsia="ja-JP"/>
              </w:rPr>
            </w:pPr>
            <w:r w:rsidRPr="00BD0068">
              <w:rPr>
                <w:szCs w:val="22"/>
                <w:lang w:eastAsia="ja-JP"/>
              </w:rPr>
              <w:t>–81,4</w:t>
            </w:r>
          </w:p>
        </w:tc>
      </w:tr>
      <w:tr w:rsidR="002B014C" w:rsidRPr="00E401CF" w:rsidTr="002B014C">
        <w:trPr>
          <w:jc w:val="center"/>
        </w:trPr>
        <w:tc>
          <w:tcPr>
            <w:tcW w:w="2459" w:type="dxa"/>
          </w:tcPr>
          <w:p w:rsidR="002B014C" w:rsidRPr="00BD0068" w:rsidRDefault="002B014C" w:rsidP="00BD0068">
            <w:pPr>
              <w:pStyle w:val="Tabletext"/>
              <w:jc w:val="center"/>
              <w:rPr>
                <w:szCs w:val="22"/>
                <w:lang w:eastAsia="ja-JP"/>
              </w:rPr>
            </w:pPr>
            <w:r w:rsidRPr="00BD0068">
              <w:rPr>
                <w:szCs w:val="22"/>
                <w:lang w:eastAsia="ja-JP"/>
              </w:rPr>
              <w:t>4,5</w:t>
            </w:r>
          </w:p>
        </w:tc>
        <w:tc>
          <w:tcPr>
            <w:tcW w:w="2459" w:type="dxa"/>
          </w:tcPr>
          <w:p w:rsidR="002B014C" w:rsidRPr="00BD0068" w:rsidRDefault="002B014C" w:rsidP="00BD0068">
            <w:pPr>
              <w:pStyle w:val="Tabletext"/>
              <w:jc w:val="center"/>
              <w:rPr>
                <w:szCs w:val="22"/>
                <w:lang w:eastAsia="ja-JP"/>
              </w:rPr>
            </w:pPr>
            <w:r w:rsidRPr="00BD0068">
              <w:rPr>
                <w:szCs w:val="22"/>
                <w:lang w:eastAsia="ja-JP"/>
              </w:rPr>
              <w:t>–84,4</w:t>
            </w:r>
          </w:p>
        </w:tc>
        <w:tc>
          <w:tcPr>
            <w:tcW w:w="2459" w:type="dxa"/>
          </w:tcPr>
          <w:p w:rsidR="002B014C" w:rsidRPr="00BD0068" w:rsidRDefault="002B014C" w:rsidP="00BD0068">
            <w:pPr>
              <w:pStyle w:val="Tabletext"/>
              <w:jc w:val="center"/>
              <w:rPr>
                <w:szCs w:val="22"/>
                <w:lang w:eastAsia="ja-JP"/>
              </w:rPr>
            </w:pPr>
            <w:r w:rsidRPr="00BD0068">
              <w:rPr>
                <w:szCs w:val="22"/>
                <w:lang w:eastAsia="ja-JP"/>
              </w:rPr>
              <w:t>–91,4</w:t>
            </w:r>
          </w:p>
        </w:tc>
        <w:tc>
          <w:tcPr>
            <w:tcW w:w="2460" w:type="dxa"/>
          </w:tcPr>
          <w:p w:rsidR="002B014C" w:rsidRPr="00BD0068" w:rsidRDefault="002B014C" w:rsidP="00BD0068">
            <w:pPr>
              <w:pStyle w:val="Tabletext"/>
              <w:jc w:val="center"/>
              <w:rPr>
                <w:szCs w:val="22"/>
                <w:lang w:eastAsia="ja-JP"/>
              </w:rPr>
            </w:pPr>
            <w:r w:rsidRPr="00BD0068">
              <w:rPr>
                <w:szCs w:val="22"/>
                <w:lang w:eastAsia="ja-JP"/>
              </w:rPr>
              <w:t>–98,4</w:t>
            </w:r>
          </w:p>
        </w:tc>
      </w:tr>
      <w:tr w:rsidR="002B014C" w:rsidRPr="00E401CF" w:rsidTr="002B014C">
        <w:trPr>
          <w:jc w:val="center"/>
        </w:trPr>
        <w:tc>
          <w:tcPr>
            <w:tcW w:w="2459" w:type="dxa"/>
          </w:tcPr>
          <w:p w:rsidR="002B014C" w:rsidRPr="00BD0068" w:rsidRDefault="002B014C" w:rsidP="00BD0068">
            <w:pPr>
              <w:pStyle w:val="Tabletext"/>
              <w:jc w:val="center"/>
              <w:rPr>
                <w:szCs w:val="22"/>
                <w:lang w:eastAsia="ja-JP"/>
              </w:rPr>
            </w:pPr>
            <w:r w:rsidRPr="00BD0068">
              <w:rPr>
                <w:szCs w:val="22"/>
                <w:lang w:eastAsia="ja-JP"/>
              </w:rPr>
              <w:t>9</w:t>
            </w:r>
          </w:p>
        </w:tc>
        <w:tc>
          <w:tcPr>
            <w:tcW w:w="2459" w:type="dxa"/>
          </w:tcPr>
          <w:p w:rsidR="002B014C" w:rsidRPr="00BD0068" w:rsidRDefault="002B014C" w:rsidP="00BD0068">
            <w:pPr>
              <w:pStyle w:val="Tabletext"/>
              <w:jc w:val="center"/>
              <w:rPr>
                <w:szCs w:val="22"/>
                <w:lang w:eastAsia="ja-JP"/>
              </w:rPr>
            </w:pPr>
            <w:r w:rsidRPr="00BD0068">
              <w:rPr>
                <w:szCs w:val="22"/>
                <w:lang w:eastAsia="ja-JP"/>
              </w:rPr>
              <w:t>–114,4</w:t>
            </w:r>
          </w:p>
        </w:tc>
        <w:tc>
          <w:tcPr>
            <w:tcW w:w="2459" w:type="dxa"/>
          </w:tcPr>
          <w:p w:rsidR="002B014C" w:rsidRPr="00BD0068" w:rsidRDefault="002B014C" w:rsidP="00BD0068">
            <w:pPr>
              <w:pStyle w:val="Tabletext"/>
              <w:jc w:val="center"/>
              <w:rPr>
                <w:szCs w:val="22"/>
                <w:lang w:eastAsia="ja-JP"/>
              </w:rPr>
            </w:pPr>
            <w:r w:rsidRPr="00BD0068">
              <w:rPr>
                <w:szCs w:val="22"/>
                <w:lang w:eastAsia="ja-JP"/>
              </w:rPr>
              <w:t>–121,4</w:t>
            </w:r>
          </w:p>
        </w:tc>
        <w:tc>
          <w:tcPr>
            <w:tcW w:w="2460" w:type="dxa"/>
          </w:tcPr>
          <w:p w:rsidR="002B014C" w:rsidRPr="00BD0068" w:rsidRDefault="002B014C" w:rsidP="00BD0068">
            <w:pPr>
              <w:pStyle w:val="Tabletext"/>
              <w:jc w:val="center"/>
              <w:rPr>
                <w:szCs w:val="22"/>
                <w:lang w:eastAsia="ja-JP"/>
              </w:rPr>
            </w:pPr>
            <w:r w:rsidRPr="00BD0068">
              <w:rPr>
                <w:szCs w:val="22"/>
                <w:lang w:eastAsia="ja-JP"/>
              </w:rPr>
              <w:t>–128,4</w:t>
            </w:r>
          </w:p>
        </w:tc>
      </w:tr>
      <w:tr w:rsidR="002B014C" w:rsidRPr="00E401CF" w:rsidTr="002B014C">
        <w:trPr>
          <w:jc w:val="center"/>
        </w:trPr>
        <w:tc>
          <w:tcPr>
            <w:tcW w:w="2459" w:type="dxa"/>
          </w:tcPr>
          <w:p w:rsidR="002B014C" w:rsidRPr="00BD0068" w:rsidRDefault="002B014C" w:rsidP="00BD0068">
            <w:pPr>
              <w:pStyle w:val="Tabletext"/>
              <w:jc w:val="center"/>
              <w:rPr>
                <w:szCs w:val="22"/>
                <w:lang w:eastAsia="ja-JP"/>
              </w:rPr>
            </w:pPr>
            <w:r w:rsidRPr="00BD0068">
              <w:rPr>
                <w:szCs w:val="22"/>
                <w:lang w:eastAsia="ja-JP"/>
              </w:rPr>
              <w:t>15</w:t>
            </w:r>
          </w:p>
        </w:tc>
        <w:tc>
          <w:tcPr>
            <w:tcW w:w="2459" w:type="dxa"/>
          </w:tcPr>
          <w:p w:rsidR="002B014C" w:rsidRPr="00BD0068" w:rsidRDefault="002B014C" w:rsidP="00BD0068">
            <w:pPr>
              <w:pStyle w:val="Tabletext"/>
              <w:jc w:val="center"/>
              <w:rPr>
                <w:szCs w:val="22"/>
                <w:lang w:eastAsia="ja-JP"/>
              </w:rPr>
            </w:pPr>
            <w:r w:rsidRPr="00BD0068">
              <w:rPr>
                <w:szCs w:val="22"/>
                <w:lang w:eastAsia="ja-JP"/>
              </w:rPr>
              <w:t>–114,4</w:t>
            </w:r>
          </w:p>
        </w:tc>
        <w:tc>
          <w:tcPr>
            <w:tcW w:w="2459" w:type="dxa"/>
          </w:tcPr>
          <w:p w:rsidR="002B014C" w:rsidRPr="00BD0068" w:rsidRDefault="002B014C" w:rsidP="00BD0068">
            <w:pPr>
              <w:pStyle w:val="Tabletext"/>
              <w:jc w:val="center"/>
              <w:rPr>
                <w:szCs w:val="22"/>
                <w:lang w:eastAsia="ja-JP"/>
              </w:rPr>
            </w:pPr>
            <w:r w:rsidRPr="00BD0068">
              <w:rPr>
                <w:szCs w:val="22"/>
                <w:lang w:eastAsia="ja-JP"/>
              </w:rPr>
              <w:t>–121,4</w:t>
            </w:r>
          </w:p>
        </w:tc>
        <w:tc>
          <w:tcPr>
            <w:tcW w:w="2460" w:type="dxa"/>
          </w:tcPr>
          <w:p w:rsidR="002B014C" w:rsidRPr="00BD0068" w:rsidRDefault="002B014C" w:rsidP="00BD0068">
            <w:pPr>
              <w:pStyle w:val="Tabletext"/>
              <w:jc w:val="center"/>
              <w:rPr>
                <w:szCs w:val="22"/>
                <w:lang w:eastAsia="ja-JP"/>
              </w:rPr>
            </w:pPr>
            <w:r w:rsidRPr="00BD0068">
              <w:rPr>
                <w:szCs w:val="22"/>
                <w:lang w:eastAsia="ja-JP"/>
              </w:rPr>
              <w:t>–128,4</w:t>
            </w:r>
          </w:p>
        </w:tc>
      </w:tr>
    </w:tbl>
    <w:p w:rsidR="002B014C" w:rsidRPr="002B014C" w:rsidRDefault="002B014C" w:rsidP="00535B8C">
      <w:pPr>
        <w:pStyle w:val="Tablefin"/>
        <w:rPr>
          <w:lang w:eastAsia="ja-JP"/>
        </w:rPr>
      </w:pPr>
    </w:p>
    <w:p w:rsidR="002B014C" w:rsidRPr="002B014C" w:rsidRDefault="002B014C" w:rsidP="00535B8C">
      <w:pPr>
        <w:pStyle w:val="Heading1"/>
        <w:rPr>
          <w:lang w:eastAsia="ja-JP"/>
        </w:rPr>
      </w:pPr>
      <w:r w:rsidRPr="002B014C">
        <w:rPr>
          <w:lang w:eastAsia="ja-JP"/>
        </w:rPr>
        <w:t>2</w:t>
      </w:r>
      <w:r w:rsidRPr="002B014C">
        <w:rPr>
          <w:lang w:eastAsia="ja-JP"/>
        </w:rPr>
        <w:tab/>
        <w:t>Gabarits de limite spectrale propres au système C (ISDB</w:t>
      </w:r>
      <w:r w:rsidRPr="002B014C">
        <w:rPr>
          <w:lang w:eastAsia="ja-JP"/>
        </w:rPr>
        <w:noBreakHyphen/>
        <w:t>T) utilisant un découpage en canaux de 7 MHz</w:t>
      </w:r>
    </w:p>
    <w:p w:rsidR="002B014C" w:rsidRPr="002B014C" w:rsidRDefault="002B014C" w:rsidP="00535B8C">
      <w:pPr>
        <w:rPr>
          <w:lang w:eastAsia="ja-JP"/>
        </w:rPr>
      </w:pPr>
      <w:r w:rsidRPr="002B014C">
        <w:rPr>
          <w:lang w:eastAsia="ja-JP"/>
        </w:rPr>
        <w:t>Pour un système de télévision numérique utilisant des canaux de 7 MHz, le domaine des émissions hors bande s'étend de ±3,5 MHz (c'est</w:t>
      </w:r>
      <w:r w:rsidRPr="002B014C">
        <w:rPr>
          <w:lang w:eastAsia="ja-JP"/>
        </w:rPr>
        <w:noBreakHyphen/>
        <w:t>à</w:t>
      </w:r>
      <w:r w:rsidRPr="002B014C">
        <w:rPr>
          <w:lang w:eastAsia="ja-JP"/>
        </w:rPr>
        <w:noBreakHyphen/>
        <w:t>dire ±0,5 × 7 MHz) à ±17,5 MHz (c'est</w:t>
      </w:r>
      <w:r w:rsidRPr="002B014C">
        <w:rPr>
          <w:lang w:eastAsia="ja-JP"/>
        </w:rPr>
        <w:noBreakHyphen/>
        <w:t>à</w:t>
      </w:r>
      <w:r w:rsidRPr="002B014C">
        <w:rPr>
          <w:lang w:eastAsia="ja-JP"/>
        </w:rPr>
        <w:noBreakHyphen/>
        <w:t>dire ±2,5 × 7 MHz) par rapport au centre du canal.</w:t>
      </w:r>
    </w:p>
    <w:p w:rsidR="002B014C" w:rsidRPr="002B014C" w:rsidRDefault="002B014C" w:rsidP="00535B8C">
      <w:pPr>
        <w:rPr>
          <w:lang w:eastAsia="ja-JP"/>
        </w:rPr>
      </w:pPr>
      <w:r w:rsidRPr="002B014C">
        <w:rPr>
          <w:lang w:eastAsia="ja-JP"/>
        </w:rPr>
        <w:t>Deux gabarits spectraux sont donnés dans la Fig. 7 et le Tableau 4 associé. La courbe supérieure correspond au gabarit spectral pour les cas non critiques et la courbe inférieure correspond au gabarit spectral pour les cas sensibles.</w:t>
      </w:r>
    </w:p>
    <w:p w:rsidR="002B014C" w:rsidRPr="002B014C" w:rsidRDefault="002B014C" w:rsidP="002B014C">
      <w:pPr>
        <w:keepNext/>
        <w:keepLines/>
        <w:spacing w:before="480" w:after="120"/>
        <w:jc w:val="center"/>
        <w:rPr>
          <w:caps/>
          <w:sz w:val="20"/>
          <w:lang w:eastAsia="ja-JP"/>
        </w:rPr>
      </w:pPr>
      <w:r w:rsidRPr="002B014C">
        <w:rPr>
          <w:caps/>
          <w:sz w:val="20"/>
          <w:lang w:eastAsia="ja-JP"/>
        </w:rPr>
        <w:br w:type="page"/>
      </w:r>
    </w:p>
    <w:p w:rsidR="002B014C" w:rsidRPr="002B014C" w:rsidRDefault="002B014C" w:rsidP="00942734">
      <w:pPr>
        <w:pStyle w:val="FigureNo"/>
        <w:rPr>
          <w:lang w:eastAsia="ja-JP"/>
        </w:rPr>
      </w:pPr>
      <w:r w:rsidRPr="002B014C">
        <w:rPr>
          <w:lang w:eastAsia="ja-JP"/>
        </w:rPr>
        <w:lastRenderedPageBreak/>
        <w:t>Figure 7</w:t>
      </w:r>
    </w:p>
    <w:p w:rsidR="002B014C" w:rsidRPr="002B014C" w:rsidRDefault="002B014C" w:rsidP="00942734">
      <w:pPr>
        <w:pStyle w:val="Figuretitle"/>
        <w:rPr>
          <w:sz w:val="20"/>
          <w:lang w:eastAsia="ja-JP"/>
        </w:rPr>
      </w:pPr>
      <w:r w:rsidRPr="00942734">
        <w:t xml:space="preserve">Gabarits de limite spectrale propres au système C (ISDB-T) utilisant un découpage </w:t>
      </w:r>
      <w:r w:rsidRPr="00942734">
        <w:br/>
      </w:r>
      <w:r w:rsidRPr="002B014C">
        <w:rPr>
          <w:sz w:val="20"/>
          <w:lang w:eastAsia="ja-JP"/>
        </w:rPr>
        <w:t>en canaux de 7 MHz</w:t>
      </w:r>
    </w:p>
    <w:p w:rsidR="002B014C" w:rsidRPr="002B014C" w:rsidRDefault="002B014C" w:rsidP="00942734">
      <w:pPr>
        <w:pStyle w:val="Figure"/>
      </w:pPr>
      <w:r w:rsidRPr="002B014C">
        <w:object w:dxaOrig="4708" w:dyaOrig="2416">
          <v:shape id="_x0000_i1031" type="#_x0000_t75" style="width:354.65pt;height:182.15pt" o:ole="">
            <v:imagedata r:id="rId25" o:title=""/>
          </v:shape>
          <o:OLEObject Type="Embed" ProgID="CorelDRAW.Graphic.14" ShapeID="_x0000_i1031" DrawAspect="Content" ObjectID="_1498452937" r:id="rId26"/>
        </w:object>
      </w:r>
    </w:p>
    <w:p w:rsidR="002B014C" w:rsidRPr="002B014C" w:rsidRDefault="002B014C" w:rsidP="00942734">
      <w:pPr>
        <w:pStyle w:val="TableNo"/>
        <w:rPr>
          <w:lang w:eastAsia="ja-JP"/>
        </w:rPr>
      </w:pPr>
      <w:r w:rsidRPr="002B014C">
        <w:rPr>
          <w:lang w:eastAsia="ja-JP"/>
        </w:rPr>
        <w:t>TABLEAU 4</w:t>
      </w:r>
    </w:p>
    <w:p w:rsidR="002B014C" w:rsidRPr="002B014C" w:rsidRDefault="002B014C" w:rsidP="00942734">
      <w:pPr>
        <w:pStyle w:val="Tabletitle"/>
        <w:rPr>
          <w:lang w:eastAsia="ja-JP"/>
        </w:rPr>
      </w:pPr>
      <w:r w:rsidRPr="002B014C">
        <w:rPr>
          <w:lang w:eastAsia="ja-JP"/>
        </w:rPr>
        <w:t>Tableau des points de rupture correspondant à la Fig. 7 pour le système C (ISDB-T) utilisant un découpage en canaux de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2B014C" w:rsidRPr="002B014C" w:rsidTr="002B014C">
        <w:trPr>
          <w:jc w:val="center"/>
        </w:trPr>
        <w:tc>
          <w:tcPr>
            <w:tcW w:w="2897" w:type="dxa"/>
            <w:vMerge w:val="restart"/>
            <w:vAlign w:val="center"/>
          </w:tcPr>
          <w:p w:rsidR="002B014C" w:rsidRPr="002B014C" w:rsidRDefault="002B014C" w:rsidP="00942734">
            <w:pPr>
              <w:pStyle w:val="Tablehead"/>
            </w:pPr>
            <w:r w:rsidRPr="002B014C">
              <w:t>Fréquence par rapport au centre du canal de 7 MHz (MHz)</w:t>
            </w:r>
          </w:p>
        </w:tc>
        <w:tc>
          <w:tcPr>
            <w:tcW w:w="6742" w:type="dxa"/>
            <w:gridSpan w:val="2"/>
            <w:vAlign w:val="center"/>
          </w:tcPr>
          <w:p w:rsidR="002B014C" w:rsidRPr="002B014C" w:rsidRDefault="002B014C" w:rsidP="00942734">
            <w:pPr>
              <w:pStyle w:val="Tablehead"/>
            </w:pPr>
            <w:r w:rsidRPr="002B014C">
              <w:t>Niveau relatif dans une largeur de bande de mesure de 4 kHz (dB)</w:t>
            </w:r>
          </w:p>
        </w:tc>
      </w:tr>
      <w:tr w:rsidR="002B014C" w:rsidRPr="002B014C" w:rsidTr="002B014C">
        <w:trPr>
          <w:jc w:val="center"/>
        </w:trPr>
        <w:tc>
          <w:tcPr>
            <w:tcW w:w="2897" w:type="dxa"/>
            <w:vMerge/>
            <w:vAlign w:val="center"/>
          </w:tcPr>
          <w:p w:rsidR="002B014C" w:rsidRPr="002B014C" w:rsidRDefault="002B014C" w:rsidP="00942734">
            <w:pPr>
              <w:pStyle w:val="Tablehead"/>
            </w:pPr>
          </w:p>
        </w:tc>
        <w:tc>
          <w:tcPr>
            <w:tcW w:w="3224" w:type="dxa"/>
            <w:vAlign w:val="center"/>
          </w:tcPr>
          <w:p w:rsidR="002B014C" w:rsidRPr="002B014C" w:rsidRDefault="002B014C" w:rsidP="00942734">
            <w:pPr>
              <w:pStyle w:val="Tablehead"/>
            </w:pPr>
            <w:r w:rsidRPr="002B014C">
              <w:t>Gabarit d'émission non critique</w:t>
            </w:r>
          </w:p>
        </w:tc>
        <w:tc>
          <w:tcPr>
            <w:tcW w:w="3518" w:type="dxa"/>
            <w:vAlign w:val="center"/>
          </w:tcPr>
          <w:p w:rsidR="002B014C" w:rsidRPr="002B014C" w:rsidRDefault="002B014C" w:rsidP="00942734">
            <w:pPr>
              <w:pStyle w:val="Tablehead"/>
            </w:pPr>
            <w:r w:rsidRPr="002B014C">
              <w:t>Cas sensibles</w:t>
            </w:r>
          </w:p>
        </w:tc>
      </w:tr>
      <w:tr w:rsidR="002B014C" w:rsidRPr="002B014C" w:rsidTr="002B014C">
        <w:trPr>
          <w:jc w:val="center"/>
        </w:trPr>
        <w:tc>
          <w:tcPr>
            <w:tcW w:w="2897" w:type="dxa"/>
          </w:tcPr>
          <w:p w:rsidR="002B014C" w:rsidRPr="002B014C" w:rsidRDefault="002B014C" w:rsidP="001E0BD8">
            <w:pPr>
              <w:pStyle w:val="Tabletext"/>
              <w:jc w:val="center"/>
            </w:pPr>
            <w:r w:rsidRPr="002B014C">
              <w:t>–17,5</w:t>
            </w:r>
          </w:p>
        </w:tc>
        <w:tc>
          <w:tcPr>
            <w:tcW w:w="3224" w:type="dxa"/>
          </w:tcPr>
          <w:p w:rsidR="002B014C" w:rsidRPr="002B014C" w:rsidRDefault="002B014C" w:rsidP="001E0BD8">
            <w:pPr>
              <w:pStyle w:val="Tabletext"/>
              <w:jc w:val="center"/>
            </w:pPr>
            <w:r w:rsidRPr="002B014C">
              <w:t>–110</w:t>
            </w:r>
          </w:p>
        </w:tc>
        <w:tc>
          <w:tcPr>
            <w:tcW w:w="3518" w:type="dxa"/>
          </w:tcPr>
          <w:p w:rsidR="002B014C" w:rsidRPr="002B014C" w:rsidRDefault="002B014C" w:rsidP="001E0BD8">
            <w:pPr>
              <w:pStyle w:val="Tabletext"/>
              <w:jc w:val="center"/>
            </w:pPr>
            <w:r w:rsidRPr="002B014C">
              <w:t>–120</w:t>
            </w:r>
          </w:p>
        </w:tc>
      </w:tr>
      <w:tr w:rsidR="002B014C" w:rsidRPr="002B014C" w:rsidTr="002B014C">
        <w:trPr>
          <w:jc w:val="center"/>
        </w:trPr>
        <w:tc>
          <w:tcPr>
            <w:tcW w:w="2897" w:type="dxa"/>
          </w:tcPr>
          <w:p w:rsidR="002B014C" w:rsidRPr="002B014C" w:rsidRDefault="002B014C" w:rsidP="001E0BD8">
            <w:pPr>
              <w:pStyle w:val="Tabletext"/>
              <w:jc w:val="center"/>
            </w:pPr>
            <w:r w:rsidRPr="002B014C">
              <w:t>–10,5</w:t>
            </w:r>
          </w:p>
        </w:tc>
        <w:tc>
          <w:tcPr>
            <w:tcW w:w="3224" w:type="dxa"/>
          </w:tcPr>
          <w:p w:rsidR="002B014C" w:rsidRPr="002B014C" w:rsidRDefault="002B014C" w:rsidP="001E0BD8">
            <w:pPr>
              <w:pStyle w:val="Tabletext"/>
              <w:jc w:val="center"/>
            </w:pPr>
            <w:r w:rsidRPr="002B014C">
              <w:t>–110</w:t>
            </w:r>
          </w:p>
        </w:tc>
        <w:tc>
          <w:tcPr>
            <w:tcW w:w="3518" w:type="dxa"/>
          </w:tcPr>
          <w:p w:rsidR="002B014C" w:rsidRPr="002B014C" w:rsidRDefault="002B014C" w:rsidP="001E0BD8">
            <w:pPr>
              <w:pStyle w:val="Tabletext"/>
              <w:jc w:val="center"/>
            </w:pPr>
            <w:r w:rsidRPr="002B014C">
              <w:t>–120</w:t>
            </w:r>
          </w:p>
        </w:tc>
      </w:tr>
      <w:tr w:rsidR="002B014C" w:rsidRPr="002B014C" w:rsidTr="002B014C">
        <w:trPr>
          <w:jc w:val="center"/>
        </w:trPr>
        <w:tc>
          <w:tcPr>
            <w:tcW w:w="2897" w:type="dxa"/>
          </w:tcPr>
          <w:p w:rsidR="002B014C" w:rsidRPr="002B014C" w:rsidRDefault="002B014C" w:rsidP="001E0BD8">
            <w:pPr>
              <w:pStyle w:val="Tabletext"/>
              <w:jc w:val="center"/>
            </w:pPr>
            <w:r w:rsidRPr="002B014C">
              <w:t>–5,25</w:t>
            </w:r>
          </w:p>
        </w:tc>
        <w:tc>
          <w:tcPr>
            <w:tcW w:w="3224" w:type="dxa"/>
          </w:tcPr>
          <w:p w:rsidR="002B014C" w:rsidRPr="002B014C" w:rsidRDefault="002B014C" w:rsidP="001E0BD8">
            <w:pPr>
              <w:pStyle w:val="Tabletext"/>
              <w:jc w:val="center"/>
            </w:pPr>
            <w:r w:rsidRPr="002B014C">
              <w:t>–85</w:t>
            </w:r>
          </w:p>
        </w:tc>
        <w:tc>
          <w:tcPr>
            <w:tcW w:w="3518" w:type="dxa"/>
          </w:tcPr>
          <w:p w:rsidR="002B014C" w:rsidRPr="002B014C" w:rsidRDefault="002B014C" w:rsidP="001E0BD8">
            <w:pPr>
              <w:pStyle w:val="Tabletext"/>
              <w:jc w:val="center"/>
            </w:pPr>
            <w:r w:rsidRPr="002B014C">
              <w:t>–95</w:t>
            </w:r>
          </w:p>
        </w:tc>
      </w:tr>
      <w:tr w:rsidR="002B014C" w:rsidRPr="002B014C" w:rsidTr="002B014C">
        <w:trPr>
          <w:jc w:val="center"/>
        </w:trPr>
        <w:tc>
          <w:tcPr>
            <w:tcW w:w="2897" w:type="dxa"/>
          </w:tcPr>
          <w:p w:rsidR="002B014C" w:rsidRPr="002B014C" w:rsidRDefault="002B014C" w:rsidP="001E0BD8">
            <w:pPr>
              <w:pStyle w:val="Tabletext"/>
              <w:jc w:val="center"/>
            </w:pPr>
            <w:r w:rsidRPr="002B014C">
              <w:t>–3,7</w:t>
            </w:r>
          </w:p>
        </w:tc>
        <w:tc>
          <w:tcPr>
            <w:tcW w:w="3224" w:type="dxa"/>
          </w:tcPr>
          <w:p w:rsidR="002B014C" w:rsidRPr="002B014C" w:rsidRDefault="002B014C" w:rsidP="001E0BD8">
            <w:pPr>
              <w:pStyle w:val="Tabletext"/>
              <w:jc w:val="center"/>
            </w:pPr>
            <w:r w:rsidRPr="002B014C">
              <w:t>–73</w:t>
            </w:r>
          </w:p>
        </w:tc>
        <w:tc>
          <w:tcPr>
            <w:tcW w:w="3518" w:type="dxa"/>
          </w:tcPr>
          <w:p w:rsidR="002B014C" w:rsidRPr="002B014C" w:rsidRDefault="002B014C" w:rsidP="001E0BD8">
            <w:pPr>
              <w:pStyle w:val="Tabletext"/>
              <w:jc w:val="center"/>
            </w:pPr>
            <w:r w:rsidRPr="002B014C">
              <w:t>–83</w:t>
            </w:r>
          </w:p>
        </w:tc>
      </w:tr>
      <w:tr w:rsidR="002B014C" w:rsidRPr="002B014C" w:rsidTr="002B014C">
        <w:trPr>
          <w:jc w:val="center"/>
        </w:trPr>
        <w:tc>
          <w:tcPr>
            <w:tcW w:w="2897" w:type="dxa"/>
          </w:tcPr>
          <w:p w:rsidR="002B014C" w:rsidRPr="002B014C" w:rsidRDefault="002B014C" w:rsidP="001E0BD8">
            <w:pPr>
              <w:pStyle w:val="Tabletext"/>
              <w:jc w:val="center"/>
            </w:pPr>
            <w:r w:rsidRPr="002B014C">
              <w:t>–3,34</w:t>
            </w:r>
          </w:p>
        </w:tc>
        <w:tc>
          <w:tcPr>
            <w:tcW w:w="3224" w:type="dxa"/>
          </w:tcPr>
          <w:p w:rsidR="002B014C" w:rsidRPr="002B014C" w:rsidRDefault="002B014C" w:rsidP="001E0BD8">
            <w:pPr>
              <w:pStyle w:val="Tabletext"/>
              <w:jc w:val="center"/>
            </w:pPr>
            <w:r w:rsidRPr="002B014C">
              <w:t>–52,1</w:t>
            </w:r>
          </w:p>
        </w:tc>
        <w:tc>
          <w:tcPr>
            <w:tcW w:w="3518" w:type="dxa"/>
          </w:tcPr>
          <w:p w:rsidR="002B014C" w:rsidRPr="002B014C" w:rsidRDefault="002B014C" w:rsidP="001E0BD8">
            <w:pPr>
              <w:pStyle w:val="Tabletext"/>
              <w:jc w:val="center"/>
            </w:pPr>
            <w:r w:rsidRPr="002B014C">
              <w:t>–52,1</w:t>
            </w:r>
          </w:p>
        </w:tc>
      </w:tr>
      <w:tr w:rsidR="002B014C" w:rsidRPr="002B014C" w:rsidTr="002B014C">
        <w:trPr>
          <w:jc w:val="center"/>
        </w:trPr>
        <w:tc>
          <w:tcPr>
            <w:tcW w:w="2897" w:type="dxa"/>
          </w:tcPr>
          <w:p w:rsidR="002B014C" w:rsidRPr="002B014C" w:rsidRDefault="002B014C" w:rsidP="001E0BD8">
            <w:pPr>
              <w:pStyle w:val="Tabletext"/>
              <w:jc w:val="center"/>
            </w:pPr>
            <w:r w:rsidRPr="002B014C">
              <w:t>–3,26</w:t>
            </w:r>
          </w:p>
        </w:tc>
        <w:tc>
          <w:tcPr>
            <w:tcW w:w="3224" w:type="dxa"/>
          </w:tcPr>
          <w:p w:rsidR="002B014C" w:rsidRPr="002B014C" w:rsidRDefault="002B014C" w:rsidP="001E0BD8">
            <w:pPr>
              <w:pStyle w:val="Tabletext"/>
              <w:jc w:val="center"/>
            </w:pPr>
            <w:r w:rsidRPr="002B014C">
              <w:t>–32,1</w:t>
            </w:r>
          </w:p>
        </w:tc>
        <w:tc>
          <w:tcPr>
            <w:tcW w:w="3518" w:type="dxa"/>
          </w:tcPr>
          <w:p w:rsidR="002B014C" w:rsidRPr="002B014C" w:rsidRDefault="002B014C" w:rsidP="001E0BD8">
            <w:pPr>
              <w:pStyle w:val="Tabletext"/>
              <w:jc w:val="center"/>
            </w:pPr>
            <w:r w:rsidRPr="002B014C">
              <w:t>–32,1</w:t>
            </w:r>
          </w:p>
        </w:tc>
      </w:tr>
      <w:tr w:rsidR="002B014C" w:rsidRPr="002B014C" w:rsidTr="002B014C">
        <w:trPr>
          <w:jc w:val="center"/>
        </w:trPr>
        <w:tc>
          <w:tcPr>
            <w:tcW w:w="2897" w:type="dxa"/>
          </w:tcPr>
          <w:p w:rsidR="002B014C" w:rsidRPr="002B014C" w:rsidRDefault="002B014C" w:rsidP="001E0BD8">
            <w:pPr>
              <w:pStyle w:val="Tabletext"/>
              <w:jc w:val="center"/>
            </w:pPr>
            <w:r w:rsidRPr="002B014C">
              <w:t>+3,26</w:t>
            </w:r>
          </w:p>
        </w:tc>
        <w:tc>
          <w:tcPr>
            <w:tcW w:w="3224" w:type="dxa"/>
          </w:tcPr>
          <w:p w:rsidR="002B014C" w:rsidRPr="002B014C" w:rsidRDefault="002B014C" w:rsidP="001E0BD8">
            <w:pPr>
              <w:pStyle w:val="Tabletext"/>
              <w:jc w:val="center"/>
            </w:pPr>
            <w:r w:rsidRPr="002B014C">
              <w:t>–32,1</w:t>
            </w:r>
          </w:p>
        </w:tc>
        <w:tc>
          <w:tcPr>
            <w:tcW w:w="3518" w:type="dxa"/>
          </w:tcPr>
          <w:p w:rsidR="002B014C" w:rsidRPr="002B014C" w:rsidRDefault="002B014C" w:rsidP="001E0BD8">
            <w:pPr>
              <w:pStyle w:val="Tabletext"/>
              <w:jc w:val="center"/>
            </w:pPr>
            <w:r w:rsidRPr="002B014C">
              <w:t>–32,1</w:t>
            </w:r>
          </w:p>
        </w:tc>
      </w:tr>
      <w:tr w:rsidR="002B014C" w:rsidRPr="002B014C" w:rsidTr="002B014C">
        <w:trPr>
          <w:jc w:val="center"/>
        </w:trPr>
        <w:tc>
          <w:tcPr>
            <w:tcW w:w="2897" w:type="dxa"/>
          </w:tcPr>
          <w:p w:rsidR="002B014C" w:rsidRPr="002B014C" w:rsidRDefault="002B014C" w:rsidP="001E0BD8">
            <w:pPr>
              <w:pStyle w:val="Tabletext"/>
              <w:jc w:val="center"/>
            </w:pPr>
            <w:r w:rsidRPr="002B014C">
              <w:t>+3,34</w:t>
            </w:r>
          </w:p>
        </w:tc>
        <w:tc>
          <w:tcPr>
            <w:tcW w:w="3224" w:type="dxa"/>
          </w:tcPr>
          <w:p w:rsidR="002B014C" w:rsidRPr="002B014C" w:rsidRDefault="002B014C" w:rsidP="001E0BD8">
            <w:pPr>
              <w:pStyle w:val="Tabletext"/>
              <w:jc w:val="center"/>
            </w:pPr>
            <w:r w:rsidRPr="002B014C">
              <w:t>–52,1</w:t>
            </w:r>
          </w:p>
        </w:tc>
        <w:tc>
          <w:tcPr>
            <w:tcW w:w="3518" w:type="dxa"/>
          </w:tcPr>
          <w:p w:rsidR="002B014C" w:rsidRPr="002B014C" w:rsidRDefault="002B014C" w:rsidP="001E0BD8">
            <w:pPr>
              <w:pStyle w:val="Tabletext"/>
              <w:jc w:val="center"/>
            </w:pPr>
            <w:r w:rsidRPr="002B014C">
              <w:t>–52,1</w:t>
            </w:r>
          </w:p>
        </w:tc>
      </w:tr>
      <w:tr w:rsidR="002B014C" w:rsidRPr="002B014C" w:rsidTr="002B014C">
        <w:trPr>
          <w:jc w:val="center"/>
        </w:trPr>
        <w:tc>
          <w:tcPr>
            <w:tcW w:w="2897" w:type="dxa"/>
          </w:tcPr>
          <w:p w:rsidR="002B014C" w:rsidRPr="002B014C" w:rsidRDefault="002B014C" w:rsidP="001E0BD8">
            <w:pPr>
              <w:pStyle w:val="Tabletext"/>
              <w:jc w:val="center"/>
            </w:pPr>
            <w:r w:rsidRPr="002B014C">
              <w:t>+3,7</w:t>
            </w:r>
          </w:p>
        </w:tc>
        <w:tc>
          <w:tcPr>
            <w:tcW w:w="3224" w:type="dxa"/>
          </w:tcPr>
          <w:p w:rsidR="002B014C" w:rsidRPr="002B014C" w:rsidRDefault="002B014C" w:rsidP="001E0BD8">
            <w:pPr>
              <w:pStyle w:val="Tabletext"/>
              <w:jc w:val="center"/>
            </w:pPr>
            <w:r w:rsidRPr="002B014C">
              <w:t>–73</w:t>
            </w:r>
          </w:p>
        </w:tc>
        <w:tc>
          <w:tcPr>
            <w:tcW w:w="3518" w:type="dxa"/>
          </w:tcPr>
          <w:p w:rsidR="002B014C" w:rsidRPr="002B014C" w:rsidRDefault="002B014C" w:rsidP="001E0BD8">
            <w:pPr>
              <w:pStyle w:val="Tabletext"/>
              <w:jc w:val="center"/>
            </w:pPr>
            <w:r w:rsidRPr="002B014C">
              <w:t>–83</w:t>
            </w:r>
          </w:p>
        </w:tc>
      </w:tr>
      <w:tr w:rsidR="002B014C" w:rsidRPr="002B014C" w:rsidTr="002B014C">
        <w:trPr>
          <w:jc w:val="center"/>
        </w:trPr>
        <w:tc>
          <w:tcPr>
            <w:tcW w:w="2897" w:type="dxa"/>
          </w:tcPr>
          <w:p w:rsidR="002B014C" w:rsidRPr="002B014C" w:rsidRDefault="002B014C" w:rsidP="001E0BD8">
            <w:pPr>
              <w:pStyle w:val="Tabletext"/>
              <w:jc w:val="center"/>
            </w:pPr>
            <w:r w:rsidRPr="002B014C">
              <w:t>+5,25</w:t>
            </w:r>
          </w:p>
        </w:tc>
        <w:tc>
          <w:tcPr>
            <w:tcW w:w="3224" w:type="dxa"/>
          </w:tcPr>
          <w:p w:rsidR="002B014C" w:rsidRPr="002B014C" w:rsidRDefault="002B014C" w:rsidP="001E0BD8">
            <w:pPr>
              <w:pStyle w:val="Tabletext"/>
              <w:jc w:val="center"/>
            </w:pPr>
            <w:r w:rsidRPr="002B014C">
              <w:t>–85</w:t>
            </w:r>
          </w:p>
        </w:tc>
        <w:tc>
          <w:tcPr>
            <w:tcW w:w="3518" w:type="dxa"/>
          </w:tcPr>
          <w:p w:rsidR="002B014C" w:rsidRPr="002B014C" w:rsidRDefault="002B014C" w:rsidP="001E0BD8">
            <w:pPr>
              <w:pStyle w:val="Tabletext"/>
              <w:jc w:val="center"/>
            </w:pPr>
            <w:r w:rsidRPr="002B014C">
              <w:t>–95</w:t>
            </w:r>
          </w:p>
        </w:tc>
      </w:tr>
      <w:tr w:rsidR="002B014C" w:rsidRPr="002B014C" w:rsidTr="002B014C">
        <w:trPr>
          <w:jc w:val="center"/>
        </w:trPr>
        <w:tc>
          <w:tcPr>
            <w:tcW w:w="2897" w:type="dxa"/>
          </w:tcPr>
          <w:p w:rsidR="002B014C" w:rsidRPr="002B014C" w:rsidRDefault="002B014C" w:rsidP="001E0BD8">
            <w:pPr>
              <w:pStyle w:val="Tabletext"/>
              <w:jc w:val="center"/>
            </w:pPr>
            <w:r w:rsidRPr="002B014C">
              <w:t>+10,5</w:t>
            </w:r>
          </w:p>
        </w:tc>
        <w:tc>
          <w:tcPr>
            <w:tcW w:w="3224" w:type="dxa"/>
          </w:tcPr>
          <w:p w:rsidR="002B014C" w:rsidRPr="002B014C" w:rsidRDefault="002B014C" w:rsidP="001E0BD8">
            <w:pPr>
              <w:pStyle w:val="Tabletext"/>
              <w:jc w:val="center"/>
            </w:pPr>
            <w:r w:rsidRPr="002B014C">
              <w:t>–110</w:t>
            </w:r>
          </w:p>
        </w:tc>
        <w:tc>
          <w:tcPr>
            <w:tcW w:w="3518" w:type="dxa"/>
          </w:tcPr>
          <w:p w:rsidR="002B014C" w:rsidRPr="002B014C" w:rsidRDefault="002B014C" w:rsidP="001E0BD8">
            <w:pPr>
              <w:pStyle w:val="Tabletext"/>
              <w:jc w:val="center"/>
            </w:pPr>
            <w:r w:rsidRPr="002B014C">
              <w:t>–120</w:t>
            </w:r>
          </w:p>
        </w:tc>
      </w:tr>
      <w:tr w:rsidR="002B014C" w:rsidRPr="002B014C" w:rsidTr="002B014C">
        <w:trPr>
          <w:jc w:val="center"/>
        </w:trPr>
        <w:tc>
          <w:tcPr>
            <w:tcW w:w="2897" w:type="dxa"/>
          </w:tcPr>
          <w:p w:rsidR="002B014C" w:rsidRPr="002B014C" w:rsidRDefault="002B014C" w:rsidP="001E0BD8">
            <w:pPr>
              <w:pStyle w:val="Tabletext"/>
              <w:jc w:val="center"/>
            </w:pPr>
            <w:r w:rsidRPr="002B014C">
              <w:t>+17,5</w:t>
            </w:r>
          </w:p>
        </w:tc>
        <w:tc>
          <w:tcPr>
            <w:tcW w:w="3224" w:type="dxa"/>
          </w:tcPr>
          <w:p w:rsidR="002B014C" w:rsidRPr="002B014C" w:rsidRDefault="002B014C" w:rsidP="001E0BD8">
            <w:pPr>
              <w:pStyle w:val="Tabletext"/>
              <w:jc w:val="center"/>
            </w:pPr>
            <w:r w:rsidRPr="002B014C">
              <w:t>–110</w:t>
            </w:r>
          </w:p>
        </w:tc>
        <w:tc>
          <w:tcPr>
            <w:tcW w:w="3518" w:type="dxa"/>
          </w:tcPr>
          <w:p w:rsidR="002B014C" w:rsidRPr="002B014C" w:rsidRDefault="002B014C" w:rsidP="001E0BD8">
            <w:pPr>
              <w:pStyle w:val="Tabletext"/>
              <w:jc w:val="center"/>
            </w:pPr>
            <w:r w:rsidRPr="002B014C">
              <w:t>–120</w:t>
            </w:r>
          </w:p>
        </w:tc>
      </w:tr>
    </w:tbl>
    <w:p w:rsidR="00F41E0C" w:rsidRDefault="00F41E0C" w:rsidP="00F41E0C">
      <w:pPr>
        <w:pStyle w:val="Tablefin"/>
        <w:rPr>
          <w:lang w:eastAsia="ja-JP"/>
        </w:rPr>
      </w:pPr>
    </w:p>
    <w:p w:rsidR="002B014C" w:rsidRPr="002B014C" w:rsidRDefault="002B014C" w:rsidP="00F41E0C">
      <w:pPr>
        <w:pStyle w:val="Heading1"/>
        <w:rPr>
          <w:lang w:eastAsia="ja-JP"/>
        </w:rPr>
      </w:pPr>
      <w:r w:rsidRPr="002B014C">
        <w:rPr>
          <w:lang w:eastAsia="ja-JP"/>
        </w:rPr>
        <w:t>3</w:t>
      </w:r>
      <w:r w:rsidRPr="002B014C">
        <w:rPr>
          <w:lang w:eastAsia="ja-JP"/>
        </w:rPr>
        <w:tab/>
        <w:t>Gabarits de limite spectrale propres au système C (ISDB</w:t>
      </w:r>
      <w:r w:rsidRPr="002B014C">
        <w:rPr>
          <w:lang w:eastAsia="ja-JP"/>
        </w:rPr>
        <w:noBreakHyphen/>
        <w:t>T) utilisant un découpage en canaux de 8 MHz</w:t>
      </w:r>
    </w:p>
    <w:p w:rsidR="002B014C" w:rsidRPr="002B014C" w:rsidRDefault="002B014C" w:rsidP="00F41E0C">
      <w:pPr>
        <w:rPr>
          <w:lang w:eastAsia="ja-JP"/>
        </w:rPr>
      </w:pPr>
      <w:r w:rsidRPr="002B014C">
        <w:rPr>
          <w:lang w:eastAsia="ja-JP"/>
        </w:rPr>
        <w:t>Pour un système de télévision numérique utilisant des canaux de 8 MHz, le domaine des émissions hors bande s'étend de ±4 MHz (c'est</w:t>
      </w:r>
      <w:r w:rsidRPr="002B014C">
        <w:rPr>
          <w:lang w:eastAsia="ja-JP"/>
        </w:rPr>
        <w:noBreakHyphen/>
        <w:t>à</w:t>
      </w:r>
      <w:r w:rsidRPr="002B014C">
        <w:rPr>
          <w:lang w:eastAsia="ja-JP"/>
        </w:rPr>
        <w:noBreakHyphen/>
        <w:t>dire ±0,5 × 8 MHz) à ±20 MHz (c'est</w:t>
      </w:r>
      <w:r w:rsidRPr="002B014C">
        <w:rPr>
          <w:lang w:eastAsia="ja-JP"/>
        </w:rPr>
        <w:noBreakHyphen/>
        <w:t>à</w:t>
      </w:r>
      <w:r w:rsidRPr="002B014C">
        <w:rPr>
          <w:lang w:eastAsia="ja-JP"/>
        </w:rPr>
        <w:noBreakHyphen/>
        <w:t>dire ±2,5 × 8 MHz) par rapport au centre du canal.</w:t>
      </w:r>
    </w:p>
    <w:p w:rsidR="002B014C" w:rsidRPr="002B014C" w:rsidRDefault="002B014C" w:rsidP="00F41E0C">
      <w:pPr>
        <w:rPr>
          <w:lang w:eastAsia="ja-JP"/>
        </w:rPr>
      </w:pPr>
      <w:r w:rsidRPr="002B014C">
        <w:rPr>
          <w:lang w:eastAsia="ja-JP"/>
        </w:rPr>
        <w:t>Deux gabarits spectraux sont donnés dans la Fig. 8 et le Tableau 5 associé. La courbe supérieure correspond au gabarit spectral pour les cas non critiques et la courbe inférieure correspond au gabarit spectral pour les cas sensibles.</w:t>
      </w:r>
    </w:p>
    <w:p w:rsidR="002B014C" w:rsidRPr="002B014C" w:rsidRDefault="002B014C" w:rsidP="00F41E0C">
      <w:pPr>
        <w:pStyle w:val="FigureNo"/>
        <w:rPr>
          <w:lang w:eastAsia="ja-JP"/>
        </w:rPr>
      </w:pPr>
      <w:r w:rsidRPr="002B014C">
        <w:rPr>
          <w:lang w:eastAsia="ja-JP"/>
        </w:rPr>
        <w:lastRenderedPageBreak/>
        <w:t>Figure 8</w:t>
      </w:r>
    </w:p>
    <w:p w:rsidR="002B014C" w:rsidRPr="002B014C" w:rsidRDefault="002B014C" w:rsidP="00F41E0C">
      <w:pPr>
        <w:pStyle w:val="Figuretitle"/>
        <w:rPr>
          <w:lang w:eastAsia="ja-JP"/>
        </w:rPr>
      </w:pPr>
      <w:r w:rsidRPr="002B014C">
        <w:rPr>
          <w:lang w:eastAsia="ja-JP"/>
        </w:rPr>
        <w:t xml:space="preserve">Gabarits de limite spectrale propres au système C (ISDB-T) utilisant </w:t>
      </w:r>
      <w:r w:rsidRPr="002B014C">
        <w:rPr>
          <w:lang w:eastAsia="ja-JP"/>
        </w:rPr>
        <w:br/>
        <w:t>un découpage en canaux de 8 MHz</w:t>
      </w:r>
    </w:p>
    <w:p w:rsidR="002B014C" w:rsidRPr="002B014C" w:rsidRDefault="002B014C" w:rsidP="00F41E0C">
      <w:pPr>
        <w:pStyle w:val="Figure"/>
      </w:pPr>
      <w:r w:rsidRPr="002B014C">
        <w:object w:dxaOrig="4808" w:dyaOrig="2209">
          <v:shape id="_x0000_i1032" type="#_x0000_t75" style="width:409.45pt;height:188.05pt" o:ole="">
            <v:imagedata r:id="rId27" o:title=""/>
          </v:shape>
          <o:OLEObject Type="Embed" ProgID="CorelDRAW.Graphic.14" ShapeID="_x0000_i1032" DrawAspect="Content" ObjectID="_1498452938" r:id="rId28"/>
        </w:object>
      </w:r>
    </w:p>
    <w:p w:rsidR="002B014C" w:rsidRPr="002B014C" w:rsidRDefault="002B014C" w:rsidP="00F41E0C">
      <w:pPr>
        <w:pStyle w:val="TableNo"/>
        <w:rPr>
          <w:lang w:eastAsia="ja-JP"/>
        </w:rPr>
      </w:pPr>
      <w:r w:rsidRPr="002B014C">
        <w:rPr>
          <w:lang w:eastAsia="ja-JP"/>
        </w:rPr>
        <w:t>TABLEAU 5</w:t>
      </w:r>
    </w:p>
    <w:p w:rsidR="002B014C" w:rsidRPr="002B014C" w:rsidRDefault="002B014C" w:rsidP="00F41E0C">
      <w:pPr>
        <w:pStyle w:val="Tabletitle"/>
        <w:rPr>
          <w:lang w:eastAsia="ja-JP"/>
        </w:rPr>
      </w:pPr>
      <w:r w:rsidRPr="002B014C">
        <w:rPr>
          <w:lang w:eastAsia="ja-JP"/>
        </w:rPr>
        <w:t xml:space="preserve">Tableau des points de rupture correspondant à la Fig. 8 pour le système C (ISDB-T) </w:t>
      </w:r>
      <w:r w:rsidRPr="002B014C">
        <w:rPr>
          <w:lang w:eastAsia="ja-JP"/>
        </w:rPr>
        <w:br/>
        <w:t>utilisant un découpage en canaux de 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2B014C" w:rsidRPr="002B014C" w:rsidTr="002B014C">
        <w:trPr>
          <w:jc w:val="center"/>
        </w:trPr>
        <w:tc>
          <w:tcPr>
            <w:tcW w:w="2897" w:type="dxa"/>
            <w:vMerge w:val="restart"/>
            <w:vAlign w:val="center"/>
          </w:tcPr>
          <w:p w:rsidR="002B014C" w:rsidRPr="002B014C" w:rsidRDefault="002B014C" w:rsidP="00F41E0C">
            <w:pPr>
              <w:pStyle w:val="Tablehead"/>
            </w:pPr>
            <w:r w:rsidRPr="002B014C">
              <w:t>Fréquence par rapport au centre du canal de 8 MHz (MHz)</w:t>
            </w:r>
          </w:p>
        </w:tc>
        <w:tc>
          <w:tcPr>
            <w:tcW w:w="6742" w:type="dxa"/>
            <w:gridSpan w:val="2"/>
            <w:vAlign w:val="center"/>
          </w:tcPr>
          <w:p w:rsidR="002B014C" w:rsidRPr="002B014C" w:rsidRDefault="002B014C" w:rsidP="00F41E0C">
            <w:pPr>
              <w:pStyle w:val="Tablehead"/>
            </w:pPr>
            <w:r w:rsidRPr="002B014C">
              <w:t>Niveau relatif dans une largeur de bande de mesure de 4 kHz (dB)</w:t>
            </w:r>
          </w:p>
        </w:tc>
      </w:tr>
      <w:tr w:rsidR="002B014C" w:rsidRPr="002B014C" w:rsidTr="002B014C">
        <w:trPr>
          <w:jc w:val="center"/>
        </w:trPr>
        <w:tc>
          <w:tcPr>
            <w:tcW w:w="2897" w:type="dxa"/>
            <w:vMerge/>
            <w:vAlign w:val="center"/>
          </w:tcPr>
          <w:p w:rsidR="002B014C" w:rsidRPr="002B014C" w:rsidRDefault="002B014C" w:rsidP="00F41E0C">
            <w:pPr>
              <w:pStyle w:val="Tablehead"/>
            </w:pPr>
          </w:p>
        </w:tc>
        <w:tc>
          <w:tcPr>
            <w:tcW w:w="3224" w:type="dxa"/>
            <w:vAlign w:val="center"/>
          </w:tcPr>
          <w:p w:rsidR="002B014C" w:rsidRPr="002B014C" w:rsidRDefault="002B014C" w:rsidP="00F41E0C">
            <w:pPr>
              <w:pStyle w:val="Tablehead"/>
            </w:pPr>
            <w:r w:rsidRPr="002B014C">
              <w:t>Gabarit d'émission non critique</w:t>
            </w:r>
          </w:p>
        </w:tc>
        <w:tc>
          <w:tcPr>
            <w:tcW w:w="3518" w:type="dxa"/>
            <w:vAlign w:val="center"/>
          </w:tcPr>
          <w:p w:rsidR="002B014C" w:rsidRPr="002B014C" w:rsidRDefault="002B014C" w:rsidP="00F41E0C">
            <w:pPr>
              <w:pStyle w:val="Tablehead"/>
            </w:pPr>
            <w:r w:rsidRPr="002B014C">
              <w:t>Cas sensibles</w:t>
            </w:r>
          </w:p>
        </w:tc>
      </w:tr>
      <w:tr w:rsidR="002B014C" w:rsidRPr="002B014C" w:rsidTr="002B014C">
        <w:trPr>
          <w:jc w:val="center"/>
        </w:trPr>
        <w:tc>
          <w:tcPr>
            <w:tcW w:w="2897" w:type="dxa"/>
          </w:tcPr>
          <w:p w:rsidR="002B014C" w:rsidRPr="002B014C" w:rsidRDefault="002B014C" w:rsidP="002E0E63">
            <w:pPr>
              <w:pStyle w:val="Tabletext"/>
              <w:jc w:val="center"/>
            </w:pPr>
            <w:r w:rsidRPr="002B014C">
              <w:t>–20</w:t>
            </w:r>
          </w:p>
        </w:tc>
        <w:tc>
          <w:tcPr>
            <w:tcW w:w="3224" w:type="dxa"/>
          </w:tcPr>
          <w:p w:rsidR="002B014C" w:rsidRPr="002B014C" w:rsidRDefault="002B014C" w:rsidP="002E0E63">
            <w:pPr>
              <w:pStyle w:val="Tabletext"/>
              <w:jc w:val="center"/>
            </w:pPr>
            <w:r w:rsidRPr="002B014C">
              <w:t>–110</w:t>
            </w:r>
          </w:p>
        </w:tc>
        <w:tc>
          <w:tcPr>
            <w:tcW w:w="3518" w:type="dxa"/>
          </w:tcPr>
          <w:p w:rsidR="002B014C" w:rsidRPr="002B014C" w:rsidRDefault="002B014C" w:rsidP="002E0E63">
            <w:pPr>
              <w:pStyle w:val="Tabletext"/>
              <w:jc w:val="center"/>
            </w:pPr>
            <w:r w:rsidRPr="002B014C">
              <w:t>–120</w:t>
            </w:r>
          </w:p>
        </w:tc>
      </w:tr>
      <w:tr w:rsidR="002B014C" w:rsidRPr="002B014C" w:rsidTr="002B014C">
        <w:trPr>
          <w:jc w:val="center"/>
        </w:trPr>
        <w:tc>
          <w:tcPr>
            <w:tcW w:w="2897" w:type="dxa"/>
          </w:tcPr>
          <w:p w:rsidR="002B014C" w:rsidRPr="002B014C" w:rsidRDefault="002B014C" w:rsidP="002E0E63">
            <w:pPr>
              <w:pStyle w:val="Tabletext"/>
              <w:jc w:val="center"/>
            </w:pPr>
            <w:r w:rsidRPr="002B014C">
              <w:t>–12</w:t>
            </w:r>
          </w:p>
        </w:tc>
        <w:tc>
          <w:tcPr>
            <w:tcW w:w="3224" w:type="dxa"/>
          </w:tcPr>
          <w:p w:rsidR="002B014C" w:rsidRPr="002B014C" w:rsidRDefault="002B014C" w:rsidP="002E0E63">
            <w:pPr>
              <w:pStyle w:val="Tabletext"/>
              <w:jc w:val="center"/>
            </w:pPr>
            <w:r w:rsidRPr="002B014C">
              <w:t>–110</w:t>
            </w:r>
          </w:p>
        </w:tc>
        <w:tc>
          <w:tcPr>
            <w:tcW w:w="3518" w:type="dxa"/>
          </w:tcPr>
          <w:p w:rsidR="002B014C" w:rsidRPr="002B014C" w:rsidRDefault="002B014C" w:rsidP="002E0E63">
            <w:pPr>
              <w:pStyle w:val="Tabletext"/>
              <w:jc w:val="center"/>
            </w:pPr>
            <w:r w:rsidRPr="002B014C">
              <w:t>–120</w:t>
            </w:r>
          </w:p>
        </w:tc>
      </w:tr>
      <w:tr w:rsidR="002B014C" w:rsidRPr="002B014C" w:rsidTr="002B014C">
        <w:trPr>
          <w:jc w:val="center"/>
        </w:trPr>
        <w:tc>
          <w:tcPr>
            <w:tcW w:w="2897" w:type="dxa"/>
          </w:tcPr>
          <w:p w:rsidR="002B014C" w:rsidRPr="002B014C" w:rsidRDefault="002B014C" w:rsidP="002E0E63">
            <w:pPr>
              <w:pStyle w:val="Tabletext"/>
              <w:jc w:val="center"/>
            </w:pPr>
            <w:r w:rsidRPr="002B014C">
              <w:t>–6</w:t>
            </w:r>
          </w:p>
        </w:tc>
        <w:tc>
          <w:tcPr>
            <w:tcW w:w="3224" w:type="dxa"/>
          </w:tcPr>
          <w:p w:rsidR="002B014C" w:rsidRPr="002B014C" w:rsidRDefault="002B014C" w:rsidP="002E0E63">
            <w:pPr>
              <w:pStyle w:val="Tabletext"/>
              <w:jc w:val="center"/>
            </w:pPr>
            <w:r w:rsidRPr="002B014C">
              <w:t>–85</w:t>
            </w:r>
          </w:p>
        </w:tc>
        <w:tc>
          <w:tcPr>
            <w:tcW w:w="3518" w:type="dxa"/>
          </w:tcPr>
          <w:p w:rsidR="002B014C" w:rsidRPr="002B014C" w:rsidRDefault="002B014C" w:rsidP="002E0E63">
            <w:pPr>
              <w:pStyle w:val="Tabletext"/>
              <w:jc w:val="center"/>
            </w:pPr>
            <w:r w:rsidRPr="002B014C">
              <w:t>–95</w:t>
            </w:r>
          </w:p>
        </w:tc>
      </w:tr>
      <w:tr w:rsidR="002B014C" w:rsidRPr="002B014C" w:rsidTr="002B014C">
        <w:trPr>
          <w:jc w:val="center"/>
        </w:trPr>
        <w:tc>
          <w:tcPr>
            <w:tcW w:w="2897" w:type="dxa"/>
          </w:tcPr>
          <w:p w:rsidR="002B014C" w:rsidRPr="002B014C" w:rsidRDefault="002B014C" w:rsidP="002E0E63">
            <w:pPr>
              <w:pStyle w:val="Tabletext"/>
              <w:jc w:val="center"/>
            </w:pPr>
            <w:r w:rsidRPr="002B014C">
              <w:t>–4,2</w:t>
            </w:r>
          </w:p>
        </w:tc>
        <w:tc>
          <w:tcPr>
            <w:tcW w:w="3224" w:type="dxa"/>
          </w:tcPr>
          <w:p w:rsidR="002B014C" w:rsidRPr="002B014C" w:rsidRDefault="002B014C" w:rsidP="002E0E63">
            <w:pPr>
              <w:pStyle w:val="Tabletext"/>
              <w:jc w:val="center"/>
            </w:pPr>
            <w:r w:rsidRPr="002B014C">
              <w:t>–73</w:t>
            </w:r>
          </w:p>
        </w:tc>
        <w:tc>
          <w:tcPr>
            <w:tcW w:w="3518" w:type="dxa"/>
          </w:tcPr>
          <w:p w:rsidR="002B014C" w:rsidRPr="002B014C" w:rsidRDefault="002B014C" w:rsidP="002E0E63">
            <w:pPr>
              <w:pStyle w:val="Tabletext"/>
              <w:jc w:val="center"/>
            </w:pPr>
            <w:r w:rsidRPr="002B014C">
              <w:t>–83</w:t>
            </w:r>
          </w:p>
        </w:tc>
      </w:tr>
      <w:tr w:rsidR="002B014C" w:rsidRPr="002B014C" w:rsidTr="002B014C">
        <w:trPr>
          <w:jc w:val="center"/>
        </w:trPr>
        <w:tc>
          <w:tcPr>
            <w:tcW w:w="2897" w:type="dxa"/>
          </w:tcPr>
          <w:p w:rsidR="002B014C" w:rsidRPr="002B014C" w:rsidRDefault="002B014C" w:rsidP="002E0E63">
            <w:pPr>
              <w:pStyle w:val="Tabletext"/>
              <w:jc w:val="center"/>
            </w:pPr>
            <w:r w:rsidRPr="002B014C">
              <w:t>–3,81</w:t>
            </w:r>
          </w:p>
        </w:tc>
        <w:tc>
          <w:tcPr>
            <w:tcW w:w="3224" w:type="dxa"/>
          </w:tcPr>
          <w:p w:rsidR="002B014C" w:rsidRPr="002B014C" w:rsidRDefault="002B014C" w:rsidP="002E0E63">
            <w:pPr>
              <w:pStyle w:val="Tabletext"/>
              <w:jc w:val="center"/>
            </w:pPr>
            <w:r w:rsidRPr="002B014C">
              <w:t>–52,7</w:t>
            </w:r>
          </w:p>
        </w:tc>
        <w:tc>
          <w:tcPr>
            <w:tcW w:w="3518" w:type="dxa"/>
          </w:tcPr>
          <w:p w:rsidR="002B014C" w:rsidRPr="002B014C" w:rsidRDefault="002B014C" w:rsidP="002E0E63">
            <w:pPr>
              <w:pStyle w:val="Tabletext"/>
              <w:jc w:val="center"/>
            </w:pPr>
            <w:r w:rsidRPr="002B014C">
              <w:t>–52,7</w:t>
            </w:r>
          </w:p>
        </w:tc>
      </w:tr>
      <w:tr w:rsidR="002B014C" w:rsidRPr="002B014C" w:rsidTr="002B014C">
        <w:trPr>
          <w:jc w:val="center"/>
        </w:trPr>
        <w:tc>
          <w:tcPr>
            <w:tcW w:w="2897" w:type="dxa"/>
          </w:tcPr>
          <w:p w:rsidR="002B014C" w:rsidRPr="002B014C" w:rsidRDefault="002B014C" w:rsidP="002E0E63">
            <w:pPr>
              <w:pStyle w:val="Tabletext"/>
              <w:jc w:val="center"/>
            </w:pPr>
            <w:r w:rsidRPr="002B014C">
              <w:t>–3,72</w:t>
            </w:r>
          </w:p>
        </w:tc>
        <w:tc>
          <w:tcPr>
            <w:tcW w:w="3224" w:type="dxa"/>
          </w:tcPr>
          <w:p w:rsidR="002B014C" w:rsidRPr="002B014C" w:rsidRDefault="002B014C" w:rsidP="002E0E63">
            <w:pPr>
              <w:pStyle w:val="Tabletext"/>
              <w:jc w:val="center"/>
            </w:pPr>
            <w:r w:rsidRPr="002B014C">
              <w:t>–32,7</w:t>
            </w:r>
          </w:p>
        </w:tc>
        <w:tc>
          <w:tcPr>
            <w:tcW w:w="3518" w:type="dxa"/>
          </w:tcPr>
          <w:p w:rsidR="002B014C" w:rsidRPr="002B014C" w:rsidRDefault="002B014C" w:rsidP="002E0E63">
            <w:pPr>
              <w:pStyle w:val="Tabletext"/>
              <w:jc w:val="center"/>
            </w:pPr>
            <w:r w:rsidRPr="002B014C">
              <w:t>–32,7</w:t>
            </w:r>
          </w:p>
        </w:tc>
      </w:tr>
      <w:tr w:rsidR="002B014C" w:rsidRPr="002B014C" w:rsidTr="002B014C">
        <w:trPr>
          <w:jc w:val="center"/>
        </w:trPr>
        <w:tc>
          <w:tcPr>
            <w:tcW w:w="2897" w:type="dxa"/>
          </w:tcPr>
          <w:p w:rsidR="002B014C" w:rsidRPr="002B014C" w:rsidRDefault="002B014C" w:rsidP="002E0E63">
            <w:pPr>
              <w:pStyle w:val="Tabletext"/>
              <w:jc w:val="center"/>
            </w:pPr>
            <w:r w:rsidRPr="002B014C">
              <w:t>+3,72</w:t>
            </w:r>
          </w:p>
        </w:tc>
        <w:tc>
          <w:tcPr>
            <w:tcW w:w="3224" w:type="dxa"/>
          </w:tcPr>
          <w:p w:rsidR="002B014C" w:rsidRPr="002B014C" w:rsidRDefault="002B014C" w:rsidP="002E0E63">
            <w:pPr>
              <w:pStyle w:val="Tabletext"/>
              <w:jc w:val="center"/>
            </w:pPr>
            <w:r w:rsidRPr="002B014C">
              <w:t>–32,7</w:t>
            </w:r>
          </w:p>
        </w:tc>
        <w:tc>
          <w:tcPr>
            <w:tcW w:w="3518" w:type="dxa"/>
          </w:tcPr>
          <w:p w:rsidR="002B014C" w:rsidRPr="002B014C" w:rsidRDefault="002B014C" w:rsidP="002E0E63">
            <w:pPr>
              <w:pStyle w:val="Tabletext"/>
              <w:jc w:val="center"/>
            </w:pPr>
            <w:r w:rsidRPr="002B014C">
              <w:t>–32,7</w:t>
            </w:r>
          </w:p>
        </w:tc>
      </w:tr>
      <w:tr w:rsidR="002B014C" w:rsidRPr="002B014C" w:rsidTr="002B014C">
        <w:trPr>
          <w:jc w:val="center"/>
        </w:trPr>
        <w:tc>
          <w:tcPr>
            <w:tcW w:w="2897" w:type="dxa"/>
          </w:tcPr>
          <w:p w:rsidR="002B014C" w:rsidRPr="002B014C" w:rsidRDefault="002B014C" w:rsidP="002E0E63">
            <w:pPr>
              <w:pStyle w:val="Tabletext"/>
              <w:jc w:val="center"/>
            </w:pPr>
            <w:r w:rsidRPr="002B014C">
              <w:t>+3,81</w:t>
            </w:r>
          </w:p>
        </w:tc>
        <w:tc>
          <w:tcPr>
            <w:tcW w:w="3224" w:type="dxa"/>
          </w:tcPr>
          <w:p w:rsidR="002B014C" w:rsidRPr="002B014C" w:rsidRDefault="002B014C" w:rsidP="002E0E63">
            <w:pPr>
              <w:pStyle w:val="Tabletext"/>
              <w:jc w:val="center"/>
            </w:pPr>
            <w:r w:rsidRPr="002B014C">
              <w:t>–52,7</w:t>
            </w:r>
          </w:p>
        </w:tc>
        <w:tc>
          <w:tcPr>
            <w:tcW w:w="3518" w:type="dxa"/>
          </w:tcPr>
          <w:p w:rsidR="002B014C" w:rsidRPr="002B014C" w:rsidRDefault="002B014C" w:rsidP="002E0E63">
            <w:pPr>
              <w:pStyle w:val="Tabletext"/>
              <w:jc w:val="center"/>
            </w:pPr>
            <w:r w:rsidRPr="002B014C">
              <w:t>–52,7</w:t>
            </w:r>
          </w:p>
        </w:tc>
      </w:tr>
      <w:tr w:rsidR="002B014C" w:rsidRPr="002B014C" w:rsidTr="002B014C">
        <w:trPr>
          <w:jc w:val="center"/>
        </w:trPr>
        <w:tc>
          <w:tcPr>
            <w:tcW w:w="2897" w:type="dxa"/>
          </w:tcPr>
          <w:p w:rsidR="002B014C" w:rsidRPr="002B014C" w:rsidRDefault="002B014C" w:rsidP="002E0E63">
            <w:pPr>
              <w:pStyle w:val="Tabletext"/>
              <w:jc w:val="center"/>
            </w:pPr>
            <w:r w:rsidRPr="002B014C">
              <w:t>+4,2</w:t>
            </w:r>
          </w:p>
        </w:tc>
        <w:tc>
          <w:tcPr>
            <w:tcW w:w="3224" w:type="dxa"/>
          </w:tcPr>
          <w:p w:rsidR="002B014C" w:rsidRPr="002B014C" w:rsidRDefault="002B014C" w:rsidP="002E0E63">
            <w:pPr>
              <w:pStyle w:val="Tabletext"/>
              <w:jc w:val="center"/>
            </w:pPr>
            <w:r w:rsidRPr="002B014C">
              <w:t>–73</w:t>
            </w:r>
          </w:p>
        </w:tc>
        <w:tc>
          <w:tcPr>
            <w:tcW w:w="3518" w:type="dxa"/>
          </w:tcPr>
          <w:p w:rsidR="002B014C" w:rsidRPr="002B014C" w:rsidRDefault="002B014C" w:rsidP="002E0E63">
            <w:pPr>
              <w:pStyle w:val="Tabletext"/>
              <w:jc w:val="center"/>
            </w:pPr>
            <w:r w:rsidRPr="002B014C">
              <w:t>–83</w:t>
            </w:r>
          </w:p>
        </w:tc>
      </w:tr>
      <w:tr w:rsidR="002B014C" w:rsidRPr="002B014C" w:rsidTr="002B014C">
        <w:trPr>
          <w:jc w:val="center"/>
        </w:trPr>
        <w:tc>
          <w:tcPr>
            <w:tcW w:w="2897" w:type="dxa"/>
          </w:tcPr>
          <w:p w:rsidR="002B014C" w:rsidRPr="002B014C" w:rsidRDefault="002B014C" w:rsidP="002E0E63">
            <w:pPr>
              <w:pStyle w:val="Tabletext"/>
              <w:jc w:val="center"/>
            </w:pPr>
            <w:r w:rsidRPr="002B014C">
              <w:t>+6</w:t>
            </w:r>
          </w:p>
        </w:tc>
        <w:tc>
          <w:tcPr>
            <w:tcW w:w="3224" w:type="dxa"/>
          </w:tcPr>
          <w:p w:rsidR="002B014C" w:rsidRPr="002B014C" w:rsidRDefault="002B014C" w:rsidP="002E0E63">
            <w:pPr>
              <w:pStyle w:val="Tabletext"/>
              <w:jc w:val="center"/>
            </w:pPr>
            <w:r w:rsidRPr="002B014C">
              <w:t>–85</w:t>
            </w:r>
          </w:p>
        </w:tc>
        <w:tc>
          <w:tcPr>
            <w:tcW w:w="3518" w:type="dxa"/>
          </w:tcPr>
          <w:p w:rsidR="002B014C" w:rsidRPr="002B014C" w:rsidRDefault="002B014C" w:rsidP="002E0E63">
            <w:pPr>
              <w:pStyle w:val="Tabletext"/>
              <w:jc w:val="center"/>
            </w:pPr>
            <w:r w:rsidRPr="002B014C">
              <w:t>–95</w:t>
            </w:r>
          </w:p>
        </w:tc>
      </w:tr>
      <w:tr w:rsidR="002B014C" w:rsidRPr="002B014C" w:rsidTr="002B014C">
        <w:trPr>
          <w:jc w:val="center"/>
        </w:trPr>
        <w:tc>
          <w:tcPr>
            <w:tcW w:w="2897" w:type="dxa"/>
          </w:tcPr>
          <w:p w:rsidR="002B014C" w:rsidRPr="002B014C" w:rsidRDefault="002B014C" w:rsidP="002E0E63">
            <w:pPr>
              <w:pStyle w:val="Tabletext"/>
              <w:jc w:val="center"/>
            </w:pPr>
            <w:r w:rsidRPr="002B014C">
              <w:t>+12</w:t>
            </w:r>
          </w:p>
        </w:tc>
        <w:tc>
          <w:tcPr>
            <w:tcW w:w="3224" w:type="dxa"/>
          </w:tcPr>
          <w:p w:rsidR="002B014C" w:rsidRPr="002B014C" w:rsidRDefault="002B014C" w:rsidP="002E0E63">
            <w:pPr>
              <w:pStyle w:val="Tabletext"/>
              <w:jc w:val="center"/>
            </w:pPr>
            <w:r w:rsidRPr="002B014C">
              <w:t>–110</w:t>
            </w:r>
          </w:p>
        </w:tc>
        <w:tc>
          <w:tcPr>
            <w:tcW w:w="3518" w:type="dxa"/>
          </w:tcPr>
          <w:p w:rsidR="002B014C" w:rsidRPr="002B014C" w:rsidRDefault="002B014C" w:rsidP="002E0E63">
            <w:pPr>
              <w:pStyle w:val="Tabletext"/>
              <w:jc w:val="center"/>
            </w:pPr>
            <w:r w:rsidRPr="002B014C">
              <w:t>–120</w:t>
            </w:r>
          </w:p>
        </w:tc>
      </w:tr>
      <w:tr w:rsidR="002B014C" w:rsidRPr="002B014C" w:rsidTr="002B014C">
        <w:trPr>
          <w:jc w:val="center"/>
        </w:trPr>
        <w:tc>
          <w:tcPr>
            <w:tcW w:w="2897" w:type="dxa"/>
          </w:tcPr>
          <w:p w:rsidR="002B014C" w:rsidRPr="002B014C" w:rsidRDefault="002B014C" w:rsidP="002E0E63">
            <w:pPr>
              <w:pStyle w:val="Tabletext"/>
              <w:jc w:val="center"/>
            </w:pPr>
            <w:r w:rsidRPr="002B014C">
              <w:t>+20</w:t>
            </w:r>
          </w:p>
        </w:tc>
        <w:tc>
          <w:tcPr>
            <w:tcW w:w="3224" w:type="dxa"/>
          </w:tcPr>
          <w:p w:rsidR="002B014C" w:rsidRPr="002B014C" w:rsidRDefault="002B014C" w:rsidP="002E0E63">
            <w:pPr>
              <w:pStyle w:val="Tabletext"/>
              <w:jc w:val="center"/>
            </w:pPr>
            <w:r w:rsidRPr="002B014C">
              <w:t>–110</w:t>
            </w:r>
          </w:p>
        </w:tc>
        <w:tc>
          <w:tcPr>
            <w:tcW w:w="3518" w:type="dxa"/>
          </w:tcPr>
          <w:p w:rsidR="002B014C" w:rsidRPr="002B014C" w:rsidRDefault="002B014C" w:rsidP="002E0E63">
            <w:pPr>
              <w:pStyle w:val="Tabletext"/>
              <w:jc w:val="center"/>
            </w:pPr>
            <w:r w:rsidRPr="002B014C">
              <w:t>–120</w:t>
            </w:r>
          </w:p>
        </w:tc>
      </w:tr>
    </w:tbl>
    <w:p w:rsidR="002B014C" w:rsidRPr="002B014C" w:rsidRDefault="002B014C" w:rsidP="00901DF0">
      <w:pPr>
        <w:pStyle w:val="Tablefin"/>
      </w:pPr>
    </w:p>
    <w:p w:rsidR="002B014C" w:rsidRPr="002B014C" w:rsidRDefault="002B014C" w:rsidP="00901DF0">
      <w:pPr>
        <w:pStyle w:val="AnnexNoTitle"/>
        <w:rPr>
          <w:rFonts w:ascii="Times New Roman Bold" w:hAnsi="Times New Roman Bold"/>
        </w:rPr>
      </w:pPr>
      <w:r w:rsidRPr="002B014C">
        <w:lastRenderedPageBreak/>
        <w:t xml:space="preserve">Annexe </w:t>
      </w:r>
      <w:r w:rsidRPr="002B014C">
        <w:rPr>
          <w:lang w:eastAsia="ja-JP"/>
        </w:rPr>
        <w:t>4</w:t>
      </w:r>
      <w:r w:rsidRPr="002B014C">
        <w:rPr>
          <w:lang w:eastAsia="ja-JP"/>
        </w:rPr>
        <w:br/>
      </w:r>
      <w:r w:rsidRPr="002B014C">
        <w:rPr>
          <w:lang w:eastAsia="ja-JP"/>
        </w:rPr>
        <w:br/>
        <w:t xml:space="preserve">Gabarit de limite spectrale propre au système D de télévision </w:t>
      </w:r>
      <w:r w:rsidRPr="002B014C">
        <w:rPr>
          <w:lang w:eastAsia="ja-JP"/>
        </w:rPr>
        <w:br/>
        <w:t xml:space="preserve">numérique de Terre </w:t>
      </w:r>
      <w:r w:rsidRPr="002B014C">
        <w:t>(DTMB)</w:t>
      </w:r>
    </w:p>
    <w:p w:rsidR="002B014C" w:rsidRPr="002B014C" w:rsidRDefault="002B014C" w:rsidP="00901DF0">
      <w:pPr>
        <w:pStyle w:val="Heading1"/>
        <w:rPr>
          <w:lang w:eastAsia="ja-JP"/>
        </w:rPr>
      </w:pPr>
      <w:r w:rsidRPr="002B014C">
        <w:rPr>
          <w:lang w:eastAsia="ja-JP"/>
        </w:rPr>
        <w:t>1</w:t>
      </w:r>
      <w:r w:rsidRPr="002B014C">
        <w:rPr>
          <w:lang w:eastAsia="ja-JP"/>
        </w:rPr>
        <w:tab/>
        <w:t xml:space="preserve">Gabarits de limite spectrale propres au système D (DTMB) utilisant un découpage en canaux de 6 MHz </w:t>
      </w:r>
    </w:p>
    <w:p w:rsidR="002B014C" w:rsidRPr="002B014C" w:rsidRDefault="002B014C" w:rsidP="00901DF0">
      <w:pPr>
        <w:rPr>
          <w:lang w:val="fr-CH" w:eastAsia="ja-JP"/>
        </w:rPr>
      </w:pPr>
      <w:r w:rsidRPr="002B014C">
        <w:rPr>
          <w:lang w:val="fr-CH" w:eastAsia="ja-JP"/>
        </w:rPr>
        <w:t xml:space="preserve">Pour un système de télévision numérique utilisant des canaux de </w:t>
      </w:r>
      <w:r w:rsidRPr="002B014C">
        <w:rPr>
          <w:rFonts w:hint="eastAsia"/>
          <w:lang w:val="fr-CH" w:eastAsia="zh-CN"/>
        </w:rPr>
        <w:t>6</w:t>
      </w:r>
      <w:r w:rsidRPr="002B014C">
        <w:rPr>
          <w:lang w:val="fr-CH" w:eastAsia="ja-JP"/>
        </w:rPr>
        <w:t xml:space="preserve"> MHz, le domaine des émissions hors bande s'étend de ±</w:t>
      </w:r>
      <w:r w:rsidRPr="002B014C">
        <w:rPr>
          <w:rFonts w:hint="eastAsia"/>
          <w:lang w:val="fr-CH" w:eastAsia="zh-CN"/>
        </w:rPr>
        <w:t>3</w:t>
      </w:r>
      <w:r w:rsidRPr="002B014C">
        <w:rPr>
          <w:lang w:val="fr-CH" w:eastAsia="ja-JP"/>
        </w:rPr>
        <w:t xml:space="preserve"> MHz (c'est-à-dire ±0,5 × </w:t>
      </w:r>
      <w:r w:rsidRPr="002B014C">
        <w:rPr>
          <w:rFonts w:hint="eastAsia"/>
          <w:lang w:val="fr-CH" w:eastAsia="zh-CN"/>
        </w:rPr>
        <w:t>6</w:t>
      </w:r>
      <w:r w:rsidRPr="002B014C">
        <w:rPr>
          <w:lang w:val="fr-CH" w:eastAsia="ja-JP"/>
        </w:rPr>
        <w:t xml:space="preserve"> MHz) à</w:t>
      </w:r>
      <w:r w:rsidRPr="002B014C">
        <w:rPr>
          <w:rFonts w:hint="eastAsia"/>
          <w:lang w:val="fr-CH" w:eastAsia="ja-JP"/>
        </w:rPr>
        <w:t xml:space="preserve"> </w:t>
      </w:r>
      <w:r w:rsidRPr="002B014C">
        <w:rPr>
          <w:lang w:val="fr-CH" w:eastAsia="ja-JP"/>
        </w:rPr>
        <w:t>±</w:t>
      </w:r>
      <w:r w:rsidRPr="002B014C">
        <w:rPr>
          <w:rFonts w:hint="eastAsia"/>
          <w:lang w:val="fr-CH" w:eastAsia="zh-CN"/>
        </w:rPr>
        <w:t>15</w:t>
      </w:r>
      <w:r w:rsidRPr="002B014C">
        <w:rPr>
          <w:lang w:val="fr-CH" w:eastAsia="ja-JP"/>
        </w:rPr>
        <w:t xml:space="preserve"> MHz (c'est-à-dire ±2,5 × </w:t>
      </w:r>
      <w:r w:rsidRPr="002B014C">
        <w:rPr>
          <w:rFonts w:hint="eastAsia"/>
          <w:lang w:val="fr-CH" w:eastAsia="zh-CN"/>
        </w:rPr>
        <w:t>6</w:t>
      </w:r>
      <w:r w:rsidRPr="002B014C">
        <w:rPr>
          <w:lang w:val="fr-CH" w:eastAsia="ja-JP"/>
        </w:rPr>
        <w:t xml:space="preserve"> MHz) par rapport au centre du canal.</w:t>
      </w:r>
    </w:p>
    <w:p w:rsidR="002B014C" w:rsidRPr="002B014C" w:rsidRDefault="002B014C" w:rsidP="00901DF0">
      <w:pPr>
        <w:rPr>
          <w:lang w:val="fr-CH" w:eastAsia="ja-JP"/>
        </w:rPr>
      </w:pPr>
      <w:r w:rsidRPr="002B014C">
        <w:rPr>
          <w:lang w:val="fr-CH" w:eastAsia="ja-JP"/>
        </w:rPr>
        <w:t xml:space="preserve">Deux gabarits spectraux sont donnés dans la Fig. </w:t>
      </w:r>
      <w:r w:rsidRPr="002B014C">
        <w:rPr>
          <w:rFonts w:hint="eastAsia"/>
          <w:lang w:val="fr-CH" w:eastAsia="zh-CN"/>
        </w:rPr>
        <w:t>9</w:t>
      </w:r>
      <w:r w:rsidRPr="002B014C">
        <w:rPr>
          <w:lang w:val="fr-CH" w:eastAsia="ja-JP"/>
        </w:rPr>
        <w:t xml:space="preserve"> et le Tableau </w:t>
      </w:r>
      <w:r w:rsidRPr="002B014C">
        <w:rPr>
          <w:rFonts w:hint="eastAsia"/>
          <w:lang w:val="fr-CH" w:eastAsia="zh-CN"/>
        </w:rPr>
        <w:t>6</w:t>
      </w:r>
      <w:r w:rsidRPr="002B014C">
        <w:rPr>
          <w:lang w:val="fr-CH" w:eastAsia="zh-CN"/>
        </w:rPr>
        <w:t xml:space="preserve"> associé</w:t>
      </w:r>
      <w:r w:rsidRPr="002B014C">
        <w:rPr>
          <w:lang w:val="fr-CH" w:eastAsia="ja-JP"/>
        </w:rPr>
        <w:t>. La courbe supérieure correspond au gabarit spectral pour les cas non sensibles et la courbe inférieure correspond au gabarit spectral pour les cas sensibles.</w:t>
      </w:r>
    </w:p>
    <w:p w:rsidR="002B014C" w:rsidRPr="002B014C" w:rsidRDefault="002B014C" w:rsidP="00D21DDA">
      <w:pPr>
        <w:pStyle w:val="FigureNo"/>
        <w:rPr>
          <w:lang w:val="fr-CH" w:eastAsia="zh-CN"/>
        </w:rPr>
      </w:pPr>
      <w:r w:rsidRPr="002B014C">
        <w:rPr>
          <w:rFonts w:hint="eastAsia"/>
          <w:lang w:val="fr-CH"/>
        </w:rPr>
        <w:t>Figure</w:t>
      </w:r>
      <w:r w:rsidRPr="002B014C">
        <w:rPr>
          <w:rFonts w:hint="eastAsia"/>
          <w:lang w:val="fr-CH" w:eastAsia="ja-JP"/>
        </w:rPr>
        <w:t xml:space="preserve"> </w:t>
      </w:r>
      <w:r w:rsidRPr="002B014C">
        <w:rPr>
          <w:rFonts w:hint="eastAsia"/>
          <w:lang w:val="fr-CH" w:eastAsia="zh-CN"/>
        </w:rPr>
        <w:t>9</w:t>
      </w:r>
    </w:p>
    <w:p w:rsidR="002B014C" w:rsidRPr="002B014C" w:rsidRDefault="002B014C" w:rsidP="00D21DDA">
      <w:pPr>
        <w:pStyle w:val="Figuretitle"/>
        <w:rPr>
          <w:lang w:val="fr-CH" w:eastAsia="ja-JP"/>
        </w:rPr>
      </w:pPr>
      <w:r w:rsidRPr="002B014C">
        <w:rPr>
          <w:lang w:val="fr-CH" w:eastAsia="ja-JP"/>
        </w:rPr>
        <w:t>Gabarits de limite spectrale propres au système</w:t>
      </w:r>
      <w:r w:rsidRPr="002B014C">
        <w:rPr>
          <w:rFonts w:hint="eastAsia"/>
          <w:lang w:val="fr-CH" w:eastAsia="zh-CN"/>
        </w:rPr>
        <w:t xml:space="preserve"> D</w:t>
      </w:r>
      <w:r w:rsidRPr="002B014C">
        <w:rPr>
          <w:rFonts w:hint="eastAsia"/>
          <w:lang w:val="fr-CH" w:eastAsia="ja-JP"/>
        </w:rPr>
        <w:t xml:space="preserve"> (D</w:t>
      </w:r>
      <w:r w:rsidRPr="002B014C">
        <w:rPr>
          <w:rFonts w:hint="eastAsia"/>
          <w:lang w:val="fr-CH" w:eastAsia="zh-CN"/>
        </w:rPr>
        <w:t>TMB</w:t>
      </w:r>
      <w:r w:rsidRPr="002B014C">
        <w:rPr>
          <w:rFonts w:hint="eastAsia"/>
          <w:lang w:val="fr-CH" w:eastAsia="ja-JP"/>
        </w:rPr>
        <w:t>)</w:t>
      </w:r>
      <w:r w:rsidRPr="002B014C">
        <w:rPr>
          <w:lang w:val="fr-CH" w:eastAsia="ja-JP"/>
        </w:rPr>
        <w:t xml:space="preserve"> utilisant un découpage </w:t>
      </w:r>
      <w:r w:rsidRPr="002B014C">
        <w:rPr>
          <w:lang w:val="fr-CH" w:eastAsia="ja-JP"/>
        </w:rPr>
        <w:br/>
        <w:t>en canaux de </w:t>
      </w:r>
      <w:r w:rsidRPr="002B014C">
        <w:rPr>
          <w:rFonts w:hint="eastAsia"/>
          <w:lang w:val="fr-CH" w:eastAsia="zh-CN"/>
        </w:rPr>
        <w:t>6</w:t>
      </w:r>
      <w:r w:rsidRPr="002B014C">
        <w:rPr>
          <w:lang w:val="fr-CH" w:eastAsia="ja-JP"/>
        </w:rPr>
        <w:t xml:space="preserve"> </w:t>
      </w:r>
      <w:r w:rsidRPr="002B014C">
        <w:rPr>
          <w:rFonts w:hint="eastAsia"/>
          <w:lang w:val="fr-CH" w:eastAsia="ja-JP"/>
        </w:rPr>
        <w:t xml:space="preserve">MHz </w:t>
      </w:r>
    </w:p>
    <w:p w:rsidR="002B014C" w:rsidRPr="002B014C" w:rsidRDefault="002B014C" w:rsidP="00D21DDA">
      <w:pPr>
        <w:pStyle w:val="Figure"/>
        <w:rPr>
          <w:lang w:val="fr-CH" w:eastAsia="ja-JP"/>
        </w:rPr>
      </w:pPr>
      <w:r w:rsidRPr="002B014C">
        <w:object w:dxaOrig="4673" w:dyaOrig="2416">
          <v:shape id="_x0000_i1033" type="#_x0000_t75" style="width:371.3pt;height:191.8pt" o:ole="">
            <v:imagedata r:id="rId29" o:title=""/>
          </v:shape>
          <o:OLEObject Type="Embed" ProgID="CorelDRAW.Graphic.14" ShapeID="_x0000_i1033" DrawAspect="Content" ObjectID="_1498452939" r:id="rId30"/>
        </w:object>
      </w:r>
    </w:p>
    <w:p w:rsidR="002B014C" w:rsidRPr="002B014C" w:rsidRDefault="002B014C" w:rsidP="00D21DDA">
      <w:pPr>
        <w:pStyle w:val="TableNo"/>
        <w:rPr>
          <w:lang w:val="fr-CH"/>
        </w:rPr>
      </w:pPr>
      <w:bookmarkStart w:id="5" w:name="_Toc225317926"/>
      <w:r w:rsidRPr="002B014C">
        <w:rPr>
          <w:rFonts w:hint="eastAsia"/>
          <w:lang w:val="fr-CH" w:eastAsia="ja-JP"/>
        </w:rPr>
        <w:t>TABLE</w:t>
      </w:r>
      <w:r w:rsidRPr="002B014C">
        <w:rPr>
          <w:lang w:val="fr-CH" w:eastAsia="ja-JP"/>
        </w:rPr>
        <w:t>AU</w:t>
      </w:r>
      <w:r w:rsidRPr="002B014C">
        <w:rPr>
          <w:rFonts w:hint="eastAsia"/>
          <w:lang w:val="fr-CH" w:eastAsia="ja-JP"/>
        </w:rPr>
        <w:t xml:space="preserve"> 6</w:t>
      </w:r>
    </w:p>
    <w:p w:rsidR="002B014C" w:rsidRPr="002B014C" w:rsidRDefault="002B014C" w:rsidP="00D21DDA">
      <w:pPr>
        <w:pStyle w:val="Tabletitle"/>
        <w:rPr>
          <w:lang w:eastAsia="ja-JP"/>
        </w:rPr>
      </w:pPr>
      <w:r w:rsidRPr="002B014C">
        <w:rPr>
          <w:lang w:eastAsia="ja-JP"/>
        </w:rPr>
        <w:t xml:space="preserve">Tableau des points de rupture correspondant à la Fig. 9 pour le système D (DTMB) </w:t>
      </w:r>
      <w:r w:rsidRPr="002B014C">
        <w:rPr>
          <w:lang w:eastAsia="ja-JP"/>
        </w:rPr>
        <w:br/>
        <w:t>utilisant un découpage en canaux de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2B014C" w:rsidRPr="002B014C" w:rsidTr="002B014C">
        <w:trPr>
          <w:jc w:val="center"/>
        </w:trPr>
        <w:tc>
          <w:tcPr>
            <w:tcW w:w="3209" w:type="dxa"/>
            <w:vMerge w:val="restart"/>
            <w:vAlign w:val="center"/>
          </w:tcPr>
          <w:p w:rsidR="002B014C" w:rsidRPr="002B014C" w:rsidRDefault="002B014C" w:rsidP="00D21DDA">
            <w:pPr>
              <w:pStyle w:val="Tablehead"/>
              <w:rPr>
                <w:lang w:val="fr-CH" w:eastAsia="ja-JP"/>
              </w:rPr>
            </w:pPr>
            <w:r w:rsidRPr="002B014C">
              <w:t>Fréquence par rapport au centre du canal de 8 MHz (MHz)</w:t>
            </w:r>
          </w:p>
        </w:tc>
        <w:tc>
          <w:tcPr>
            <w:tcW w:w="6430" w:type="dxa"/>
            <w:gridSpan w:val="2"/>
            <w:vAlign w:val="center"/>
          </w:tcPr>
          <w:p w:rsidR="002B014C" w:rsidRPr="002B014C" w:rsidRDefault="002B014C" w:rsidP="00D21DDA">
            <w:pPr>
              <w:pStyle w:val="Tablehead"/>
              <w:rPr>
                <w:lang w:val="fr-CH" w:eastAsia="ja-JP"/>
              </w:rPr>
            </w:pPr>
            <w:r w:rsidRPr="002B014C">
              <w:t>Niveau relatif dans une largeur de bande de mesure de 4 kHz (dB)</w:t>
            </w:r>
          </w:p>
        </w:tc>
      </w:tr>
      <w:tr w:rsidR="002B014C" w:rsidRPr="002B014C" w:rsidTr="002B014C">
        <w:trPr>
          <w:jc w:val="center"/>
        </w:trPr>
        <w:tc>
          <w:tcPr>
            <w:tcW w:w="3209" w:type="dxa"/>
            <w:vMerge/>
            <w:vAlign w:val="center"/>
          </w:tcPr>
          <w:p w:rsidR="002B014C" w:rsidRPr="002B014C" w:rsidRDefault="002B014C" w:rsidP="00D21DDA">
            <w:pPr>
              <w:pStyle w:val="Tablehead"/>
              <w:rPr>
                <w:lang w:val="fr-CH" w:eastAsia="ja-JP"/>
              </w:rPr>
            </w:pPr>
          </w:p>
        </w:tc>
        <w:tc>
          <w:tcPr>
            <w:tcW w:w="3224" w:type="dxa"/>
            <w:vAlign w:val="center"/>
          </w:tcPr>
          <w:p w:rsidR="002B014C" w:rsidRPr="002B014C" w:rsidRDefault="002B014C" w:rsidP="00D21DDA">
            <w:pPr>
              <w:pStyle w:val="Tablehead"/>
              <w:rPr>
                <w:lang w:eastAsia="ja-JP"/>
              </w:rPr>
            </w:pPr>
            <w:r w:rsidRPr="002B014C">
              <w:rPr>
                <w:lang w:eastAsia="ja-JP"/>
              </w:rPr>
              <w:t>Gabarit d'émission</w:t>
            </w:r>
            <w:r w:rsidRPr="002B014C">
              <w:rPr>
                <w:lang w:eastAsia="ja-JP"/>
              </w:rPr>
              <w:br/>
              <w:t>non critique</w:t>
            </w:r>
          </w:p>
        </w:tc>
        <w:tc>
          <w:tcPr>
            <w:tcW w:w="3206" w:type="dxa"/>
            <w:vAlign w:val="center"/>
          </w:tcPr>
          <w:p w:rsidR="002B014C" w:rsidRPr="002B014C" w:rsidRDefault="002B014C" w:rsidP="00D21DDA">
            <w:pPr>
              <w:pStyle w:val="Tablehead"/>
              <w:rPr>
                <w:lang w:eastAsia="ja-JP"/>
              </w:rPr>
            </w:pPr>
            <w:r w:rsidRPr="002B014C">
              <w:rPr>
                <w:lang w:eastAsia="ja-JP"/>
              </w:rPr>
              <w:t>Cas sensibles</w:t>
            </w:r>
          </w:p>
        </w:tc>
      </w:tr>
      <w:tr w:rsidR="002B014C" w:rsidRPr="002B014C" w:rsidTr="002B014C">
        <w:trPr>
          <w:jc w:val="center"/>
        </w:trPr>
        <w:tc>
          <w:tcPr>
            <w:tcW w:w="3209" w:type="dxa"/>
            <w:vAlign w:val="center"/>
          </w:tcPr>
          <w:p w:rsidR="002B014C" w:rsidRPr="002B014C" w:rsidRDefault="002B014C" w:rsidP="00E43315">
            <w:pPr>
              <w:pStyle w:val="Tabletext"/>
              <w:jc w:val="center"/>
            </w:pPr>
            <w:r w:rsidRPr="002B014C">
              <w:t>–15</w:t>
            </w:r>
          </w:p>
        </w:tc>
        <w:tc>
          <w:tcPr>
            <w:tcW w:w="3224" w:type="dxa"/>
            <w:vAlign w:val="center"/>
          </w:tcPr>
          <w:p w:rsidR="002B014C" w:rsidRPr="002B014C" w:rsidRDefault="002B014C" w:rsidP="00E43315">
            <w:pPr>
              <w:pStyle w:val="Tabletext"/>
              <w:jc w:val="center"/>
            </w:pPr>
            <w:r w:rsidRPr="002B014C">
              <w:t>–110</w:t>
            </w:r>
          </w:p>
        </w:tc>
        <w:tc>
          <w:tcPr>
            <w:tcW w:w="3206" w:type="dxa"/>
            <w:vAlign w:val="center"/>
          </w:tcPr>
          <w:p w:rsidR="002B014C" w:rsidRPr="002B014C" w:rsidRDefault="002B014C" w:rsidP="00E43315">
            <w:pPr>
              <w:pStyle w:val="Tabletext"/>
              <w:jc w:val="center"/>
            </w:pPr>
            <w:r w:rsidRPr="002B014C">
              <w:t>–120</w:t>
            </w:r>
          </w:p>
        </w:tc>
      </w:tr>
      <w:tr w:rsidR="002B014C" w:rsidRPr="002B014C" w:rsidTr="002B014C">
        <w:trPr>
          <w:jc w:val="center"/>
        </w:trPr>
        <w:tc>
          <w:tcPr>
            <w:tcW w:w="3209" w:type="dxa"/>
            <w:vAlign w:val="center"/>
          </w:tcPr>
          <w:p w:rsidR="002B014C" w:rsidRPr="002B014C" w:rsidRDefault="002B014C" w:rsidP="00E43315">
            <w:pPr>
              <w:pStyle w:val="Tabletext"/>
              <w:jc w:val="center"/>
            </w:pPr>
            <w:r w:rsidRPr="002B014C">
              <w:t>–9</w:t>
            </w:r>
          </w:p>
        </w:tc>
        <w:tc>
          <w:tcPr>
            <w:tcW w:w="3224" w:type="dxa"/>
            <w:vAlign w:val="center"/>
          </w:tcPr>
          <w:p w:rsidR="002B014C" w:rsidRPr="002B014C" w:rsidRDefault="002B014C" w:rsidP="00E43315">
            <w:pPr>
              <w:pStyle w:val="Tabletext"/>
              <w:jc w:val="center"/>
            </w:pPr>
            <w:r w:rsidRPr="002B014C">
              <w:t>–110</w:t>
            </w:r>
          </w:p>
        </w:tc>
        <w:tc>
          <w:tcPr>
            <w:tcW w:w="3206" w:type="dxa"/>
            <w:vAlign w:val="center"/>
          </w:tcPr>
          <w:p w:rsidR="002B014C" w:rsidRPr="002B014C" w:rsidRDefault="002B014C" w:rsidP="00E43315">
            <w:pPr>
              <w:pStyle w:val="Tabletext"/>
              <w:jc w:val="center"/>
            </w:pPr>
            <w:r w:rsidRPr="002B014C">
              <w:t>–120</w:t>
            </w:r>
          </w:p>
        </w:tc>
      </w:tr>
      <w:tr w:rsidR="002B014C" w:rsidRPr="002B014C" w:rsidTr="002B014C">
        <w:trPr>
          <w:jc w:val="center"/>
        </w:trPr>
        <w:tc>
          <w:tcPr>
            <w:tcW w:w="3209" w:type="dxa"/>
            <w:vAlign w:val="center"/>
          </w:tcPr>
          <w:p w:rsidR="002B014C" w:rsidRPr="002B014C" w:rsidRDefault="002B014C" w:rsidP="00E43315">
            <w:pPr>
              <w:pStyle w:val="Tabletext"/>
              <w:jc w:val="center"/>
            </w:pPr>
            <w:r w:rsidRPr="002B014C">
              <w:t>–4,5</w:t>
            </w:r>
          </w:p>
        </w:tc>
        <w:tc>
          <w:tcPr>
            <w:tcW w:w="3224" w:type="dxa"/>
            <w:vAlign w:val="center"/>
          </w:tcPr>
          <w:p w:rsidR="002B014C" w:rsidRPr="002B014C" w:rsidRDefault="002B014C" w:rsidP="00E43315">
            <w:pPr>
              <w:pStyle w:val="Tabletext"/>
              <w:jc w:val="center"/>
            </w:pPr>
            <w:r w:rsidRPr="002B014C">
              <w:t>–85</w:t>
            </w:r>
          </w:p>
        </w:tc>
        <w:tc>
          <w:tcPr>
            <w:tcW w:w="3206" w:type="dxa"/>
            <w:vAlign w:val="center"/>
          </w:tcPr>
          <w:p w:rsidR="002B014C" w:rsidRPr="002B014C" w:rsidRDefault="002B014C" w:rsidP="00E43315">
            <w:pPr>
              <w:pStyle w:val="Tabletext"/>
              <w:jc w:val="center"/>
            </w:pPr>
            <w:r w:rsidRPr="002B014C">
              <w:t>–95</w:t>
            </w:r>
          </w:p>
        </w:tc>
      </w:tr>
      <w:tr w:rsidR="002B014C" w:rsidRPr="002B014C" w:rsidTr="002B014C">
        <w:trPr>
          <w:jc w:val="center"/>
        </w:trPr>
        <w:tc>
          <w:tcPr>
            <w:tcW w:w="3209" w:type="dxa"/>
            <w:vAlign w:val="center"/>
          </w:tcPr>
          <w:p w:rsidR="002B014C" w:rsidRPr="002B014C" w:rsidRDefault="002B014C" w:rsidP="00E43315">
            <w:pPr>
              <w:pStyle w:val="Tabletext"/>
              <w:jc w:val="center"/>
            </w:pPr>
            <w:r w:rsidRPr="002B014C">
              <w:t>–3,15</w:t>
            </w:r>
          </w:p>
        </w:tc>
        <w:tc>
          <w:tcPr>
            <w:tcW w:w="3224" w:type="dxa"/>
            <w:vAlign w:val="center"/>
          </w:tcPr>
          <w:p w:rsidR="002B014C" w:rsidRPr="002B014C" w:rsidRDefault="002B014C" w:rsidP="00E43315">
            <w:pPr>
              <w:pStyle w:val="Tabletext"/>
              <w:jc w:val="center"/>
            </w:pPr>
            <w:r w:rsidRPr="002B014C">
              <w:t>–73</w:t>
            </w:r>
          </w:p>
        </w:tc>
        <w:tc>
          <w:tcPr>
            <w:tcW w:w="3206" w:type="dxa"/>
            <w:vAlign w:val="center"/>
          </w:tcPr>
          <w:p w:rsidR="002B014C" w:rsidRPr="002B014C" w:rsidRDefault="002B014C" w:rsidP="00E43315">
            <w:pPr>
              <w:pStyle w:val="Tabletext"/>
              <w:jc w:val="center"/>
            </w:pPr>
            <w:r w:rsidRPr="002B014C">
              <w:t>–83</w:t>
            </w:r>
          </w:p>
        </w:tc>
      </w:tr>
      <w:tr w:rsidR="002B014C" w:rsidRPr="002B014C" w:rsidTr="002B014C">
        <w:trPr>
          <w:jc w:val="center"/>
        </w:trPr>
        <w:tc>
          <w:tcPr>
            <w:tcW w:w="3209" w:type="dxa"/>
            <w:vAlign w:val="center"/>
          </w:tcPr>
          <w:p w:rsidR="002B014C" w:rsidRPr="002B014C" w:rsidRDefault="002B014C" w:rsidP="00E43315">
            <w:pPr>
              <w:pStyle w:val="Tabletext"/>
              <w:jc w:val="center"/>
            </w:pPr>
            <w:r w:rsidRPr="002B014C">
              <w:t>–2,85</w:t>
            </w:r>
          </w:p>
        </w:tc>
        <w:tc>
          <w:tcPr>
            <w:tcW w:w="3224" w:type="dxa"/>
            <w:vAlign w:val="center"/>
          </w:tcPr>
          <w:p w:rsidR="002B014C" w:rsidRPr="002B014C" w:rsidRDefault="002B014C" w:rsidP="00E43315">
            <w:pPr>
              <w:pStyle w:val="Tabletext"/>
              <w:jc w:val="center"/>
            </w:pPr>
            <w:r w:rsidRPr="002B014C">
              <w:t>–31,4</w:t>
            </w:r>
          </w:p>
        </w:tc>
        <w:tc>
          <w:tcPr>
            <w:tcW w:w="3206" w:type="dxa"/>
            <w:vAlign w:val="center"/>
          </w:tcPr>
          <w:p w:rsidR="002B014C" w:rsidRPr="002B014C" w:rsidRDefault="002B014C" w:rsidP="00E43315">
            <w:pPr>
              <w:pStyle w:val="Tabletext"/>
              <w:jc w:val="center"/>
            </w:pPr>
            <w:r w:rsidRPr="002B014C">
              <w:t>–31,4</w:t>
            </w:r>
          </w:p>
        </w:tc>
      </w:tr>
    </w:tbl>
    <w:p w:rsidR="00750B1C" w:rsidRDefault="00750B1C">
      <w:r>
        <w:br w:type="page"/>
      </w:r>
    </w:p>
    <w:p w:rsidR="00750B1C" w:rsidRPr="002B014C" w:rsidRDefault="00750B1C" w:rsidP="00750B1C">
      <w:pPr>
        <w:pStyle w:val="TableNo"/>
        <w:rPr>
          <w:lang w:val="fr-CH"/>
        </w:rPr>
      </w:pPr>
      <w:r w:rsidRPr="002B014C">
        <w:rPr>
          <w:rFonts w:hint="eastAsia"/>
          <w:lang w:val="fr-CH" w:eastAsia="ja-JP"/>
        </w:rPr>
        <w:lastRenderedPageBreak/>
        <w:t>TABLE</w:t>
      </w:r>
      <w:r w:rsidRPr="002B014C">
        <w:rPr>
          <w:lang w:val="fr-CH" w:eastAsia="ja-JP"/>
        </w:rPr>
        <w:t>AU</w:t>
      </w:r>
      <w:r w:rsidRPr="002B014C">
        <w:rPr>
          <w:rFonts w:hint="eastAsia"/>
          <w:lang w:val="fr-CH" w:eastAsia="ja-JP"/>
        </w:rPr>
        <w:t xml:space="preserve"> 6</w:t>
      </w:r>
      <w:r>
        <w:rPr>
          <w:lang w:val="fr-CH" w:eastAsia="ja-JP"/>
        </w:rPr>
        <w:t xml:space="preserve"> (</w:t>
      </w:r>
      <w:r w:rsidRPr="00750B1C">
        <w:rPr>
          <w:i/>
          <w:iCs/>
          <w:lang w:val="fr-CH" w:eastAsia="ja-JP"/>
        </w:rPr>
        <w:t>fin</w:t>
      </w:r>
      <w:r>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750B1C" w:rsidRPr="002B014C" w:rsidTr="00C621CB">
        <w:trPr>
          <w:jc w:val="center"/>
        </w:trPr>
        <w:tc>
          <w:tcPr>
            <w:tcW w:w="3209" w:type="dxa"/>
            <w:vMerge w:val="restart"/>
            <w:vAlign w:val="center"/>
          </w:tcPr>
          <w:p w:rsidR="00750B1C" w:rsidRPr="002B014C" w:rsidRDefault="00750B1C" w:rsidP="00C621CB">
            <w:pPr>
              <w:pStyle w:val="Tablehead"/>
              <w:rPr>
                <w:lang w:val="fr-CH" w:eastAsia="ja-JP"/>
              </w:rPr>
            </w:pPr>
            <w:r w:rsidRPr="002B014C">
              <w:t>Fréquence par rapport au centre du canal de 8 MHz (MHz)</w:t>
            </w:r>
          </w:p>
        </w:tc>
        <w:tc>
          <w:tcPr>
            <w:tcW w:w="6430" w:type="dxa"/>
            <w:gridSpan w:val="2"/>
            <w:vAlign w:val="center"/>
          </w:tcPr>
          <w:p w:rsidR="00750B1C" w:rsidRPr="002B014C" w:rsidRDefault="00750B1C" w:rsidP="00C621CB">
            <w:pPr>
              <w:pStyle w:val="Tablehead"/>
              <w:rPr>
                <w:lang w:val="fr-CH" w:eastAsia="ja-JP"/>
              </w:rPr>
            </w:pPr>
            <w:r w:rsidRPr="002B014C">
              <w:t>Niveau relatif dans une largeur de bande de mesure de 4 kHz (dB)</w:t>
            </w:r>
          </w:p>
        </w:tc>
      </w:tr>
      <w:tr w:rsidR="00750B1C" w:rsidRPr="002B014C" w:rsidTr="00C621CB">
        <w:trPr>
          <w:jc w:val="center"/>
        </w:trPr>
        <w:tc>
          <w:tcPr>
            <w:tcW w:w="3209" w:type="dxa"/>
            <w:vMerge/>
            <w:vAlign w:val="center"/>
          </w:tcPr>
          <w:p w:rsidR="00750B1C" w:rsidRPr="002B014C" w:rsidRDefault="00750B1C" w:rsidP="00C621CB">
            <w:pPr>
              <w:pStyle w:val="Tablehead"/>
              <w:rPr>
                <w:lang w:val="fr-CH" w:eastAsia="ja-JP"/>
              </w:rPr>
            </w:pPr>
          </w:p>
        </w:tc>
        <w:tc>
          <w:tcPr>
            <w:tcW w:w="3224" w:type="dxa"/>
            <w:vAlign w:val="center"/>
          </w:tcPr>
          <w:p w:rsidR="00750B1C" w:rsidRPr="002B014C" w:rsidRDefault="00750B1C" w:rsidP="00C621CB">
            <w:pPr>
              <w:pStyle w:val="Tablehead"/>
              <w:rPr>
                <w:lang w:eastAsia="ja-JP"/>
              </w:rPr>
            </w:pPr>
            <w:r w:rsidRPr="002B014C">
              <w:rPr>
                <w:lang w:eastAsia="ja-JP"/>
              </w:rPr>
              <w:t>Gabarit d'émission</w:t>
            </w:r>
            <w:r w:rsidRPr="002B014C">
              <w:rPr>
                <w:lang w:eastAsia="ja-JP"/>
              </w:rPr>
              <w:br/>
              <w:t>non critique</w:t>
            </w:r>
          </w:p>
        </w:tc>
        <w:tc>
          <w:tcPr>
            <w:tcW w:w="3206" w:type="dxa"/>
            <w:vAlign w:val="center"/>
          </w:tcPr>
          <w:p w:rsidR="00750B1C" w:rsidRPr="002B014C" w:rsidRDefault="00750B1C" w:rsidP="00C621CB">
            <w:pPr>
              <w:pStyle w:val="Tablehead"/>
              <w:rPr>
                <w:lang w:eastAsia="ja-JP"/>
              </w:rPr>
            </w:pPr>
            <w:r w:rsidRPr="002B014C">
              <w:rPr>
                <w:lang w:eastAsia="ja-JP"/>
              </w:rPr>
              <w:t>Cas sensibles</w:t>
            </w:r>
          </w:p>
        </w:tc>
      </w:tr>
      <w:tr w:rsidR="002B014C" w:rsidRPr="002B014C" w:rsidTr="002B014C">
        <w:trPr>
          <w:jc w:val="center"/>
        </w:trPr>
        <w:tc>
          <w:tcPr>
            <w:tcW w:w="3209" w:type="dxa"/>
            <w:vAlign w:val="center"/>
          </w:tcPr>
          <w:p w:rsidR="002B014C" w:rsidRPr="002B014C" w:rsidRDefault="002B014C" w:rsidP="00E43315">
            <w:pPr>
              <w:pStyle w:val="Tabletext"/>
              <w:jc w:val="center"/>
            </w:pPr>
            <w:r w:rsidRPr="002B014C">
              <w:t>2,85</w:t>
            </w:r>
          </w:p>
        </w:tc>
        <w:tc>
          <w:tcPr>
            <w:tcW w:w="3224" w:type="dxa"/>
            <w:vAlign w:val="center"/>
          </w:tcPr>
          <w:p w:rsidR="002B014C" w:rsidRPr="002B014C" w:rsidRDefault="002B014C" w:rsidP="00E43315">
            <w:pPr>
              <w:pStyle w:val="Tabletext"/>
              <w:jc w:val="center"/>
            </w:pPr>
            <w:r w:rsidRPr="002B014C">
              <w:t>–31,4</w:t>
            </w:r>
          </w:p>
        </w:tc>
        <w:tc>
          <w:tcPr>
            <w:tcW w:w="3206" w:type="dxa"/>
            <w:vAlign w:val="center"/>
          </w:tcPr>
          <w:p w:rsidR="002B014C" w:rsidRPr="002B014C" w:rsidRDefault="002B014C" w:rsidP="00E43315">
            <w:pPr>
              <w:pStyle w:val="Tabletext"/>
              <w:jc w:val="center"/>
            </w:pPr>
            <w:r w:rsidRPr="002B014C">
              <w:t>–31,4</w:t>
            </w:r>
          </w:p>
        </w:tc>
      </w:tr>
      <w:tr w:rsidR="002B014C" w:rsidRPr="002B014C" w:rsidTr="002B014C">
        <w:trPr>
          <w:jc w:val="center"/>
        </w:trPr>
        <w:tc>
          <w:tcPr>
            <w:tcW w:w="3209" w:type="dxa"/>
            <w:vAlign w:val="center"/>
          </w:tcPr>
          <w:p w:rsidR="002B014C" w:rsidRPr="002B014C" w:rsidRDefault="002B014C" w:rsidP="00E43315">
            <w:pPr>
              <w:pStyle w:val="Tabletext"/>
              <w:jc w:val="center"/>
            </w:pPr>
            <w:r w:rsidRPr="002B014C">
              <w:t>3,15</w:t>
            </w:r>
          </w:p>
        </w:tc>
        <w:tc>
          <w:tcPr>
            <w:tcW w:w="3224" w:type="dxa"/>
            <w:vAlign w:val="center"/>
          </w:tcPr>
          <w:p w:rsidR="002B014C" w:rsidRPr="002B014C" w:rsidRDefault="002B014C" w:rsidP="00E43315">
            <w:pPr>
              <w:pStyle w:val="Tabletext"/>
              <w:jc w:val="center"/>
            </w:pPr>
            <w:r w:rsidRPr="002B014C">
              <w:t>–73</w:t>
            </w:r>
          </w:p>
        </w:tc>
        <w:tc>
          <w:tcPr>
            <w:tcW w:w="3206" w:type="dxa"/>
            <w:vAlign w:val="center"/>
          </w:tcPr>
          <w:p w:rsidR="002B014C" w:rsidRPr="002B014C" w:rsidRDefault="002B014C" w:rsidP="00E43315">
            <w:pPr>
              <w:pStyle w:val="Tabletext"/>
              <w:jc w:val="center"/>
            </w:pPr>
            <w:r w:rsidRPr="002B014C">
              <w:t>–83</w:t>
            </w:r>
          </w:p>
        </w:tc>
      </w:tr>
      <w:tr w:rsidR="002B014C" w:rsidRPr="002B014C" w:rsidTr="002B014C">
        <w:trPr>
          <w:jc w:val="center"/>
        </w:trPr>
        <w:tc>
          <w:tcPr>
            <w:tcW w:w="3209" w:type="dxa"/>
            <w:vAlign w:val="center"/>
          </w:tcPr>
          <w:p w:rsidR="002B014C" w:rsidRPr="002B014C" w:rsidRDefault="002B014C" w:rsidP="00E43315">
            <w:pPr>
              <w:pStyle w:val="Tabletext"/>
              <w:jc w:val="center"/>
            </w:pPr>
            <w:r w:rsidRPr="002B014C">
              <w:t>4,5</w:t>
            </w:r>
          </w:p>
        </w:tc>
        <w:tc>
          <w:tcPr>
            <w:tcW w:w="3224" w:type="dxa"/>
            <w:vAlign w:val="center"/>
          </w:tcPr>
          <w:p w:rsidR="002B014C" w:rsidRPr="002B014C" w:rsidRDefault="002B014C" w:rsidP="00E43315">
            <w:pPr>
              <w:pStyle w:val="Tabletext"/>
              <w:jc w:val="center"/>
            </w:pPr>
            <w:r w:rsidRPr="002B014C">
              <w:t>–85</w:t>
            </w:r>
          </w:p>
        </w:tc>
        <w:tc>
          <w:tcPr>
            <w:tcW w:w="3206" w:type="dxa"/>
            <w:vAlign w:val="center"/>
          </w:tcPr>
          <w:p w:rsidR="002B014C" w:rsidRPr="002B014C" w:rsidRDefault="002B014C" w:rsidP="00E43315">
            <w:pPr>
              <w:pStyle w:val="Tabletext"/>
              <w:jc w:val="center"/>
            </w:pPr>
            <w:r w:rsidRPr="002B014C">
              <w:t>–95</w:t>
            </w:r>
          </w:p>
        </w:tc>
      </w:tr>
      <w:tr w:rsidR="002B014C" w:rsidRPr="002B014C" w:rsidTr="002B014C">
        <w:trPr>
          <w:jc w:val="center"/>
        </w:trPr>
        <w:tc>
          <w:tcPr>
            <w:tcW w:w="3209" w:type="dxa"/>
            <w:vAlign w:val="center"/>
          </w:tcPr>
          <w:p w:rsidR="002B014C" w:rsidRPr="002B014C" w:rsidRDefault="002B014C" w:rsidP="00E43315">
            <w:pPr>
              <w:pStyle w:val="Tabletext"/>
              <w:jc w:val="center"/>
            </w:pPr>
            <w:r w:rsidRPr="002B014C">
              <w:t>9</w:t>
            </w:r>
          </w:p>
        </w:tc>
        <w:tc>
          <w:tcPr>
            <w:tcW w:w="3224" w:type="dxa"/>
            <w:vAlign w:val="center"/>
          </w:tcPr>
          <w:p w:rsidR="002B014C" w:rsidRPr="002B014C" w:rsidRDefault="002B014C" w:rsidP="00E43315">
            <w:pPr>
              <w:pStyle w:val="Tabletext"/>
              <w:jc w:val="center"/>
            </w:pPr>
            <w:r w:rsidRPr="002B014C">
              <w:t>–110</w:t>
            </w:r>
          </w:p>
        </w:tc>
        <w:tc>
          <w:tcPr>
            <w:tcW w:w="3206" w:type="dxa"/>
            <w:vAlign w:val="center"/>
          </w:tcPr>
          <w:p w:rsidR="002B014C" w:rsidRPr="002B014C" w:rsidRDefault="002B014C" w:rsidP="00E43315">
            <w:pPr>
              <w:pStyle w:val="Tabletext"/>
              <w:jc w:val="center"/>
            </w:pPr>
            <w:r w:rsidRPr="002B014C">
              <w:t>–120</w:t>
            </w:r>
          </w:p>
        </w:tc>
      </w:tr>
      <w:tr w:rsidR="002B014C" w:rsidRPr="002B014C" w:rsidTr="002B014C">
        <w:trPr>
          <w:jc w:val="center"/>
        </w:trPr>
        <w:tc>
          <w:tcPr>
            <w:tcW w:w="3209" w:type="dxa"/>
            <w:vAlign w:val="center"/>
          </w:tcPr>
          <w:p w:rsidR="002B014C" w:rsidRPr="002B014C" w:rsidRDefault="002B014C" w:rsidP="00E43315">
            <w:pPr>
              <w:pStyle w:val="Tabletext"/>
              <w:jc w:val="center"/>
            </w:pPr>
            <w:r w:rsidRPr="002B014C">
              <w:t>15</w:t>
            </w:r>
          </w:p>
        </w:tc>
        <w:tc>
          <w:tcPr>
            <w:tcW w:w="3224" w:type="dxa"/>
            <w:vAlign w:val="center"/>
          </w:tcPr>
          <w:p w:rsidR="002B014C" w:rsidRPr="002B014C" w:rsidRDefault="002B014C" w:rsidP="00E43315">
            <w:pPr>
              <w:pStyle w:val="Tabletext"/>
              <w:jc w:val="center"/>
            </w:pPr>
            <w:r w:rsidRPr="002B014C">
              <w:t>–110</w:t>
            </w:r>
          </w:p>
        </w:tc>
        <w:tc>
          <w:tcPr>
            <w:tcW w:w="3206" w:type="dxa"/>
            <w:vAlign w:val="center"/>
          </w:tcPr>
          <w:p w:rsidR="002B014C" w:rsidRPr="002B014C" w:rsidRDefault="002B014C" w:rsidP="00E43315">
            <w:pPr>
              <w:pStyle w:val="Tabletext"/>
              <w:jc w:val="center"/>
            </w:pPr>
            <w:r w:rsidRPr="002B014C">
              <w:t>–120</w:t>
            </w:r>
          </w:p>
        </w:tc>
      </w:tr>
      <w:bookmarkEnd w:id="5"/>
    </w:tbl>
    <w:p w:rsidR="00F564BF" w:rsidRDefault="00F564BF" w:rsidP="00F564BF">
      <w:pPr>
        <w:pStyle w:val="Tablefin"/>
        <w:rPr>
          <w:lang w:eastAsia="ja-JP"/>
        </w:rPr>
      </w:pPr>
    </w:p>
    <w:p w:rsidR="002B014C" w:rsidRPr="002B014C" w:rsidRDefault="002B014C" w:rsidP="00F564BF">
      <w:pPr>
        <w:pStyle w:val="Heading1"/>
        <w:rPr>
          <w:lang w:eastAsia="ja-JP"/>
        </w:rPr>
      </w:pPr>
      <w:r w:rsidRPr="002B014C">
        <w:rPr>
          <w:lang w:eastAsia="ja-JP"/>
        </w:rPr>
        <w:t>2</w:t>
      </w:r>
      <w:r w:rsidRPr="002B014C">
        <w:rPr>
          <w:lang w:eastAsia="ja-JP"/>
        </w:rPr>
        <w:tab/>
        <w:t>Gabarits de limite spectrale propres au système D (DTMB) utilisant un découpage en canaux de 7 MHz</w:t>
      </w:r>
    </w:p>
    <w:p w:rsidR="002B014C" w:rsidRPr="002B014C" w:rsidRDefault="002B014C" w:rsidP="00F564BF">
      <w:pPr>
        <w:rPr>
          <w:lang w:eastAsia="ja-JP"/>
        </w:rPr>
      </w:pPr>
      <w:r w:rsidRPr="002B014C">
        <w:rPr>
          <w:lang w:eastAsia="ja-JP"/>
        </w:rPr>
        <w:t>Pour un système de télévision numérique utilisant des canaux de 7 MHz, le domaine des émissions hors bande s'étend de ±3,5 MHz (c'est</w:t>
      </w:r>
      <w:r w:rsidRPr="002B014C">
        <w:rPr>
          <w:lang w:eastAsia="ja-JP"/>
        </w:rPr>
        <w:noBreakHyphen/>
        <w:t>à</w:t>
      </w:r>
      <w:r w:rsidRPr="002B014C">
        <w:rPr>
          <w:lang w:eastAsia="ja-JP"/>
        </w:rPr>
        <w:noBreakHyphen/>
        <w:t>dire ±0,5 × 7 MHz) à ±17,5 MHz (c'est</w:t>
      </w:r>
      <w:r w:rsidRPr="002B014C">
        <w:rPr>
          <w:lang w:eastAsia="ja-JP"/>
        </w:rPr>
        <w:noBreakHyphen/>
        <w:t>à</w:t>
      </w:r>
      <w:r w:rsidRPr="002B014C">
        <w:rPr>
          <w:lang w:eastAsia="ja-JP"/>
        </w:rPr>
        <w:noBreakHyphen/>
        <w:t>dire ±2,5 × 7 MHz) par rapport au centre du canal.</w:t>
      </w:r>
    </w:p>
    <w:p w:rsidR="002B014C" w:rsidRPr="002B014C" w:rsidRDefault="002B014C" w:rsidP="00F564BF">
      <w:pPr>
        <w:rPr>
          <w:lang w:eastAsia="ja-JP"/>
        </w:rPr>
      </w:pPr>
      <w:r w:rsidRPr="002B014C">
        <w:rPr>
          <w:lang w:eastAsia="ja-JP"/>
        </w:rPr>
        <w:t>Deux gabarits spectraux sont donnés dans la Fig. 10 et le Tableau 7 associé. La courbe supérieure correspond au gabarit spectral pour les cas non critiques et la courbe inférieure correspond au gabarit spectral pour les cas sensibles.</w:t>
      </w:r>
    </w:p>
    <w:p w:rsidR="002B014C" w:rsidRPr="002B014C" w:rsidRDefault="002B014C" w:rsidP="00EB50B2">
      <w:pPr>
        <w:pStyle w:val="FigureNo"/>
        <w:rPr>
          <w:lang w:val="fr-CH" w:eastAsia="zh-CN"/>
        </w:rPr>
      </w:pPr>
      <w:r w:rsidRPr="002B014C">
        <w:rPr>
          <w:rFonts w:hint="eastAsia"/>
          <w:lang w:val="fr-CH"/>
        </w:rPr>
        <w:t>Figure</w:t>
      </w:r>
      <w:r w:rsidRPr="002B014C">
        <w:rPr>
          <w:rFonts w:hint="eastAsia"/>
          <w:lang w:val="fr-CH" w:eastAsia="ja-JP"/>
        </w:rPr>
        <w:t xml:space="preserve"> </w:t>
      </w:r>
      <w:r w:rsidRPr="002B014C">
        <w:rPr>
          <w:lang w:val="fr-CH" w:eastAsia="zh-CN"/>
        </w:rPr>
        <w:t>10</w:t>
      </w:r>
    </w:p>
    <w:p w:rsidR="002B014C" w:rsidRPr="002B014C" w:rsidRDefault="002B014C" w:rsidP="00EB50B2">
      <w:pPr>
        <w:pStyle w:val="Figuretitle"/>
        <w:rPr>
          <w:lang w:val="fr-CH" w:eastAsia="ja-JP"/>
        </w:rPr>
      </w:pPr>
      <w:r w:rsidRPr="002B014C">
        <w:rPr>
          <w:lang w:val="fr-CH" w:eastAsia="ja-JP"/>
        </w:rPr>
        <w:t>Gabarits de limite spectrale propres au système</w:t>
      </w:r>
      <w:r w:rsidRPr="002B014C">
        <w:rPr>
          <w:rFonts w:hint="eastAsia"/>
          <w:lang w:val="fr-CH" w:eastAsia="zh-CN"/>
        </w:rPr>
        <w:t xml:space="preserve"> D</w:t>
      </w:r>
      <w:r w:rsidRPr="002B014C">
        <w:rPr>
          <w:rFonts w:hint="eastAsia"/>
          <w:lang w:val="fr-CH" w:eastAsia="ja-JP"/>
        </w:rPr>
        <w:t xml:space="preserve"> (D</w:t>
      </w:r>
      <w:r w:rsidRPr="002B014C">
        <w:rPr>
          <w:rFonts w:hint="eastAsia"/>
          <w:lang w:val="fr-CH" w:eastAsia="zh-CN"/>
        </w:rPr>
        <w:t>TMB</w:t>
      </w:r>
      <w:r w:rsidRPr="002B014C">
        <w:rPr>
          <w:rFonts w:hint="eastAsia"/>
          <w:lang w:val="fr-CH" w:eastAsia="ja-JP"/>
        </w:rPr>
        <w:t>)</w:t>
      </w:r>
      <w:r w:rsidRPr="002B014C">
        <w:rPr>
          <w:lang w:val="fr-CH" w:eastAsia="ja-JP"/>
        </w:rPr>
        <w:t xml:space="preserve"> utilisant un découpage </w:t>
      </w:r>
      <w:r w:rsidRPr="002B014C">
        <w:rPr>
          <w:lang w:val="fr-CH" w:eastAsia="ja-JP"/>
        </w:rPr>
        <w:br/>
        <w:t>en canaux de </w:t>
      </w:r>
      <w:r w:rsidRPr="002B014C">
        <w:rPr>
          <w:lang w:val="fr-CH" w:eastAsia="zh-CN"/>
        </w:rPr>
        <w:t>7</w:t>
      </w:r>
      <w:r w:rsidRPr="002B014C">
        <w:rPr>
          <w:lang w:val="fr-CH" w:eastAsia="ja-JP"/>
        </w:rPr>
        <w:t xml:space="preserve"> </w:t>
      </w:r>
      <w:r w:rsidRPr="002B014C">
        <w:rPr>
          <w:rFonts w:hint="eastAsia"/>
          <w:lang w:val="fr-CH" w:eastAsia="ja-JP"/>
        </w:rPr>
        <w:t>MHz</w:t>
      </w:r>
    </w:p>
    <w:p w:rsidR="002B014C" w:rsidRPr="002B014C" w:rsidRDefault="002B014C" w:rsidP="00EB50B2">
      <w:pPr>
        <w:pStyle w:val="Figure"/>
        <w:rPr>
          <w:lang w:val="en-US" w:eastAsia="ja-JP"/>
        </w:rPr>
      </w:pPr>
      <w:r w:rsidRPr="002B014C">
        <w:object w:dxaOrig="4708" w:dyaOrig="2416">
          <v:shape id="_x0000_i1034" type="#_x0000_t75" style="width:372.9pt;height:191.8pt" o:ole="">
            <v:imagedata r:id="rId31" o:title=""/>
          </v:shape>
          <o:OLEObject Type="Embed" ProgID="CorelDRAW.Graphic.14" ShapeID="_x0000_i1034" DrawAspect="Content" ObjectID="_1498452940" r:id="rId32"/>
        </w:object>
      </w:r>
    </w:p>
    <w:p w:rsidR="002B014C" w:rsidRPr="002B014C" w:rsidRDefault="002B014C" w:rsidP="00750B1C">
      <w:pPr>
        <w:pStyle w:val="TableNo"/>
        <w:keepLines/>
      </w:pPr>
      <w:r w:rsidRPr="002B014C">
        <w:lastRenderedPageBreak/>
        <w:t>TABLEAU 7</w:t>
      </w:r>
    </w:p>
    <w:p w:rsidR="002B014C" w:rsidRPr="002B014C" w:rsidRDefault="002B014C" w:rsidP="00750B1C">
      <w:pPr>
        <w:pStyle w:val="Tabletitle"/>
        <w:keepLines/>
        <w:rPr>
          <w:lang w:eastAsia="ja-JP"/>
        </w:rPr>
      </w:pPr>
      <w:r w:rsidRPr="002B014C">
        <w:rPr>
          <w:lang w:eastAsia="ja-JP"/>
        </w:rPr>
        <w:t>Tableau des points de rupture correspondant à la Fig. 10 pour le système D (DTMB) utilisant un découpage en canaux de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2B014C" w:rsidRPr="002B014C" w:rsidTr="002B014C">
        <w:trPr>
          <w:jc w:val="center"/>
        </w:trPr>
        <w:tc>
          <w:tcPr>
            <w:tcW w:w="2897" w:type="dxa"/>
            <w:vMerge w:val="restart"/>
            <w:vAlign w:val="center"/>
          </w:tcPr>
          <w:p w:rsidR="002B014C" w:rsidRPr="002B014C" w:rsidRDefault="002B014C" w:rsidP="00750B1C">
            <w:pPr>
              <w:pStyle w:val="Tablehead"/>
              <w:keepLines/>
            </w:pPr>
            <w:r w:rsidRPr="002B014C">
              <w:t>Fréquence par rapport au centre du canal de 7 MHz (MHz)</w:t>
            </w:r>
          </w:p>
        </w:tc>
        <w:tc>
          <w:tcPr>
            <w:tcW w:w="6742" w:type="dxa"/>
            <w:gridSpan w:val="2"/>
            <w:vAlign w:val="center"/>
          </w:tcPr>
          <w:p w:rsidR="002B014C" w:rsidRPr="002B014C" w:rsidRDefault="002B014C" w:rsidP="00750B1C">
            <w:pPr>
              <w:pStyle w:val="Tablehead"/>
              <w:keepLines/>
            </w:pPr>
            <w:r w:rsidRPr="002B014C">
              <w:t>Niveau relatif dans une largeur de bande de mesure de 4 kHz (dB)</w:t>
            </w:r>
          </w:p>
        </w:tc>
      </w:tr>
      <w:tr w:rsidR="002B014C" w:rsidRPr="002B014C" w:rsidTr="002B014C">
        <w:trPr>
          <w:jc w:val="center"/>
        </w:trPr>
        <w:tc>
          <w:tcPr>
            <w:tcW w:w="2897" w:type="dxa"/>
            <w:vMerge/>
            <w:vAlign w:val="center"/>
          </w:tcPr>
          <w:p w:rsidR="002B014C" w:rsidRPr="002B014C" w:rsidRDefault="002B014C" w:rsidP="00750B1C">
            <w:pPr>
              <w:pStyle w:val="Tablehead"/>
              <w:keepLines/>
            </w:pPr>
          </w:p>
        </w:tc>
        <w:tc>
          <w:tcPr>
            <w:tcW w:w="3224" w:type="dxa"/>
            <w:vAlign w:val="center"/>
          </w:tcPr>
          <w:p w:rsidR="002B014C" w:rsidRPr="002B014C" w:rsidRDefault="002B014C" w:rsidP="00750B1C">
            <w:pPr>
              <w:pStyle w:val="Tablehead"/>
              <w:keepLines/>
            </w:pPr>
            <w:r w:rsidRPr="002B014C">
              <w:t>Gabarit d'émission non critique</w:t>
            </w:r>
          </w:p>
        </w:tc>
        <w:tc>
          <w:tcPr>
            <w:tcW w:w="3518" w:type="dxa"/>
            <w:vAlign w:val="center"/>
          </w:tcPr>
          <w:p w:rsidR="002B014C" w:rsidRPr="002B014C" w:rsidRDefault="002B014C" w:rsidP="00750B1C">
            <w:pPr>
              <w:pStyle w:val="Tablehead"/>
              <w:keepLines/>
            </w:pPr>
            <w:r w:rsidRPr="002B014C">
              <w:t>Cas sensibles</w:t>
            </w:r>
          </w:p>
        </w:tc>
      </w:tr>
      <w:tr w:rsidR="002B014C" w:rsidRPr="002B014C" w:rsidTr="002B014C">
        <w:trPr>
          <w:jc w:val="center"/>
        </w:trPr>
        <w:tc>
          <w:tcPr>
            <w:tcW w:w="2897" w:type="dxa"/>
          </w:tcPr>
          <w:p w:rsidR="002B014C" w:rsidRPr="002B014C" w:rsidRDefault="002B014C" w:rsidP="00750B1C">
            <w:pPr>
              <w:pStyle w:val="Tabletext"/>
              <w:keepNext/>
              <w:keepLines/>
              <w:jc w:val="center"/>
            </w:pPr>
            <w:r w:rsidRPr="002B014C">
              <w:t>–17,5</w:t>
            </w:r>
          </w:p>
        </w:tc>
        <w:tc>
          <w:tcPr>
            <w:tcW w:w="3224" w:type="dxa"/>
          </w:tcPr>
          <w:p w:rsidR="002B014C" w:rsidRPr="002B014C" w:rsidRDefault="002B014C" w:rsidP="00750B1C">
            <w:pPr>
              <w:pStyle w:val="Tabletext"/>
              <w:keepNext/>
              <w:keepLines/>
              <w:jc w:val="center"/>
            </w:pPr>
            <w:r w:rsidRPr="002B014C">
              <w:t>–110</w:t>
            </w:r>
          </w:p>
        </w:tc>
        <w:tc>
          <w:tcPr>
            <w:tcW w:w="3518" w:type="dxa"/>
          </w:tcPr>
          <w:p w:rsidR="002B014C" w:rsidRPr="002B014C" w:rsidRDefault="002B014C" w:rsidP="00750B1C">
            <w:pPr>
              <w:pStyle w:val="Tabletext"/>
              <w:keepNext/>
              <w:keepLines/>
              <w:jc w:val="center"/>
            </w:pPr>
            <w:r w:rsidRPr="002B014C">
              <w:t>–120</w:t>
            </w:r>
          </w:p>
        </w:tc>
      </w:tr>
      <w:tr w:rsidR="002B014C" w:rsidRPr="002B014C" w:rsidTr="002B014C">
        <w:trPr>
          <w:jc w:val="center"/>
        </w:trPr>
        <w:tc>
          <w:tcPr>
            <w:tcW w:w="2897" w:type="dxa"/>
          </w:tcPr>
          <w:p w:rsidR="002B014C" w:rsidRPr="002B014C" w:rsidRDefault="002B014C" w:rsidP="00750B1C">
            <w:pPr>
              <w:pStyle w:val="Tabletext"/>
              <w:keepNext/>
              <w:keepLines/>
              <w:jc w:val="center"/>
            </w:pPr>
            <w:r w:rsidRPr="002B014C">
              <w:t>–10,5</w:t>
            </w:r>
          </w:p>
        </w:tc>
        <w:tc>
          <w:tcPr>
            <w:tcW w:w="3224" w:type="dxa"/>
          </w:tcPr>
          <w:p w:rsidR="002B014C" w:rsidRPr="002B014C" w:rsidRDefault="002B014C" w:rsidP="00750B1C">
            <w:pPr>
              <w:pStyle w:val="Tabletext"/>
              <w:keepNext/>
              <w:keepLines/>
              <w:jc w:val="center"/>
            </w:pPr>
            <w:r w:rsidRPr="002B014C">
              <w:t>–110</w:t>
            </w:r>
          </w:p>
        </w:tc>
        <w:tc>
          <w:tcPr>
            <w:tcW w:w="3518" w:type="dxa"/>
          </w:tcPr>
          <w:p w:rsidR="002B014C" w:rsidRPr="002B014C" w:rsidRDefault="002B014C" w:rsidP="00750B1C">
            <w:pPr>
              <w:pStyle w:val="Tabletext"/>
              <w:keepNext/>
              <w:keepLines/>
              <w:jc w:val="center"/>
            </w:pPr>
            <w:r w:rsidRPr="002B014C">
              <w:t>–120</w:t>
            </w:r>
          </w:p>
        </w:tc>
      </w:tr>
      <w:tr w:rsidR="002B014C" w:rsidRPr="002B014C" w:rsidTr="002B014C">
        <w:trPr>
          <w:jc w:val="center"/>
        </w:trPr>
        <w:tc>
          <w:tcPr>
            <w:tcW w:w="2897" w:type="dxa"/>
          </w:tcPr>
          <w:p w:rsidR="002B014C" w:rsidRPr="002B014C" w:rsidRDefault="002B014C" w:rsidP="00750B1C">
            <w:pPr>
              <w:pStyle w:val="Tabletext"/>
              <w:keepNext/>
              <w:keepLines/>
              <w:jc w:val="center"/>
            </w:pPr>
            <w:r w:rsidRPr="002B014C">
              <w:t>–5,25</w:t>
            </w:r>
          </w:p>
        </w:tc>
        <w:tc>
          <w:tcPr>
            <w:tcW w:w="3224" w:type="dxa"/>
          </w:tcPr>
          <w:p w:rsidR="002B014C" w:rsidRPr="002B014C" w:rsidRDefault="002B014C" w:rsidP="00750B1C">
            <w:pPr>
              <w:pStyle w:val="Tabletext"/>
              <w:keepNext/>
              <w:keepLines/>
              <w:jc w:val="center"/>
            </w:pPr>
            <w:r w:rsidRPr="002B014C">
              <w:t>–85</w:t>
            </w:r>
          </w:p>
        </w:tc>
        <w:tc>
          <w:tcPr>
            <w:tcW w:w="3518" w:type="dxa"/>
          </w:tcPr>
          <w:p w:rsidR="002B014C" w:rsidRPr="002B014C" w:rsidRDefault="002B014C" w:rsidP="00750B1C">
            <w:pPr>
              <w:pStyle w:val="Tabletext"/>
              <w:keepNext/>
              <w:keepLines/>
              <w:jc w:val="center"/>
            </w:pPr>
            <w:r w:rsidRPr="002B014C">
              <w:t>–95</w:t>
            </w:r>
          </w:p>
        </w:tc>
      </w:tr>
      <w:tr w:rsidR="002B014C" w:rsidRPr="002B014C" w:rsidTr="002B014C">
        <w:trPr>
          <w:jc w:val="center"/>
        </w:trPr>
        <w:tc>
          <w:tcPr>
            <w:tcW w:w="2897" w:type="dxa"/>
          </w:tcPr>
          <w:p w:rsidR="002B014C" w:rsidRPr="002B014C" w:rsidRDefault="002B014C" w:rsidP="00D848C5">
            <w:pPr>
              <w:pStyle w:val="Tabletext"/>
              <w:jc w:val="center"/>
            </w:pPr>
            <w:r w:rsidRPr="002B014C">
              <w:t>–3,7</w:t>
            </w:r>
          </w:p>
        </w:tc>
        <w:tc>
          <w:tcPr>
            <w:tcW w:w="3224" w:type="dxa"/>
          </w:tcPr>
          <w:p w:rsidR="002B014C" w:rsidRPr="002B014C" w:rsidRDefault="002B014C" w:rsidP="00D848C5">
            <w:pPr>
              <w:pStyle w:val="Tabletext"/>
              <w:jc w:val="center"/>
            </w:pPr>
            <w:r w:rsidRPr="002B014C">
              <w:t>–73</w:t>
            </w:r>
          </w:p>
        </w:tc>
        <w:tc>
          <w:tcPr>
            <w:tcW w:w="3518" w:type="dxa"/>
          </w:tcPr>
          <w:p w:rsidR="002B014C" w:rsidRPr="002B014C" w:rsidRDefault="002B014C" w:rsidP="00D848C5">
            <w:pPr>
              <w:pStyle w:val="Tabletext"/>
              <w:jc w:val="center"/>
            </w:pPr>
            <w:r w:rsidRPr="002B014C">
              <w:t>–83</w:t>
            </w:r>
          </w:p>
        </w:tc>
      </w:tr>
      <w:tr w:rsidR="002B014C" w:rsidRPr="002B014C" w:rsidTr="002B014C">
        <w:trPr>
          <w:jc w:val="center"/>
        </w:trPr>
        <w:tc>
          <w:tcPr>
            <w:tcW w:w="2897" w:type="dxa"/>
          </w:tcPr>
          <w:p w:rsidR="002B014C" w:rsidRPr="002B014C" w:rsidRDefault="004B4D69" w:rsidP="00D848C5">
            <w:pPr>
              <w:pStyle w:val="Tabletext"/>
              <w:jc w:val="center"/>
            </w:pPr>
            <w:r>
              <w:t>–3,33</w:t>
            </w:r>
          </w:p>
        </w:tc>
        <w:tc>
          <w:tcPr>
            <w:tcW w:w="3224" w:type="dxa"/>
          </w:tcPr>
          <w:p w:rsidR="002B014C" w:rsidRPr="002B014C" w:rsidRDefault="002B014C" w:rsidP="00D848C5">
            <w:pPr>
              <w:pStyle w:val="Tabletext"/>
              <w:jc w:val="center"/>
            </w:pPr>
            <w:r w:rsidRPr="002B014C">
              <w:t>–32,1</w:t>
            </w:r>
          </w:p>
        </w:tc>
        <w:tc>
          <w:tcPr>
            <w:tcW w:w="3518" w:type="dxa"/>
          </w:tcPr>
          <w:p w:rsidR="002B014C" w:rsidRPr="002B014C" w:rsidRDefault="002B014C" w:rsidP="00D848C5">
            <w:pPr>
              <w:pStyle w:val="Tabletext"/>
              <w:jc w:val="center"/>
            </w:pPr>
            <w:r w:rsidRPr="002B014C">
              <w:t>–32,1</w:t>
            </w:r>
          </w:p>
        </w:tc>
      </w:tr>
      <w:tr w:rsidR="002B014C" w:rsidRPr="002B014C" w:rsidTr="002B014C">
        <w:trPr>
          <w:jc w:val="center"/>
        </w:trPr>
        <w:tc>
          <w:tcPr>
            <w:tcW w:w="2897" w:type="dxa"/>
          </w:tcPr>
          <w:p w:rsidR="002B014C" w:rsidRPr="002B014C" w:rsidRDefault="004B4D69" w:rsidP="00D848C5">
            <w:pPr>
              <w:pStyle w:val="Tabletext"/>
              <w:jc w:val="center"/>
            </w:pPr>
            <w:r>
              <w:t>+3,33</w:t>
            </w:r>
          </w:p>
        </w:tc>
        <w:tc>
          <w:tcPr>
            <w:tcW w:w="3224" w:type="dxa"/>
          </w:tcPr>
          <w:p w:rsidR="002B014C" w:rsidRPr="002B014C" w:rsidRDefault="002B014C" w:rsidP="00D848C5">
            <w:pPr>
              <w:pStyle w:val="Tabletext"/>
              <w:jc w:val="center"/>
            </w:pPr>
            <w:r w:rsidRPr="002B014C">
              <w:t>–32,1</w:t>
            </w:r>
          </w:p>
        </w:tc>
        <w:tc>
          <w:tcPr>
            <w:tcW w:w="3518" w:type="dxa"/>
          </w:tcPr>
          <w:p w:rsidR="002B014C" w:rsidRPr="002B014C" w:rsidRDefault="002B014C" w:rsidP="00D848C5">
            <w:pPr>
              <w:pStyle w:val="Tabletext"/>
              <w:jc w:val="center"/>
            </w:pPr>
            <w:r w:rsidRPr="002B014C">
              <w:t>–32,1</w:t>
            </w:r>
          </w:p>
        </w:tc>
      </w:tr>
      <w:tr w:rsidR="002B014C" w:rsidRPr="002B014C" w:rsidTr="002B014C">
        <w:trPr>
          <w:jc w:val="center"/>
        </w:trPr>
        <w:tc>
          <w:tcPr>
            <w:tcW w:w="2897" w:type="dxa"/>
          </w:tcPr>
          <w:p w:rsidR="002B014C" w:rsidRPr="002B014C" w:rsidRDefault="002B014C" w:rsidP="00D848C5">
            <w:pPr>
              <w:pStyle w:val="Tabletext"/>
              <w:jc w:val="center"/>
            </w:pPr>
            <w:r w:rsidRPr="002B014C">
              <w:t>+3,7</w:t>
            </w:r>
          </w:p>
        </w:tc>
        <w:tc>
          <w:tcPr>
            <w:tcW w:w="3224" w:type="dxa"/>
          </w:tcPr>
          <w:p w:rsidR="002B014C" w:rsidRPr="002B014C" w:rsidRDefault="002B014C" w:rsidP="00D848C5">
            <w:pPr>
              <w:pStyle w:val="Tabletext"/>
              <w:jc w:val="center"/>
            </w:pPr>
            <w:r w:rsidRPr="002B014C">
              <w:t>–73</w:t>
            </w:r>
          </w:p>
        </w:tc>
        <w:tc>
          <w:tcPr>
            <w:tcW w:w="3518" w:type="dxa"/>
          </w:tcPr>
          <w:p w:rsidR="002B014C" w:rsidRPr="002B014C" w:rsidRDefault="002B014C" w:rsidP="00D848C5">
            <w:pPr>
              <w:pStyle w:val="Tabletext"/>
              <w:jc w:val="center"/>
            </w:pPr>
            <w:r w:rsidRPr="002B014C">
              <w:t>–83</w:t>
            </w:r>
          </w:p>
        </w:tc>
      </w:tr>
      <w:tr w:rsidR="002B014C" w:rsidRPr="002B014C" w:rsidTr="002B014C">
        <w:trPr>
          <w:jc w:val="center"/>
        </w:trPr>
        <w:tc>
          <w:tcPr>
            <w:tcW w:w="2897" w:type="dxa"/>
          </w:tcPr>
          <w:p w:rsidR="002B014C" w:rsidRPr="002B014C" w:rsidRDefault="002B014C" w:rsidP="00D848C5">
            <w:pPr>
              <w:pStyle w:val="Tabletext"/>
              <w:jc w:val="center"/>
            </w:pPr>
            <w:r w:rsidRPr="002B014C">
              <w:t>+5,25</w:t>
            </w:r>
          </w:p>
        </w:tc>
        <w:tc>
          <w:tcPr>
            <w:tcW w:w="3224" w:type="dxa"/>
          </w:tcPr>
          <w:p w:rsidR="002B014C" w:rsidRPr="002B014C" w:rsidRDefault="002B014C" w:rsidP="00D848C5">
            <w:pPr>
              <w:pStyle w:val="Tabletext"/>
              <w:jc w:val="center"/>
            </w:pPr>
            <w:r w:rsidRPr="002B014C">
              <w:t>–85</w:t>
            </w:r>
          </w:p>
        </w:tc>
        <w:tc>
          <w:tcPr>
            <w:tcW w:w="3518" w:type="dxa"/>
          </w:tcPr>
          <w:p w:rsidR="002B014C" w:rsidRPr="002B014C" w:rsidRDefault="002B014C" w:rsidP="00D848C5">
            <w:pPr>
              <w:pStyle w:val="Tabletext"/>
              <w:jc w:val="center"/>
            </w:pPr>
            <w:r w:rsidRPr="002B014C">
              <w:t>–95</w:t>
            </w:r>
          </w:p>
        </w:tc>
      </w:tr>
      <w:tr w:rsidR="002B014C" w:rsidRPr="002B014C" w:rsidTr="002B014C">
        <w:trPr>
          <w:jc w:val="center"/>
        </w:trPr>
        <w:tc>
          <w:tcPr>
            <w:tcW w:w="2897" w:type="dxa"/>
          </w:tcPr>
          <w:p w:rsidR="002B014C" w:rsidRPr="002B014C" w:rsidRDefault="002B014C" w:rsidP="00D848C5">
            <w:pPr>
              <w:pStyle w:val="Tabletext"/>
              <w:jc w:val="center"/>
            </w:pPr>
            <w:r w:rsidRPr="002B014C">
              <w:t>+10,5</w:t>
            </w:r>
          </w:p>
        </w:tc>
        <w:tc>
          <w:tcPr>
            <w:tcW w:w="3224" w:type="dxa"/>
          </w:tcPr>
          <w:p w:rsidR="002B014C" w:rsidRPr="002B014C" w:rsidRDefault="002B014C" w:rsidP="00D848C5">
            <w:pPr>
              <w:pStyle w:val="Tabletext"/>
              <w:jc w:val="center"/>
            </w:pPr>
            <w:r w:rsidRPr="002B014C">
              <w:t>–110</w:t>
            </w:r>
          </w:p>
        </w:tc>
        <w:tc>
          <w:tcPr>
            <w:tcW w:w="3518" w:type="dxa"/>
          </w:tcPr>
          <w:p w:rsidR="002B014C" w:rsidRPr="002B014C" w:rsidRDefault="002B014C" w:rsidP="00D848C5">
            <w:pPr>
              <w:pStyle w:val="Tabletext"/>
              <w:jc w:val="center"/>
            </w:pPr>
            <w:r w:rsidRPr="002B014C">
              <w:t>–120</w:t>
            </w:r>
          </w:p>
        </w:tc>
      </w:tr>
      <w:tr w:rsidR="002B014C" w:rsidRPr="002B014C" w:rsidTr="002B014C">
        <w:trPr>
          <w:jc w:val="center"/>
        </w:trPr>
        <w:tc>
          <w:tcPr>
            <w:tcW w:w="2897" w:type="dxa"/>
          </w:tcPr>
          <w:p w:rsidR="002B014C" w:rsidRPr="002B014C" w:rsidRDefault="002B014C" w:rsidP="00D848C5">
            <w:pPr>
              <w:pStyle w:val="Tabletext"/>
              <w:jc w:val="center"/>
            </w:pPr>
            <w:r w:rsidRPr="002B014C">
              <w:t>+17,5</w:t>
            </w:r>
          </w:p>
        </w:tc>
        <w:tc>
          <w:tcPr>
            <w:tcW w:w="3224" w:type="dxa"/>
          </w:tcPr>
          <w:p w:rsidR="002B014C" w:rsidRPr="002B014C" w:rsidRDefault="002B014C" w:rsidP="00D848C5">
            <w:pPr>
              <w:pStyle w:val="Tabletext"/>
              <w:jc w:val="center"/>
            </w:pPr>
            <w:r w:rsidRPr="002B014C">
              <w:t>–110</w:t>
            </w:r>
          </w:p>
        </w:tc>
        <w:tc>
          <w:tcPr>
            <w:tcW w:w="3518" w:type="dxa"/>
          </w:tcPr>
          <w:p w:rsidR="002B014C" w:rsidRPr="002B014C" w:rsidRDefault="002B014C" w:rsidP="00D848C5">
            <w:pPr>
              <w:pStyle w:val="Tabletext"/>
              <w:jc w:val="center"/>
            </w:pPr>
            <w:r w:rsidRPr="002B014C">
              <w:t>–120</w:t>
            </w:r>
          </w:p>
        </w:tc>
      </w:tr>
    </w:tbl>
    <w:p w:rsidR="00757682" w:rsidRDefault="00757682" w:rsidP="00757682">
      <w:pPr>
        <w:pStyle w:val="Tablefin"/>
        <w:rPr>
          <w:lang w:eastAsia="ja-JP"/>
        </w:rPr>
      </w:pPr>
    </w:p>
    <w:p w:rsidR="002B014C" w:rsidRPr="002B014C" w:rsidRDefault="002B014C" w:rsidP="00AD46C1">
      <w:pPr>
        <w:pStyle w:val="Heading1"/>
        <w:rPr>
          <w:lang w:eastAsia="ja-JP"/>
        </w:rPr>
      </w:pPr>
      <w:r w:rsidRPr="002B014C">
        <w:rPr>
          <w:lang w:eastAsia="ja-JP"/>
        </w:rPr>
        <w:t>3</w:t>
      </w:r>
      <w:r w:rsidRPr="002B014C">
        <w:rPr>
          <w:lang w:eastAsia="ja-JP"/>
        </w:rPr>
        <w:tab/>
        <w:t xml:space="preserve">Gabarits de limite spectrale propres au système D (DTMB) utilisant un découpage en canaux de 8 MHz </w:t>
      </w:r>
    </w:p>
    <w:p w:rsidR="002B014C" w:rsidRPr="002B014C" w:rsidRDefault="002B014C" w:rsidP="00555327">
      <w:r w:rsidRPr="002B014C">
        <w:rPr>
          <w:noProof/>
        </w:rPr>
        <w:t xml:space="preserve">Lorsque le système numérique fonctionne dans un canal adjacent, inférieur ou supérieur, à celui d'un émetteur situé sur le même site, les gabarits de limite spectrale pour le système D utilisant un découpage en canaux de 8 MHz, pour différents scénarios d'application, sont donnés dans les </w:t>
      </w:r>
      <w:r w:rsidRPr="002B014C">
        <w:t>Fig. 11 et 12. Des données détaillées des Fig. 11 et 12 ont été reprises respectivement dans les Tableaux 8 et 9.</w:t>
      </w:r>
    </w:p>
    <w:p w:rsidR="002B014C" w:rsidRPr="002B014C" w:rsidRDefault="002B014C" w:rsidP="00555327">
      <w:pPr>
        <w:rPr>
          <w:noProof/>
        </w:rPr>
      </w:pPr>
      <w:r w:rsidRPr="002B014C">
        <w:rPr>
          <w:noProof/>
        </w:rPr>
        <w:t>Les gabarits illustrés dans la Fig.</w:t>
      </w:r>
      <w:r w:rsidRPr="002B014C">
        <w:t> 11</w:t>
      </w:r>
      <w:r w:rsidRPr="002B014C">
        <w:rPr>
          <w:noProof/>
        </w:rPr>
        <w:t xml:space="preserve"> correspondent à la protection minimale nécessaire pour la télévision analogique lorsque les émetteurs de télévision analogique et les émetteurs de télévision numérique sont situés sur le même site. Ils s'appliquent dans les cas suivants:</w:t>
      </w:r>
    </w:p>
    <w:p w:rsidR="002B014C" w:rsidRPr="002B014C" w:rsidRDefault="002B014C" w:rsidP="00555327">
      <w:pPr>
        <w:pStyle w:val="enumlev1"/>
        <w:rPr>
          <w:noProof/>
        </w:rPr>
      </w:pPr>
      <w:r w:rsidRPr="002B014C">
        <w:rPr>
          <w:noProof/>
        </w:rPr>
        <w:t>–</w:t>
      </w:r>
      <w:r w:rsidRPr="002B014C">
        <w:rPr>
          <w:noProof/>
        </w:rPr>
        <w:tab/>
        <w:t xml:space="preserve">aucune discrimination de polarisation n'est utilisée entre l'émetteur de télévision numérique et l'émetteur de télévision analogique; et </w:t>
      </w:r>
    </w:p>
    <w:p w:rsidR="002B014C" w:rsidRPr="002B014C" w:rsidRDefault="002B014C" w:rsidP="00555327">
      <w:pPr>
        <w:pStyle w:val="enumlev1"/>
        <w:rPr>
          <w:noProof/>
        </w:rPr>
      </w:pPr>
      <w:r w:rsidRPr="002B014C">
        <w:rPr>
          <w:noProof/>
        </w:rPr>
        <w:t>–</w:t>
      </w:r>
      <w:r w:rsidRPr="002B014C">
        <w:rPr>
          <w:noProof/>
        </w:rPr>
        <w:tab/>
        <w:t>la puissance rayonnée par les deux émetteurs est la même (la puissance crête du signal de synchronisation analogique est égale à la puissance totale rayonnée par l'émetteur de télévision numérique). Si les puissances rayonnées par les deux émetteurs ne sont pas identiques, une correction proportionnelle est appliquée comme suit:</w:t>
      </w:r>
    </w:p>
    <w:p w:rsidR="002B014C" w:rsidRPr="002B014C" w:rsidRDefault="002B014C" w:rsidP="00EF010F">
      <w:pPr>
        <w:pStyle w:val="Equation"/>
        <w:jc w:val="center"/>
        <w:rPr>
          <w:noProof/>
        </w:rPr>
      </w:pPr>
      <w:r w:rsidRPr="002B014C">
        <w:rPr>
          <w:noProof/>
        </w:rPr>
        <w:t>correction = puissance apparente rayonnée (par) analogique minimale – puissance apparente rayonnée (par) numérique minimale.</w:t>
      </w:r>
    </w:p>
    <w:p w:rsidR="002B014C" w:rsidRPr="002B014C" w:rsidRDefault="002B014C" w:rsidP="00CB4488">
      <w:pPr>
        <w:pStyle w:val="FigureNo"/>
      </w:pPr>
      <w:bookmarkStart w:id="6" w:name="_Toc225317925"/>
      <w:r w:rsidRPr="002B014C">
        <w:lastRenderedPageBreak/>
        <w:t>Figure 11</w:t>
      </w:r>
    </w:p>
    <w:bookmarkEnd w:id="6"/>
    <w:p w:rsidR="00EF010F" w:rsidRPr="00EF010F" w:rsidRDefault="002B014C" w:rsidP="00CB4488">
      <w:pPr>
        <w:pStyle w:val="Figuretitle"/>
      </w:pPr>
      <w:r w:rsidRPr="002B014C">
        <w:t xml:space="preserve">Gabarit de limite spectrale lorsque l'émetteur DTMB utilisant un découpage en canaux de 8 MHz </w:t>
      </w:r>
      <w:r w:rsidRPr="002B014C">
        <w:br/>
        <w:t xml:space="preserve">est exploité dans un canal adjacent, inférieur ou supérieur, à celui de l'émetteur de télévision </w:t>
      </w:r>
      <w:r w:rsidRPr="002B014C">
        <w:br/>
        <w:t>analogique situé sur le même site (mesure sur une largeur de bande de 4 kHz)</w:t>
      </w:r>
    </w:p>
    <w:p w:rsidR="002B014C" w:rsidRDefault="002B014C" w:rsidP="00CB4488">
      <w:pPr>
        <w:pStyle w:val="Figure"/>
        <w:rPr>
          <w:noProof/>
          <w:lang w:val="en-US"/>
        </w:rPr>
      </w:pPr>
      <w:r w:rsidRPr="002B014C">
        <w:rPr>
          <w:noProof/>
          <w:lang w:val="en-US"/>
        </w:rPr>
        <w:object w:dxaOrig="4458" w:dyaOrig="3340">
          <v:shape id="_x0000_i1035" type="#_x0000_t75" style="width:350.35pt;height:261.65pt" o:ole="">
            <v:imagedata r:id="rId33" o:title=""/>
          </v:shape>
          <o:OLEObject Type="Embed" ProgID="CorelDRAW.Graphic.14" ShapeID="_x0000_i1035" DrawAspect="Content" ObjectID="_1498452941" r:id="rId34"/>
        </w:object>
      </w:r>
    </w:p>
    <w:p w:rsidR="002B014C" w:rsidRPr="002B014C" w:rsidRDefault="002B014C" w:rsidP="00CB4488">
      <w:pPr>
        <w:pStyle w:val="TableNo"/>
      </w:pPr>
      <w:r w:rsidRPr="002B014C">
        <w:t>TABLEAU 8</w:t>
      </w:r>
    </w:p>
    <w:p w:rsidR="002B014C" w:rsidRPr="002B014C" w:rsidRDefault="002B014C" w:rsidP="00CB4488">
      <w:pPr>
        <w:pStyle w:val="Tabletitle"/>
      </w:pPr>
      <w:r w:rsidRPr="002B014C">
        <w:t xml:space="preserve">Points de rupture du gabarit de limite spectrale lorsque l'émetteur DTMB utilisant </w:t>
      </w:r>
      <w:r w:rsidRPr="002B014C">
        <w:br/>
        <w:t xml:space="preserve">un découpage en canaux de 8 MHz est exploité dans un canal adjacent, inférieur </w:t>
      </w:r>
      <w:r w:rsidRPr="002B014C">
        <w:br/>
        <w:t xml:space="preserve">ou supérieur, à celui de l'émetteur de télévision analogique situé sur le même site </w:t>
      </w:r>
      <w:r w:rsidRPr="002B014C">
        <w:br/>
        <w:t>(mesure sur une largeur de bande de 4 kHz)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6"/>
        <w:gridCol w:w="3846"/>
      </w:tblGrid>
      <w:tr w:rsidR="002B014C" w:rsidRPr="002B014C" w:rsidTr="002B014C">
        <w:trPr>
          <w:jc w:val="center"/>
        </w:trPr>
        <w:tc>
          <w:tcPr>
            <w:tcW w:w="5226" w:type="dxa"/>
            <w:vAlign w:val="center"/>
          </w:tcPr>
          <w:p w:rsidR="002B014C" w:rsidRPr="002B014C" w:rsidRDefault="002B014C" w:rsidP="00CB4488">
            <w:pPr>
              <w:pStyle w:val="Tablehead"/>
            </w:pPr>
            <w:r w:rsidRPr="002B014C">
              <w:t xml:space="preserve">Décalage de fréquence par rapport </w:t>
            </w:r>
            <w:r w:rsidRPr="002B014C">
              <w:br/>
              <w:t xml:space="preserve">à la fréquence centrale </w:t>
            </w:r>
            <w:r w:rsidRPr="002B014C">
              <w:br/>
              <w:t>(MHz)</w:t>
            </w:r>
          </w:p>
        </w:tc>
        <w:tc>
          <w:tcPr>
            <w:tcW w:w="3846" w:type="dxa"/>
            <w:vAlign w:val="center"/>
          </w:tcPr>
          <w:p w:rsidR="002B014C" w:rsidRPr="002B014C" w:rsidRDefault="002B014C" w:rsidP="00CB4488">
            <w:pPr>
              <w:pStyle w:val="Tablehead"/>
            </w:pPr>
            <w:r w:rsidRPr="002B014C">
              <w:t>Niveau relatif</w:t>
            </w:r>
            <w:r w:rsidRPr="002B014C">
              <w:br/>
              <w:t>(dB)</w:t>
            </w:r>
          </w:p>
        </w:tc>
      </w:tr>
      <w:tr w:rsidR="002B014C" w:rsidRPr="002B014C" w:rsidTr="002B014C">
        <w:trPr>
          <w:jc w:val="center"/>
        </w:trPr>
        <w:tc>
          <w:tcPr>
            <w:tcW w:w="5226" w:type="dxa"/>
            <w:vAlign w:val="center"/>
          </w:tcPr>
          <w:p w:rsidR="002B014C" w:rsidRPr="002B014C" w:rsidRDefault="002B014C" w:rsidP="00CB4488">
            <w:pPr>
              <w:pStyle w:val="Tabletext"/>
              <w:jc w:val="center"/>
            </w:pPr>
            <w:r w:rsidRPr="002B014C">
              <w:t>−20</w:t>
            </w:r>
          </w:p>
        </w:tc>
        <w:tc>
          <w:tcPr>
            <w:tcW w:w="3846" w:type="dxa"/>
            <w:vAlign w:val="center"/>
          </w:tcPr>
          <w:p w:rsidR="002B014C" w:rsidRPr="002B014C" w:rsidRDefault="002B014C" w:rsidP="00CB4488">
            <w:pPr>
              <w:pStyle w:val="Tabletext"/>
              <w:jc w:val="center"/>
            </w:pPr>
            <w:r w:rsidRPr="002B014C">
              <w:t>−100</w:t>
            </w:r>
          </w:p>
        </w:tc>
      </w:tr>
      <w:tr w:rsidR="002B014C" w:rsidRPr="002B014C" w:rsidTr="002B014C">
        <w:trPr>
          <w:jc w:val="center"/>
        </w:trPr>
        <w:tc>
          <w:tcPr>
            <w:tcW w:w="5226" w:type="dxa"/>
            <w:vAlign w:val="center"/>
          </w:tcPr>
          <w:p w:rsidR="002B014C" w:rsidRPr="002B014C" w:rsidRDefault="002B014C" w:rsidP="00CB4488">
            <w:pPr>
              <w:pStyle w:val="Tabletext"/>
              <w:jc w:val="center"/>
            </w:pPr>
            <w:r w:rsidRPr="002B014C">
              <w:t>−12</w:t>
            </w:r>
          </w:p>
        </w:tc>
        <w:tc>
          <w:tcPr>
            <w:tcW w:w="3846" w:type="dxa"/>
            <w:vAlign w:val="center"/>
          </w:tcPr>
          <w:p w:rsidR="002B014C" w:rsidRPr="002B014C" w:rsidRDefault="002B014C" w:rsidP="00CB4488">
            <w:pPr>
              <w:pStyle w:val="Tabletext"/>
              <w:jc w:val="center"/>
            </w:pPr>
            <w:r w:rsidRPr="002B014C">
              <w:t>−100</w:t>
            </w:r>
          </w:p>
        </w:tc>
      </w:tr>
      <w:tr w:rsidR="002B014C" w:rsidRPr="002B014C" w:rsidTr="002B014C">
        <w:trPr>
          <w:jc w:val="center"/>
        </w:trPr>
        <w:tc>
          <w:tcPr>
            <w:tcW w:w="5226" w:type="dxa"/>
            <w:vAlign w:val="center"/>
          </w:tcPr>
          <w:p w:rsidR="002B014C" w:rsidRPr="002B014C" w:rsidRDefault="002B014C" w:rsidP="00CB4488">
            <w:pPr>
              <w:pStyle w:val="Tabletext"/>
              <w:jc w:val="center"/>
            </w:pPr>
            <w:r w:rsidRPr="002B014C">
              <w:t>−10,75</w:t>
            </w:r>
          </w:p>
        </w:tc>
        <w:tc>
          <w:tcPr>
            <w:tcW w:w="3846" w:type="dxa"/>
            <w:vAlign w:val="center"/>
          </w:tcPr>
          <w:p w:rsidR="002B014C" w:rsidRPr="002B014C" w:rsidRDefault="002B014C" w:rsidP="00CB4488">
            <w:pPr>
              <w:pStyle w:val="Tabletext"/>
              <w:jc w:val="center"/>
            </w:pPr>
            <w:r w:rsidRPr="002B014C">
              <w:t>−76,9</w:t>
            </w:r>
          </w:p>
        </w:tc>
      </w:tr>
      <w:tr w:rsidR="002B014C" w:rsidRPr="002B014C" w:rsidTr="002B014C">
        <w:trPr>
          <w:jc w:val="center"/>
        </w:trPr>
        <w:tc>
          <w:tcPr>
            <w:tcW w:w="5226" w:type="dxa"/>
            <w:vAlign w:val="center"/>
          </w:tcPr>
          <w:p w:rsidR="002B014C" w:rsidRPr="002B014C" w:rsidRDefault="002B014C" w:rsidP="00CB4488">
            <w:pPr>
              <w:pStyle w:val="Tabletext"/>
              <w:jc w:val="center"/>
            </w:pPr>
            <w:r w:rsidRPr="002B014C">
              <w:t>−9,75</w:t>
            </w:r>
          </w:p>
        </w:tc>
        <w:tc>
          <w:tcPr>
            <w:tcW w:w="3846" w:type="dxa"/>
            <w:vAlign w:val="center"/>
          </w:tcPr>
          <w:p w:rsidR="002B014C" w:rsidRPr="002B014C" w:rsidRDefault="002B014C" w:rsidP="00CB4488">
            <w:pPr>
              <w:pStyle w:val="Tabletext"/>
              <w:jc w:val="center"/>
            </w:pPr>
            <w:r w:rsidRPr="002B014C">
              <w:t>−76,9</w:t>
            </w:r>
          </w:p>
        </w:tc>
      </w:tr>
      <w:tr w:rsidR="002B014C" w:rsidRPr="002B014C" w:rsidTr="002B014C">
        <w:trPr>
          <w:jc w:val="center"/>
        </w:trPr>
        <w:tc>
          <w:tcPr>
            <w:tcW w:w="5226" w:type="dxa"/>
            <w:vAlign w:val="center"/>
          </w:tcPr>
          <w:p w:rsidR="002B014C" w:rsidRPr="002B014C" w:rsidRDefault="002B014C" w:rsidP="00CB4488">
            <w:pPr>
              <w:pStyle w:val="Tabletext"/>
              <w:jc w:val="center"/>
            </w:pPr>
            <w:r w:rsidRPr="002B014C">
              <w:t>−5,75</w:t>
            </w:r>
          </w:p>
        </w:tc>
        <w:tc>
          <w:tcPr>
            <w:tcW w:w="3846" w:type="dxa"/>
            <w:vAlign w:val="center"/>
          </w:tcPr>
          <w:p w:rsidR="002B014C" w:rsidRPr="002B014C" w:rsidRDefault="002B014C" w:rsidP="00CB4488">
            <w:pPr>
              <w:pStyle w:val="Tabletext"/>
              <w:jc w:val="center"/>
            </w:pPr>
            <w:r w:rsidRPr="002B014C">
              <w:t>−74,2</w:t>
            </w:r>
          </w:p>
        </w:tc>
      </w:tr>
      <w:tr w:rsidR="002B014C" w:rsidRPr="002B014C" w:rsidTr="002B014C">
        <w:trPr>
          <w:jc w:val="center"/>
        </w:trPr>
        <w:tc>
          <w:tcPr>
            <w:tcW w:w="5226" w:type="dxa"/>
            <w:vAlign w:val="center"/>
          </w:tcPr>
          <w:p w:rsidR="002B014C" w:rsidRPr="002B014C" w:rsidRDefault="002B014C" w:rsidP="00CB4488">
            <w:pPr>
              <w:pStyle w:val="Tabletext"/>
              <w:jc w:val="center"/>
            </w:pPr>
            <w:r w:rsidRPr="002B014C">
              <w:t>−4,94</w:t>
            </w:r>
          </w:p>
        </w:tc>
        <w:tc>
          <w:tcPr>
            <w:tcW w:w="3846" w:type="dxa"/>
            <w:vAlign w:val="center"/>
          </w:tcPr>
          <w:p w:rsidR="002B014C" w:rsidRPr="002B014C" w:rsidRDefault="002B014C" w:rsidP="00CB4488">
            <w:pPr>
              <w:pStyle w:val="Tabletext"/>
              <w:jc w:val="center"/>
            </w:pPr>
            <w:r w:rsidRPr="002B014C">
              <w:t>−69,9</w:t>
            </w:r>
          </w:p>
        </w:tc>
      </w:tr>
      <w:tr w:rsidR="002B014C" w:rsidRPr="002B014C" w:rsidTr="002B014C">
        <w:trPr>
          <w:jc w:val="center"/>
        </w:trPr>
        <w:tc>
          <w:tcPr>
            <w:tcW w:w="5226" w:type="dxa"/>
            <w:vAlign w:val="center"/>
          </w:tcPr>
          <w:p w:rsidR="002B014C" w:rsidRPr="002B014C" w:rsidRDefault="002B014C" w:rsidP="00CB4488">
            <w:pPr>
              <w:pStyle w:val="Tabletext"/>
              <w:jc w:val="center"/>
            </w:pPr>
            <w:r w:rsidRPr="002B014C">
              <w:t>−3,9</w:t>
            </w:r>
          </w:p>
        </w:tc>
        <w:tc>
          <w:tcPr>
            <w:tcW w:w="3846" w:type="dxa"/>
            <w:vAlign w:val="center"/>
          </w:tcPr>
          <w:p w:rsidR="002B014C" w:rsidRPr="002B014C" w:rsidRDefault="002B014C" w:rsidP="00CB4488">
            <w:pPr>
              <w:pStyle w:val="Tabletext"/>
              <w:jc w:val="center"/>
            </w:pPr>
            <w:r w:rsidRPr="002B014C">
              <w:t>−32,8</w:t>
            </w:r>
          </w:p>
        </w:tc>
      </w:tr>
      <w:tr w:rsidR="002B014C" w:rsidRPr="002B014C" w:rsidTr="002B014C">
        <w:trPr>
          <w:jc w:val="center"/>
        </w:trPr>
        <w:tc>
          <w:tcPr>
            <w:tcW w:w="5226" w:type="dxa"/>
            <w:vAlign w:val="center"/>
          </w:tcPr>
          <w:p w:rsidR="002B014C" w:rsidRPr="002B014C" w:rsidRDefault="002B014C" w:rsidP="00CB4488">
            <w:pPr>
              <w:pStyle w:val="Tabletext"/>
              <w:jc w:val="center"/>
            </w:pPr>
            <w:r w:rsidRPr="002B014C">
              <w:t>+3,9</w:t>
            </w:r>
          </w:p>
        </w:tc>
        <w:tc>
          <w:tcPr>
            <w:tcW w:w="3846" w:type="dxa"/>
            <w:vAlign w:val="center"/>
          </w:tcPr>
          <w:p w:rsidR="002B014C" w:rsidRPr="002B014C" w:rsidRDefault="002B014C" w:rsidP="00CB4488">
            <w:pPr>
              <w:pStyle w:val="Tabletext"/>
              <w:jc w:val="center"/>
            </w:pPr>
            <w:r w:rsidRPr="002B014C">
              <w:t>−32,8</w:t>
            </w:r>
          </w:p>
        </w:tc>
      </w:tr>
      <w:tr w:rsidR="002B014C" w:rsidRPr="002B014C" w:rsidTr="002B014C">
        <w:trPr>
          <w:jc w:val="center"/>
        </w:trPr>
        <w:tc>
          <w:tcPr>
            <w:tcW w:w="5226" w:type="dxa"/>
            <w:vAlign w:val="center"/>
          </w:tcPr>
          <w:p w:rsidR="002B014C" w:rsidRPr="002B014C" w:rsidRDefault="002B014C" w:rsidP="00CB4488">
            <w:pPr>
              <w:pStyle w:val="Tabletext"/>
              <w:jc w:val="center"/>
            </w:pPr>
            <w:r w:rsidRPr="002B014C">
              <w:t>+4,25</w:t>
            </w:r>
          </w:p>
        </w:tc>
        <w:tc>
          <w:tcPr>
            <w:tcW w:w="3846" w:type="dxa"/>
            <w:vAlign w:val="center"/>
          </w:tcPr>
          <w:p w:rsidR="002B014C" w:rsidRPr="002B014C" w:rsidRDefault="002B014C" w:rsidP="00CB4488">
            <w:pPr>
              <w:pStyle w:val="Tabletext"/>
              <w:jc w:val="center"/>
            </w:pPr>
            <w:r w:rsidRPr="002B014C">
              <w:t>−64,9</w:t>
            </w:r>
          </w:p>
        </w:tc>
      </w:tr>
      <w:tr w:rsidR="002B014C" w:rsidRPr="002B014C" w:rsidTr="002B014C">
        <w:trPr>
          <w:jc w:val="center"/>
        </w:trPr>
        <w:tc>
          <w:tcPr>
            <w:tcW w:w="5226" w:type="dxa"/>
            <w:vAlign w:val="center"/>
          </w:tcPr>
          <w:p w:rsidR="002B014C" w:rsidRPr="002B014C" w:rsidRDefault="002B014C" w:rsidP="00CB4488">
            <w:pPr>
              <w:pStyle w:val="Tabletext"/>
              <w:jc w:val="center"/>
            </w:pPr>
            <w:r w:rsidRPr="002B014C">
              <w:t>+5,25</w:t>
            </w:r>
          </w:p>
        </w:tc>
        <w:tc>
          <w:tcPr>
            <w:tcW w:w="3846" w:type="dxa"/>
            <w:vAlign w:val="center"/>
          </w:tcPr>
          <w:p w:rsidR="002B014C" w:rsidRPr="002B014C" w:rsidRDefault="002B014C" w:rsidP="00CB4488">
            <w:pPr>
              <w:pStyle w:val="Tabletext"/>
              <w:jc w:val="center"/>
            </w:pPr>
            <w:r w:rsidRPr="002B014C">
              <w:t>−76,9</w:t>
            </w:r>
          </w:p>
        </w:tc>
      </w:tr>
      <w:tr w:rsidR="002B014C" w:rsidRPr="002B014C" w:rsidTr="002B014C">
        <w:trPr>
          <w:jc w:val="center"/>
        </w:trPr>
        <w:tc>
          <w:tcPr>
            <w:tcW w:w="5226" w:type="dxa"/>
            <w:vAlign w:val="center"/>
          </w:tcPr>
          <w:p w:rsidR="002B014C" w:rsidRPr="002B014C" w:rsidRDefault="002B014C" w:rsidP="00CB4488">
            <w:pPr>
              <w:pStyle w:val="Tabletext"/>
              <w:jc w:val="center"/>
            </w:pPr>
            <w:r w:rsidRPr="002B014C">
              <w:t>+6,25</w:t>
            </w:r>
          </w:p>
        </w:tc>
        <w:tc>
          <w:tcPr>
            <w:tcW w:w="3846" w:type="dxa"/>
            <w:vAlign w:val="center"/>
          </w:tcPr>
          <w:p w:rsidR="002B014C" w:rsidRPr="002B014C" w:rsidRDefault="002B014C" w:rsidP="00CB4488">
            <w:pPr>
              <w:pStyle w:val="Tabletext"/>
              <w:jc w:val="center"/>
            </w:pPr>
            <w:r w:rsidRPr="002B014C">
              <w:t>−76,9</w:t>
            </w:r>
          </w:p>
        </w:tc>
      </w:tr>
      <w:tr w:rsidR="002B014C" w:rsidRPr="002B014C" w:rsidTr="002B014C">
        <w:trPr>
          <w:jc w:val="center"/>
        </w:trPr>
        <w:tc>
          <w:tcPr>
            <w:tcW w:w="5226" w:type="dxa"/>
            <w:vAlign w:val="center"/>
          </w:tcPr>
          <w:p w:rsidR="002B014C" w:rsidRPr="002B014C" w:rsidRDefault="002B014C" w:rsidP="00CB4488">
            <w:pPr>
              <w:pStyle w:val="Tabletext"/>
              <w:jc w:val="center"/>
            </w:pPr>
            <w:r w:rsidRPr="002B014C">
              <w:t>+10,25</w:t>
            </w:r>
          </w:p>
        </w:tc>
        <w:tc>
          <w:tcPr>
            <w:tcW w:w="3846" w:type="dxa"/>
            <w:vAlign w:val="center"/>
          </w:tcPr>
          <w:p w:rsidR="002B014C" w:rsidRPr="002B014C" w:rsidRDefault="002B014C" w:rsidP="00CB4488">
            <w:pPr>
              <w:pStyle w:val="Tabletext"/>
              <w:jc w:val="center"/>
            </w:pPr>
            <w:r w:rsidRPr="002B014C">
              <w:t>−76,9</w:t>
            </w:r>
          </w:p>
        </w:tc>
      </w:tr>
      <w:tr w:rsidR="002B014C" w:rsidRPr="002B014C" w:rsidTr="002B014C">
        <w:trPr>
          <w:jc w:val="center"/>
        </w:trPr>
        <w:tc>
          <w:tcPr>
            <w:tcW w:w="5226" w:type="dxa"/>
            <w:vAlign w:val="center"/>
          </w:tcPr>
          <w:p w:rsidR="002B014C" w:rsidRPr="002B014C" w:rsidRDefault="002B014C" w:rsidP="00CB4488">
            <w:pPr>
              <w:pStyle w:val="Tabletext"/>
              <w:jc w:val="center"/>
            </w:pPr>
            <w:r w:rsidRPr="002B014C">
              <w:t>+12</w:t>
            </w:r>
          </w:p>
        </w:tc>
        <w:tc>
          <w:tcPr>
            <w:tcW w:w="3846" w:type="dxa"/>
            <w:vAlign w:val="center"/>
          </w:tcPr>
          <w:p w:rsidR="002B014C" w:rsidRPr="002B014C" w:rsidRDefault="002B014C" w:rsidP="00CB4488">
            <w:pPr>
              <w:pStyle w:val="Tabletext"/>
              <w:jc w:val="center"/>
            </w:pPr>
            <w:r w:rsidRPr="002B014C">
              <w:t>−100</w:t>
            </w:r>
          </w:p>
        </w:tc>
      </w:tr>
      <w:tr w:rsidR="002B014C" w:rsidRPr="002B014C" w:rsidTr="002B014C">
        <w:trPr>
          <w:jc w:val="center"/>
        </w:trPr>
        <w:tc>
          <w:tcPr>
            <w:tcW w:w="5226" w:type="dxa"/>
            <w:vAlign w:val="center"/>
          </w:tcPr>
          <w:p w:rsidR="002B014C" w:rsidRPr="002B014C" w:rsidRDefault="002B014C" w:rsidP="00CB4488">
            <w:pPr>
              <w:pStyle w:val="Tabletext"/>
              <w:jc w:val="center"/>
            </w:pPr>
            <w:r w:rsidRPr="002B014C">
              <w:t>+20</w:t>
            </w:r>
          </w:p>
        </w:tc>
        <w:tc>
          <w:tcPr>
            <w:tcW w:w="3846" w:type="dxa"/>
            <w:vAlign w:val="center"/>
          </w:tcPr>
          <w:p w:rsidR="002B014C" w:rsidRPr="002B014C" w:rsidRDefault="002B014C" w:rsidP="00CB4488">
            <w:pPr>
              <w:pStyle w:val="Tabletext"/>
              <w:jc w:val="center"/>
            </w:pPr>
            <w:r w:rsidRPr="002B014C">
              <w:t>−100</w:t>
            </w:r>
          </w:p>
        </w:tc>
      </w:tr>
    </w:tbl>
    <w:p w:rsidR="00C704E0" w:rsidRDefault="00C704E0" w:rsidP="00C704E0">
      <w:pPr>
        <w:pStyle w:val="Tablefin"/>
      </w:pPr>
    </w:p>
    <w:p w:rsidR="002B014C" w:rsidRPr="002B014C" w:rsidRDefault="002B014C" w:rsidP="00C704E0">
      <w:pPr>
        <w:pStyle w:val="FigureNo"/>
      </w:pPr>
      <w:r w:rsidRPr="002B014C">
        <w:lastRenderedPageBreak/>
        <w:t>Figure 12</w:t>
      </w:r>
    </w:p>
    <w:p w:rsidR="002B014C" w:rsidRPr="002B014C" w:rsidRDefault="002B014C" w:rsidP="00C704E0">
      <w:pPr>
        <w:pStyle w:val="Figuretitle"/>
      </w:pPr>
      <w:r w:rsidRPr="002B014C">
        <w:t xml:space="preserve">Gabarit de limite spectrale pour les cas sensibles lorsque l'émetteur DTMB utilisant </w:t>
      </w:r>
      <w:r w:rsidRPr="002B014C">
        <w:br/>
        <w:t xml:space="preserve">un découpage en canaux de 8 MHz est exploité dans un canal adjacent, inférieur ou </w:t>
      </w:r>
      <w:r w:rsidRPr="002B014C">
        <w:br/>
        <w:t xml:space="preserve">supérieur, à celui utilisé par d'autres services (par exemple basse puissance) </w:t>
      </w:r>
      <w:r w:rsidRPr="002B014C">
        <w:br/>
        <w:t>(mesure sur une largeur de bande de 4 kHz)</w:t>
      </w:r>
    </w:p>
    <w:p w:rsidR="002B014C" w:rsidRPr="002B014C" w:rsidRDefault="002B014C" w:rsidP="00C704E0">
      <w:pPr>
        <w:pStyle w:val="Figure"/>
      </w:pPr>
      <w:r w:rsidRPr="002B014C">
        <w:object w:dxaOrig="4780" w:dyaOrig="2151">
          <v:shape id="_x0000_i1036" type="#_x0000_t75" style="width:405.15pt;height:183.2pt" o:ole="">
            <v:imagedata r:id="rId35" o:title=""/>
          </v:shape>
          <o:OLEObject Type="Embed" ProgID="CorelDRAW.Graphic.14" ShapeID="_x0000_i1036" DrawAspect="Content" ObjectID="_1498452942" r:id="rId36"/>
        </w:object>
      </w:r>
    </w:p>
    <w:p w:rsidR="002B014C" w:rsidRPr="002B014C" w:rsidRDefault="002B014C" w:rsidP="008C4CCB">
      <w:pPr>
        <w:pStyle w:val="TableNo"/>
      </w:pPr>
      <w:r w:rsidRPr="002B014C">
        <w:t>TABLEAU 9</w:t>
      </w:r>
    </w:p>
    <w:p w:rsidR="002B014C" w:rsidRPr="002B014C" w:rsidRDefault="002B014C" w:rsidP="008C4CCB">
      <w:pPr>
        <w:pStyle w:val="Tabletitle"/>
      </w:pPr>
      <w:r w:rsidRPr="002B014C">
        <w:t xml:space="preserve">Points de rupture du gabarit de limite spectrale pour les cas sensibles lorsque l'émetteur DTMB utilisant un découpage en canaux de 8 MHz est exploité dans un canal adjacent, inférieur ou supérieur, à celui utilisé par d'autres services (par exemple basse puissance) </w:t>
      </w:r>
      <w:r w:rsidRPr="002B014C">
        <w:br/>
        <w:t>(mesure sur une largeur de bande de 4 kHz)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2"/>
        <w:gridCol w:w="3740"/>
      </w:tblGrid>
      <w:tr w:rsidR="002B014C" w:rsidRPr="002B014C" w:rsidTr="002B014C">
        <w:trPr>
          <w:jc w:val="center"/>
        </w:trPr>
        <w:tc>
          <w:tcPr>
            <w:tcW w:w="5332" w:type="dxa"/>
            <w:vAlign w:val="center"/>
          </w:tcPr>
          <w:p w:rsidR="002B014C" w:rsidRPr="002B014C" w:rsidRDefault="002B014C" w:rsidP="008C4CCB">
            <w:pPr>
              <w:pStyle w:val="Tablehead"/>
            </w:pPr>
            <w:r w:rsidRPr="002B014C">
              <w:t xml:space="preserve">Décalage de fréquence par rapport </w:t>
            </w:r>
            <w:r w:rsidRPr="002B014C">
              <w:br/>
              <w:t xml:space="preserve">à la fréquence centrale </w:t>
            </w:r>
            <w:r w:rsidRPr="002B014C">
              <w:br/>
              <w:t>(MHz)</w:t>
            </w:r>
          </w:p>
        </w:tc>
        <w:tc>
          <w:tcPr>
            <w:tcW w:w="3740" w:type="dxa"/>
            <w:vAlign w:val="center"/>
          </w:tcPr>
          <w:p w:rsidR="002B014C" w:rsidRPr="002B014C" w:rsidRDefault="002B014C" w:rsidP="008C4CCB">
            <w:pPr>
              <w:pStyle w:val="Tablehead"/>
            </w:pPr>
            <w:r w:rsidRPr="002B014C">
              <w:t xml:space="preserve">Niveau relatif </w:t>
            </w:r>
            <w:r w:rsidRPr="002B014C">
              <w:br/>
              <w:t>(dB)</w:t>
            </w:r>
          </w:p>
        </w:tc>
      </w:tr>
      <w:tr w:rsidR="002B014C" w:rsidRPr="002B014C" w:rsidTr="002B014C">
        <w:trPr>
          <w:jc w:val="center"/>
        </w:trPr>
        <w:tc>
          <w:tcPr>
            <w:tcW w:w="5332" w:type="dxa"/>
            <w:vAlign w:val="center"/>
          </w:tcPr>
          <w:p w:rsidR="002B014C" w:rsidRPr="002B014C" w:rsidRDefault="002B014C" w:rsidP="00256398">
            <w:pPr>
              <w:pStyle w:val="Tabletext"/>
              <w:jc w:val="center"/>
            </w:pPr>
            <w:r w:rsidRPr="002B014C">
              <w:t>−20</w:t>
            </w:r>
          </w:p>
        </w:tc>
        <w:tc>
          <w:tcPr>
            <w:tcW w:w="3740" w:type="dxa"/>
            <w:vAlign w:val="center"/>
          </w:tcPr>
          <w:p w:rsidR="002B014C" w:rsidRPr="002B014C" w:rsidRDefault="002B014C" w:rsidP="00256398">
            <w:pPr>
              <w:pStyle w:val="Tabletext"/>
              <w:jc w:val="center"/>
              <w:rPr>
                <w:b/>
              </w:rPr>
            </w:pPr>
            <w:r w:rsidRPr="002B014C">
              <w:t>−120</w:t>
            </w:r>
          </w:p>
        </w:tc>
      </w:tr>
      <w:tr w:rsidR="002B014C" w:rsidRPr="002B014C" w:rsidTr="002B014C">
        <w:trPr>
          <w:jc w:val="center"/>
        </w:trPr>
        <w:tc>
          <w:tcPr>
            <w:tcW w:w="5332" w:type="dxa"/>
            <w:vAlign w:val="center"/>
          </w:tcPr>
          <w:p w:rsidR="002B014C" w:rsidRPr="002B014C" w:rsidRDefault="002B014C" w:rsidP="00256398">
            <w:pPr>
              <w:pStyle w:val="Tabletext"/>
              <w:jc w:val="center"/>
            </w:pPr>
            <w:r w:rsidRPr="002B014C">
              <w:t>−12</w:t>
            </w:r>
          </w:p>
        </w:tc>
        <w:tc>
          <w:tcPr>
            <w:tcW w:w="3740" w:type="dxa"/>
            <w:vAlign w:val="center"/>
          </w:tcPr>
          <w:p w:rsidR="002B014C" w:rsidRPr="002B014C" w:rsidRDefault="002B014C" w:rsidP="00256398">
            <w:pPr>
              <w:pStyle w:val="Tabletext"/>
              <w:jc w:val="center"/>
            </w:pPr>
            <w:r w:rsidRPr="002B014C">
              <w:t>−120</w:t>
            </w:r>
          </w:p>
        </w:tc>
      </w:tr>
      <w:tr w:rsidR="002B014C" w:rsidRPr="002B014C" w:rsidTr="002B014C">
        <w:trPr>
          <w:jc w:val="center"/>
        </w:trPr>
        <w:tc>
          <w:tcPr>
            <w:tcW w:w="5332" w:type="dxa"/>
            <w:vAlign w:val="center"/>
          </w:tcPr>
          <w:p w:rsidR="002B014C" w:rsidRPr="002B014C" w:rsidRDefault="002B014C" w:rsidP="00256398">
            <w:pPr>
              <w:pStyle w:val="Tabletext"/>
              <w:jc w:val="center"/>
            </w:pPr>
            <w:r w:rsidRPr="002B014C">
              <w:t>−6</w:t>
            </w:r>
          </w:p>
        </w:tc>
        <w:tc>
          <w:tcPr>
            <w:tcW w:w="3740" w:type="dxa"/>
            <w:vAlign w:val="center"/>
          </w:tcPr>
          <w:p w:rsidR="002B014C" w:rsidRPr="002B014C" w:rsidRDefault="002B014C" w:rsidP="00256398">
            <w:pPr>
              <w:pStyle w:val="Tabletext"/>
              <w:jc w:val="center"/>
            </w:pPr>
            <w:r w:rsidRPr="002B014C">
              <w:t>−95</w:t>
            </w:r>
          </w:p>
        </w:tc>
      </w:tr>
      <w:tr w:rsidR="002B014C" w:rsidRPr="002B014C" w:rsidTr="002B014C">
        <w:trPr>
          <w:jc w:val="center"/>
        </w:trPr>
        <w:tc>
          <w:tcPr>
            <w:tcW w:w="5332" w:type="dxa"/>
            <w:vAlign w:val="center"/>
          </w:tcPr>
          <w:p w:rsidR="002B014C" w:rsidRPr="002B014C" w:rsidRDefault="002B014C" w:rsidP="00256398">
            <w:pPr>
              <w:pStyle w:val="Tabletext"/>
              <w:jc w:val="center"/>
            </w:pPr>
            <w:r w:rsidRPr="002B014C">
              <w:t>−4,2</w:t>
            </w:r>
          </w:p>
        </w:tc>
        <w:tc>
          <w:tcPr>
            <w:tcW w:w="3740" w:type="dxa"/>
            <w:vAlign w:val="center"/>
          </w:tcPr>
          <w:p w:rsidR="002B014C" w:rsidRPr="002B014C" w:rsidRDefault="002B014C" w:rsidP="00256398">
            <w:pPr>
              <w:pStyle w:val="Tabletext"/>
              <w:jc w:val="center"/>
            </w:pPr>
            <w:r w:rsidRPr="002B014C">
              <w:t>−83</w:t>
            </w:r>
          </w:p>
        </w:tc>
      </w:tr>
      <w:tr w:rsidR="002B014C" w:rsidRPr="002B014C" w:rsidTr="002B014C">
        <w:trPr>
          <w:jc w:val="center"/>
        </w:trPr>
        <w:tc>
          <w:tcPr>
            <w:tcW w:w="5332" w:type="dxa"/>
            <w:vAlign w:val="center"/>
          </w:tcPr>
          <w:p w:rsidR="002B014C" w:rsidRPr="002B014C" w:rsidRDefault="002B014C" w:rsidP="00256398">
            <w:pPr>
              <w:pStyle w:val="Tabletext"/>
              <w:jc w:val="center"/>
            </w:pPr>
            <w:r w:rsidRPr="002B014C">
              <w:t>−3,8</w:t>
            </w:r>
          </w:p>
        </w:tc>
        <w:tc>
          <w:tcPr>
            <w:tcW w:w="3740" w:type="dxa"/>
            <w:vAlign w:val="center"/>
          </w:tcPr>
          <w:p w:rsidR="002B014C" w:rsidRPr="002B014C" w:rsidRDefault="002B014C" w:rsidP="00256398">
            <w:pPr>
              <w:pStyle w:val="Tabletext"/>
              <w:jc w:val="center"/>
            </w:pPr>
            <w:r w:rsidRPr="002B014C">
              <w:t>−32,8</w:t>
            </w:r>
          </w:p>
        </w:tc>
      </w:tr>
      <w:tr w:rsidR="002B014C" w:rsidRPr="002B014C" w:rsidTr="002B014C">
        <w:trPr>
          <w:jc w:val="center"/>
        </w:trPr>
        <w:tc>
          <w:tcPr>
            <w:tcW w:w="5332" w:type="dxa"/>
            <w:vAlign w:val="center"/>
          </w:tcPr>
          <w:p w:rsidR="002B014C" w:rsidRPr="002B014C" w:rsidRDefault="002B014C" w:rsidP="00256398">
            <w:pPr>
              <w:pStyle w:val="Tabletext"/>
              <w:jc w:val="center"/>
            </w:pPr>
            <w:r w:rsidRPr="002B014C">
              <w:t>+3,8</w:t>
            </w:r>
          </w:p>
        </w:tc>
        <w:tc>
          <w:tcPr>
            <w:tcW w:w="3740" w:type="dxa"/>
            <w:vAlign w:val="center"/>
          </w:tcPr>
          <w:p w:rsidR="002B014C" w:rsidRPr="002B014C" w:rsidRDefault="002B014C" w:rsidP="00256398">
            <w:pPr>
              <w:pStyle w:val="Tabletext"/>
              <w:jc w:val="center"/>
            </w:pPr>
            <w:r w:rsidRPr="002B014C">
              <w:t>−32,8</w:t>
            </w:r>
          </w:p>
        </w:tc>
      </w:tr>
      <w:tr w:rsidR="002B014C" w:rsidRPr="002B014C" w:rsidTr="002B014C">
        <w:trPr>
          <w:jc w:val="center"/>
        </w:trPr>
        <w:tc>
          <w:tcPr>
            <w:tcW w:w="5332" w:type="dxa"/>
            <w:vAlign w:val="center"/>
          </w:tcPr>
          <w:p w:rsidR="002B014C" w:rsidRPr="002B014C" w:rsidRDefault="002B014C" w:rsidP="00256398">
            <w:pPr>
              <w:pStyle w:val="Tabletext"/>
              <w:jc w:val="center"/>
            </w:pPr>
            <w:r w:rsidRPr="002B014C">
              <w:t>+4,2</w:t>
            </w:r>
          </w:p>
        </w:tc>
        <w:tc>
          <w:tcPr>
            <w:tcW w:w="3740" w:type="dxa"/>
            <w:vAlign w:val="center"/>
          </w:tcPr>
          <w:p w:rsidR="002B014C" w:rsidRPr="002B014C" w:rsidRDefault="002B014C" w:rsidP="00256398">
            <w:pPr>
              <w:pStyle w:val="Tabletext"/>
              <w:jc w:val="center"/>
            </w:pPr>
            <w:r w:rsidRPr="002B014C">
              <w:t>−83</w:t>
            </w:r>
          </w:p>
        </w:tc>
      </w:tr>
      <w:tr w:rsidR="002B014C" w:rsidRPr="002B014C" w:rsidTr="002B014C">
        <w:trPr>
          <w:jc w:val="center"/>
        </w:trPr>
        <w:tc>
          <w:tcPr>
            <w:tcW w:w="5332" w:type="dxa"/>
            <w:vAlign w:val="center"/>
          </w:tcPr>
          <w:p w:rsidR="002B014C" w:rsidRPr="002B014C" w:rsidRDefault="002B014C" w:rsidP="00256398">
            <w:pPr>
              <w:pStyle w:val="Tabletext"/>
              <w:jc w:val="center"/>
            </w:pPr>
            <w:r w:rsidRPr="002B014C">
              <w:t>+6</w:t>
            </w:r>
          </w:p>
        </w:tc>
        <w:tc>
          <w:tcPr>
            <w:tcW w:w="3740" w:type="dxa"/>
            <w:vAlign w:val="center"/>
          </w:tcPr>
          <w:p w:rsidR="002B014C" w:rsidRPr="002B014C" w:rsidRDefault="002B014C" w:rsidP="00256398">
            <w:pPr>
              <w:pStyle w:val="Tabletext"/>
              <w:jc w:val="center"/>
            </w:pPr>
            <w:r w:rsidRPr="002B014C">
              <w:t>−95</w:t>
            </w:r>
          </w:p>
        </w:tc>
      </w:tr>
      <w:tr w:rsidR="002B014C" w:rsidRPr="002B014C" w:rsidTr="002B014C">
        <w:trPr>
          <w:jc w:val="center"/>
        </w:trPr>
        <w:tc>
          <w:tcPr>
            <w:tcW w:w="5332" w:type="dxa"/>
            <w:vAlign w:val="center"/>
          </w:tcPr>
          <w:p w:rsidR="002B014C" w:rsidRPr="002B014C" w:rsidRDefault="002B014C" w:rsidP="00256398">
            <w:pPr>
              <w:pStyle w:val="Tabletext"/>
              <w:jc w:val="center"/>
            </w:pPr>
            <w:r w:rsidRPr="002B014C">
              <w:t>+12</w:t>
            </w:r>
          </w:p>
        </w:tc>
        <w:tc>
          <w:tcPr>
            <w:tcW w:w="3740" w:type="dxa"/>
            <w:vAlign w:val="center"/>
          </w:tcPr>
          <w:p w:rsidR="002B014C" w:rsidRPr="002B014C" w:rsidRDefault="002B014C" w:rsidP="00256398">
            <w:pPr>
              <w:pStyle w:val="Tabletext"/>
              <w:jc w:val="center"/>
            </w:pPr>
            <w:r w:rsidRPr="002B014C">
              <w:t>−120</w:t>
            </w:r>
          </w:p>
        </w:tc>
      </w:tr>
      <w:tr w:rsidR="002B014C" w:rsidRPr="002B014C" w:rsidTr="002B014C">
        <w:trPr>
          <w:jc w:val="center"/>
        </w:trPr>
        <w:tc>
          <w:tcPr>
            <w:tcW w:w="5332" w:type="dxa"/>
            <w:vAlign w:val="center"/>
          </w:tcPr>
          <w:p w:rsidR="002B014C" w:rsidRPr="002B014C" w:rsidRDefault="002B014C" w:rsidP="00256398">
            <w:pPr>
              <w:pStyle w:val="Tabletext"/>
              <w:jc w:val="center"/>
            </w:pPr>
            <w:r w:rsidRPr="002B014C">
              <w:t>+20</w:t>
            </w:r>
          </w:p>
        </w:tc>
        <w:tc>
          <w:tcPr>
            <w:tcW w:w="3740" w:type="dxa"/>
            <w:vAlign w:val="center"/>
          </w:tcPr>
          <w:p w:rsidR="002B014C" w:rsidRPr="002B014C" w:rsidRDefault="002B014C" w:rsidP="00256398">
            <w:pPr>
              <w:pStyle w:val="Tabletext"/>
              <w:jc w:val="center"/>
            </w:pPr>
            <w:r w:rsidRPr="002B014C">
              <w:t>−120</w:t>
            </w:r>
          </w:p>
        </w:tc>
      </w:tr>
    </w:tbl>
    <w:p w:rsidR="002B014C" w:rsidRDefault="002B014C" w:rsidP="009936FB">
      <w:pPr>
        <w:pStyle w:val="Tablefin"/>
      </w:pPr>
    </w:p>
    <w:p w:rsidR="00B70D82" w:rsidRDefault="00B70D82" w:rsidP="00B70D82">
      <w:pPr>
        <w:rPr>
          <w:lang w:val="en-GB"/>
        </w:rPr>
      </w:pPr>
    </w:p>
    <w:p w:rsidR="004B4D69" w:rsidRDefault="004B4D69" w:rsidP="0032202E">
      <w:pPr>
        <w:pStyle w:val="Reasons"/>
      </w:pPr>
    </w:p>
    <w:p w:rsidR="004B4D69" w:rsidRDefault="004B4D69">
      <w:pPr>
        <w:jc w:val="center"/>
      </w:pPr>
      <w:r>
        <w:t>______________</w:t>
      </w:r>
    </w:p>
    <w:p w:rsidR="004B4D69" w:rsidRPr="00B70D82" w:rsidRDefault="004B4D69" w:rsidP="00B70D82">
      <w:pPr>
        <w:rPr>
          <w:lang w:val="en-GB"/>
        </w:rPr>
      </w:pPr>
    </w:p>
    <w:sectPr w:rsidR="004B4D69" w:rsidRPr="00B70D82" w:rsidSect="00FE0C15">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F4B" w:rsidRDefault="00904F4B">
      <w:r>
        <w:separator/>
      </w:r>
    </w:p>
  </w:endnote>
  <w:endnote w:type="continuationSeparator" w:id="0">
    <w:p w:rsidR="00904F4B" w:rsidRDefault="00904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F4B" w:rsidRDefault="00904F4B">
      <w:r>
        <w:separator/>
      </w:r>
    </w:p>
  </w:footnote>
  <w:footnote w:type="continuationSeparator" w:id="0">
    <w:p w:rsidR="00904F4B" w:rsidRDefault="00904F4B">
      <w:r>
        <w:continuationSeparator/>
      </w:r>
    </w:p>
  </w:footnote>
  <w:footnote w:id="1">
    <w:p w:rsidR="00904F4B" w:rsidRPr="00274FA3" w:rsidRDefault="00904F4B" w:rsidP="00B207C7">
      <w:pPr>
        <w:pStyle w:val="FootnoteText"/>
        <w:rPr>
          <w:lang w:val="fr-CH"/>
        </w:rPr>
      </w:pPr>
      <w:r>
        <w:rPr>
          <w:rStyle w:val="FootnoteReference"/>
        </w:rPr>
        <w:footnoteRef/>
      </w:r>
      <w:r w:rsidRPr="00274FA3">
        <w:rPr>
          <w:lang w:val="fr-CH"/>
        </w:rPr>
        <w:t xml:space="preserve"> </w:t>
      </w:r>
      <w:r w:rsidRPr="00274FA3">
        <w:rPr>
          <w:lang w:val="fr-CH"/>
        </w:rPr>
        <w:tab/>
        <w:t>Norme IEEE 1631-2008, Pratique recommandée par l</w:t>
      </w:r>
      <w:r>
        <w:rPr>
          <w:lang w:val="fr-CH"/>
        </w:rPr>
        <w:t>'</w:t>
      </w:r>
      <w:r w:rsidRPr="00274FA3">
        <w:rPr>
          <w:lang w:val="fr-CH"/>
        </w:rPr>
        <w:t xml:space="preserve">IEEE pour la mesure de la conformité des gabarits d'émission </w:t>
      </w:r>
      <w:r>
        <w:rPr>
          <w:lang w:val="fr-CH"/>
        </w:rPr>
        <w:t xml:space="preserve">de télévision numérique </w:t>
      </w:r>
      <w:r w:rsidRPr="00274FA3">
        <w:rPr>
          <w:lang w:val="fr-CH"/>
        </w:rPr>
        <w:t xml:space="preserve">8-VSB </w:t>
      </w:r>
      <w:r>
        <w:rPr>
          <w:lang w:val="fr-CH"/>
        </w:rPr>
        <w:t>pour les Etats-Unis.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F4B" w:rsidRDefault="00904F4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F4B" w:rsidRDefault="00904F4B" w:rsidP="0014322C">
    <w:pPr>
      <w:pStyle w:val="Header"/>
      <w:ind w:right="360" w:firstLine="360"/>
    </w:pPr>
    <w:r>
      <w:rPr>
        <w:noProof/>
        <w:lang w:val="en-US" w:eastAsia="zh-CN"/>
      </w:rPr>
      <w:drawing>
        <wp:anchor distT="0" distB="0" distL="114300" distR="114300" simplePos="0" relativeHeight="251658752" behindDoc="0" locked="0" layoutInCell="1" allowOverlap="1" wp14:anchorId="6D15C774" wp14:editId="77918F12">
          <wp:simplePos x="0" y="0"/>
          <wp:positionH relativeFrom="margin">
            <wp:posOffset>-28575</wp:posOffset>
          </wp:positionH>
          <wp:positionV relativeFrom="margin">
            <wp:posOffset>8545830</wp:posOffset>
          </wp:positionV>
          <wp:extent cx="1247775" cy="935831"/>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262A8EF7" wp14:editId="49BB6316">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F4B" w:rsidRPr="00DC03C4" w:rsidRDefault="00904F4B">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746786">
      <w:rPr>
        <w:rStyle w:val="PageNumber"/>
        <w:b/>
        <w:bCs/>
        <w:noProof/>
        <w:lang w:val="fr-CH"/>
      </w:rPr>
      <w:t>ii</w:t>
    </w:r>
    <w:r>
      <w:rPr>
        <w:rStyle w:val="PageNumber"/>
        <w:b/>
        <w:bCs/>
      </w:rPr>
      <w:fldChar w:fldCharType="end"/>
    </w:r>
    <w:r w:rsidRPr="00DC03C4">
      <w:rPr>
        <w:lang w:val="fr-CH"/>
      </w:rPr>
      <w:tab/>
    </w:r>
    <w:fldSimple w:instr=" DOCPROPERTY &quot;Header&quot; \* MERGEFORMAT ">
      <w:r w:rsidR="00746786" w:rsidRPr="00746786">
        <w:rPr>
          <w:b/>
          <w:bCs/>
          <w:lang w:val="fr-CH"/>
        </w:rPr>
        <w:t xml:space="preserve">Rec. </w:t>
      </w:r>
    </w:fldSimple>
    <w:r>
      <w:rPr>
        <w:b/>
        <w:bCs/>
      </w:rPr>
      <w:t xml:space="preserve"> </w:t>
    </w:r>
    <w:r>
      <w:rPr>
        <w:b/>
        <w:bCs/>
      </w:rPr>
      <w:fldChar w:fldCharType="begin"/>
    </w:r>
    <w:r w:rsidRPr="00DC03C4">
      <w:rPr>
        <w:b/>
        <w:bCs/>
        <w:lang w:val="fr-CH"/>
      </w:rPr>
      <w:instrText>styleref href</w:instrText>
    </w:r>
    <w:r>
      <w:rPr>
        <w:b/>
        <w:bCs/>
      </w:rPr>
      <w:fldChar w:fldCharType="separate"/>
    </w:r>
    <w:r w:rsidR="00746786">
      <w:rPr>
        <w:b/>
        <w:bCs/>
        <w:noProof/>
      </w:rPr>
      <w:t>UIT-R  BT.1206-2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F4B" w:rsidRDefault="00904F4B">
    <w:pPr>
      <w:pStyle w:val="Header"/>
    </w:pPr>
    <w:r>
      <w:tab/>
    </w:r>
    <w:fldSimple w:instr=" DOCPROPERTY &quot;Header&quot; \* MERGEFORMAT ">
      <w:r w:rsidR="00746786" w:rsidRPr="0074678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46786">
      <w:rPr>
        <w:b/>
        <w:bCs/>
        <w:noProof/>
      </w:rPr>
      <w:t>UIT-R  BT.1206-2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F4B" w:rsidRDefault="00904F4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46786">
      <w:rPr>
        <w:rStyle w:val="PageNumber"/>
        <w:b/>
        <w:bCs/>
        <w:noProof/>
        <w:lang w:val="en-US"/>
      </w:rPr>
      <w:t>16</w:t>
    </w:r>
    <w:r>
      <w:rPr>
        <w:rStyle w:val="PageNumber"/>
        <w:b/>
        <w:bCs/>
      </w:rPr>
      <w:fldChar w:fldCharType="end"/>
    </w:r>
    <w:r>
      <w:rPr>
        <w:lang w:val="en-US"/>
      </w:rPr>
      <w:tab/>
    </w:r>
    <w:fldSimple w:instr=" DOCPROPERTY &quot;Header&quot; \* MERGEFORMAT ">
      <w:r w:rsidR="00746786" w:rsidRPr="00746786">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746786">
      <w:rPr>
        <w:b/>
        <w:bCs/>
        <w:noProof/>
      </w:rPr>
      <w:t>UIT-R  BT.1206-2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4F4B" w:rsidRDefault="00904F4B">
    <w:pPr>
      <w:pStyle w:val="Header"/>
    </w:pPr>
    <w:r>
      <w:tab/>
    </w:r>
    <w:fldSimple w:instr=" DOCPROPERTY &quot;Header&quot; \* MERGEFORMAT ">
      <w:r w:rsidR="00746786" w:rsidRPr="0074678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46786">
      <w:rPr>
        <w:b/>
        <w:bCs/>
        <w:noProof/>
      </w:rPr>
      <w:t>UIT-R  BT.1206-2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46786">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D103B"/>
    <w:multiLevelType w:val="hybridMultilevel"/>
    <w:tmpl w:val="31A60FBE"/>
    <w:lvl w:ilvl="0" w:tplc="28C095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28B0A2F"/>
    <w:multiLevelType w:val="hybridMultilevel"/>
    <w:tmpl w:val="42D2ECA8"/>
    <w:lvl w:ilvl="0" w:tplc="7200D8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476"/>
    <w:rsid w:val="00002FFF"/>
    <w:rsid w:val="001031B5"/>
    <w:rsid w:val="00124F3A"/>
    <w:rsid w:val="00131BBE"/>
    <w:rsid w:val="0014322C"/>
    <w:rsid w:val="001D1994"/>
    <w:rsid w:val="001D7725"/>
    <w:rsid w:val="001E0BD8"/>
    <w:rsid w:val="001E7F51"/>
    <w:rsid w:val="00245AA0"/>
    <w:rsid w:val="00256398"/>
    <w:rsid w:val="002651E4"/>
    <w:rsid w:val="0027365C"/>
    <w:rsid w:val="00277FBA"/>
    <w:rsid w:val="002843E4"/>
    <w:rsid w:val="002B014C"/>
    <w:rsid w:val="002D19BC"/>
    <w:rsid w:val="002D569C"/>
    <w:rsid w:val="002D76C4"/>
    <w:rsid w:val="002E0E63"/>
    <w:rsid w:val="002F3ED1"/>
    <w:rsid w:val="003062DC"/>
    <w:rsid w:val="00351BD2"/>
    <w:rsid w:val="003607DD"/>
    <w:rsid w:val="0036204F"/>
    <w:rsid w:val="003B0FEF"/>
    <w:rsid w:val="003C0395"/>
    <w:rsid w:val="00403476"/>
    <w:rsid w:val="0043089F"/>
    <w:rsid w:val="004B4D69"/>
    <w:rsid w:val="005121ED"/>
    <w:rsid w:val="00535B8C"/>
    <w:rsid w:val="00555327"/>
    <w:rsid w:val="00586BCF"/>
    <w:rsid w:val="00595B2F"/>
    <w:rsid w:val="005C6204"/>
    <w:rsid w:val="005C7FAC"/>
    <w:rsid w:val="005E1130"/>
    <w:rsid w:val="005F6419"/>
    <w:rsid w:val="00607D68"/>
    <w:rsid w:val="00613D63"/>
    <w:rsid w:val="0071229D"/>
    <w:rsid w:val="00746786"/>
    <w:rsid w:val="007468DA"/>
    <w:rsid w:val="00750B1C"/>
    <w:rsid w:val="00757682"/>
    <w:rsid w:val="00770FCA"/>
    <w:rsid w:val="007B117B"/>
    <w:rsid w:val="007B518B"/>
    <w:rsid w:val="007B7527"/>
    <w:rsid w:val="007E51DC"/>
    <w:rsid w:val="00803F84"/>
    <w:rsid w:val="00806CFA"/>
    <w:rsid w:val="00891E6A"/>
    <w:rsid w:val="008C4CCB"/>
    <w:rsid w:val="00901DF0"/>
    <w:rsid w:val="00904F4B"/>
    <w:rsid w:val="00910201"/>
    <w:rsid w:val="0091075F"/>
    <w:rsid w:val="00942734"/>
    <w:rsid w:val="00972400"/>
    <w:rsid w:val="009936FB"/>
    <w:rsid w:val="009C2B03"/>
    <w:rsid w:val="009D01CC"/>
    <w:rsid w:val="009D10A1"/>
    <w:rsid w:val="009D3E41"/>
    <w:rsid w:val="00A6617B"/>
    <w:rsid w:val="00A67967"/>
    <w:rsid w:val="00AA1EA3"/>
    <w:rsid w:val="00AB0DC8"/>
    <w:rsid w:val="00AD46C1"/>
    <w:rsid w:val="00B04C88"/>
    <w:rsid w:val="00B207C7"/>
    <w:rsid w:val="00B22D8D"/>
    <w:rsid w:val="00B23B3C"/>
    <w:rsid w:val="00B3768C"/>
    <w:rsid w:val="00B44E24"/>
    <w:rsid w:val="00B70D82"/>
    <w:rsid w:val="00B80E94"/>
    <w:rsid w:val="00B818CF"/>
    <w:rsid w:val="00BB1604"/>
    <w:rsid w:val="00BD0068"/>
    <w:rsid w:val="00C16437"/>
    <w:rsid w:val="00C43910"/>
    <w:rsid w:val="00C57597"/>
    <w:rsid w:val="00C704E0"/>
    <w:rsid w:val="00CB4488"/>
    <w:rsid w:val="00CE5FF7"/>
    <w:rsid w:val="00CF56FE"/>
    <w:rsid w:val="00D21DDA"/>
    <w:rsid w:val="00D848C5"/>
    <w:rsid w:val="00DA2EA9"/>
    <w:rsid w:val="00DC03C4"/>
    <w:rsid w:val="00DD35F8"/>
    <w:rsid w:val="00DF4176"/>
    <w:rsid w:val="00E401CF"/>
    <w:rsid w:val="00E43315"/>
    <w:rsid w:val="00E4537B"/>
    <w:rsid w:val="00EB50B2"/>
    <w:rsid w:val="00EF010F"/>
    <w:rsid w:val="00F135E5"/>
    <w:rsid w:val="00F41E0C"/>
    <w:rsid w:val="00F564BF"/>
    <w:rsid w:val="00F847EE"/>
    <w:rsid w:val="00F850E7"/>
    <w:rsid w:val="00FB521B"/>
    <w:rsid w:val="00FC0E77"/>
    <w:rsid w:val="00FE0C15"/>
    <w:rsid w:val="00FF03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5:docId w15:val="{C7C644CD-6196-4603-BF14-DB62F1FD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1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B518B"/>
    <w:pPr>
      <w:keepNext/>
      <w:keepLines/>
      <w:spacing w:before="480"/>
      <w:ind w:left="794" w:hanging="794"/>
      <w:outlineLvl w:val="0"/>
    </w:pPr>
    <w:rPr>
      <w:b/>
    </w:rPr>
  </w:style>
  <w:style w:type="paragraph" w:styleId="Heading2">
    <w:name w:val="heading 2"/>
    <w:basedOn w:val="Heading1"/>
    <w:next w:val="Normal"/>
    <w:link w:val="Heading2Char"/>
    <w:qFormat/>
    <w:rsid w:val="007B518B"/>
    <w:pPr>
      <w:spacing w:before="320"/>
      <w:outlineLvl w:val="1"/>
    </w:pPr>
  </w:style>
  <w:style w:type="paragraph" w:styleId="Heading3">
    <w:name w:val="heading 3"/>
    <w:basedOn w:val="Heading1"/>
    <w:next w:val="Normal"/>
    <w:link w:val="Heading3Char"/>
    <w:qFormat/>
    <w:rsid w:val="007B518B"/>
    <w:pPr>
      <w:spacing w:before="200"/>
      <w:outlineLvl w:val="2"/>
    </w:pPr>
  </w:style>
  <w:style w:type="paragraph" w:styleId="Heading4">
    <w:name w:val="heading 4"/>
    <w:basedOn w:val="Heading3"/>
    <w:next w:val="Normal"/>
    <w:link w:val="Heading4Char"/>
    <w:qFormat/>
    <w:rsid w:val="007B518B"/>
    <w:pPr>
      <w:tabs>
        <w:tab w:val="clear" w:pos="794"/>
        <w:tab w:val="left" w:pos="992"/>
      </w:tabs>
      <w:ind w:left="992" w:hanging="992"/>
      <w:outlineLvl w:val="3"/>
    </w:pPr>
  </w:style>
  <w:style w:type="paragraph" w:styleId="Heading5">
    <w:name w:val="heading 5"/>
    <w:basedOn w:val="Heading4"/>
    <w:next w:val="Normal"/>
    <w:link w:val="Heading5Char"/>
    <w:qFormat/>
    <w:rsid w:val="007B518B"/>
    <w:pPr>
      <w:outlineLvl w:val="4"/>
    </w:pPr>
  </w:style>
  <w:style w:type="paragraph" w:styleId="Heading6">
    <w:name w:val="heading 6"/>
    <w:basedOn w:val="Heading4"/>
    <w:next w:val="Normal"/>
    <w:link w:val="Heading6Char"/>
    <w:qFormat/>
    <w:rsid w:val="007B518B"/>
    <w:pPr>
      <w:tabs>
        <w:tab w:val="clear" w:pos="992"/>
        <w:tab w:val="clear" w:pos="1191"/>
      </w:tabs>
      <w:ind w:left="1588" w:hanging="1588"/>
      <w:outlineLvl w:val="5"/>
    </w:pPr>
  </w:style>
  <w:style w:type="paragraph" w:styleId="Heading7">
    <w:name w:val="heading 7"/>
    <w:basedOn w:val="Heading6"/>
    <w:next w:val="Normal"/>
    <w:link w:val="Heading7Char"/>
    <w:qFormat/>
    <w:rsid w:val="007B518B"/>
    <w:pPr>
      <w:outlineLvl w:val="6"/>
    </w:pPr>
  </w:style>
  <w:style w:type="paragraph" w:styleId="Heading8">
    <w:name w:val="heading 8"/>
    <w:basedOn w:val="Heading6"/>
    <w:next w:val="Normal"/>
    <w:link w:val="Heading8Char"/>
    <w:qFormat/>
    <w:rsid w:val="007B518B"/>
    <w:pPr>
      <w:outlineLvl w:val="7"/>
    </w:pPr>
  </w:style>
  <w:style w:type="paragraph" w:styleId="Heading9">
    <w:name w:val="heading 9"/>
    <w:basedOn w:val="Heading6"/>
    <w:next w:val="Normal"/>
    <w:link w:val="Heading9Char"/>
    <w:qFormat/>
    <w:rsid w:val="007B518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B518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B518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B518B"/>
  </w:style>
  <w:style w:type="paragraph" w:customStyle="1" w:styleId="Headingb">
    <w:name w:val="Heading_b"/>
    <w:basedOn w:val="Heading3"/>
    <w:next w:val="Normal"/>
    <w:rsid w:val="007B518B"/>
    <w:pPr>
      <w:spacing w:before="160"/>
      <w:ind w:left="0" w:firstLine="0"/>
      <w:outlineLvl w:val="9"/>
    </w:pPr>
  </w:style>
  <w:style w:type="paragraph" w:customStyle="1" w:styleId="Headingi">
    <w:name w:val="Heading_i"/>
    <w:basedOn w:val="Heading3"/>
    <w:next w:val="Normal"/>
    <w:rsid w:val="007B518B"/>
    <w:pPr>
      <w:spacing w:before="160"/>
      <w:ind w:left="0" w:firstLine="0"/>
    </w:pPr>
    <w:rPr>
      <w:b w:val="0"/>
      <w:i/>
    </w:rPr>
  </w:style>
  <w:style w:type="character" w:customStyle="1" w:styleId="href">
    <w:name w:val="href"/>
    <w:basedOn w:val="DefaultParagraphFont"/>
    <w:rsid w:val="007B518B"/>
  </w:style>
  <w:style w:type="paragraph" w:customStyle="1" w:styleId="enumlev1">
    <w:name w:val="enumlev1"/>
    <w:basedOn w:val="Normal"/>
    <w:link w:val="enumlev1Char"/>
    <w:rsid w:val="007B518B"/>
    <w:pPr>
      <w:spacing w:before="80"/>
      <w:ind w:left="794" w:hanging="794"/>
    </w:pPr>
  </w:style>
  <w:style w:type="paragraph" w:customStyle="1" w:styleId="enumlev2">
    <w:name w:val="enumlev2"/>
    <w:basedOn w:val="enumlev1"/>
    <w:rsid w:val="007B518B"/>
    <w:pPr>
      <w:ind w:left="1191" w:hanging="397"/>
    </w:pPr>
  </w:style>
  <w:style w:type="paragraph" w:customStyle="1" w:styleId="enumlev3">
    <w:name w:val="enumlev3"/>
    <w:basedOn w:val="enumlev2"/>
    <w:rsid w:val="007B518B"/>
    <w:pPr>
      <w:ind w:left="1588"/>
    </w:pPr>
  </w:style>
  <w:style w:type="paragraph" w:customStyle="1" w:styleId="Normalaftertitle">
    <w:name w:val="Normal_after_title"/>
    <w:basedOn w:val="Normal"/>
    <w:next w:val="Normal"/>
    <w:link w:val="NormalaftertitleChar"/>
    <w:rsid w:val="007B518B"/>
    <w:pPr>
      <w:spacing w:before="320"/>
    </w:pPr>
  </w:style>
  <w:style w:type="paragraph" w:customStyle="1" w:styleId="Note">
    <w:name w:val="Note"/>
    <w:basedOn w:val="Normal"/>
    <w:rsid w:val="007B518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B518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B518B"/>
    <w:pPr>
      <w:keepNext/>
      <w:keepLines/>
      <w:spacing w:before="240"/>
      <w:jc w:val="center"/>
    </w:pPr>
    <w:rPr>
      <w:b/>
      <w:sz w:val="28"/>
    </w:rPr>
  </w:style>
  <w:style w:type="paragraph" w:customStyle="1" w:styleId="Recref">
    <w:name w:val="Rec_ref"/>
    <w:basedOn w:val="Normal"/>
    <w:next w:val="Recdate"/>
    <w:rsid w:val="007B518B"/>
    <w:pPr>
      <w:jc w:val="center"/>
    </w:pPr>
  </w:style>
  <w:style w:type="paragraph" w:customStyle="1" w:styleId="Recdate">
    <w:name w:val="Rec_date"/>
    <w:basedOn w:val="Recref"/>
    <w:next w:val="Normalaftertitle"/>
    <w:rsid w:val="007B518B"/>
    <w:pPr>
      <w:jc w:val="right"/>
    </w:pPr>
  </w:style>
  <w:style w:type="paragraph" w:customStyle="1" w:styleId="HeadingSum">
    <w:name w:val="Heading_Sum"/>
    <w:basedOn w:val="Headingb"/>
    <w:next w:val="Normal"/>
    <w:rsid w:val="007B518B"/>
    <w:pPr>
      <w:spacing w:before="240"/>
    </w:pPr>
    <w:rPr>
      <w:sz w:val="22"/>
      <w:lang w:val="es-ES_tradnl"/>
    </w:rPr>
  </w:style>
  <w:style w:type="paragraph" w:customStyle="1" w:styleId="AnnexNoTitle">
    <w:name w:val="Annex_NoTitle"/>
    <w:basedOn w:val="Normal"/>
    <w:next w:val="Normalaftertitle"/>
    <w:rsid w:val="007B518B"/>
    <w:pPr>
      <w:keepNext/>
      <w:keepLines/>
      <w:spacing w:before="480" w:after="80"/>
      <w:jc w:val="center"/>
    </w:pPr>
    <w:rPr>
      <w:b/>
      <w:sz w:val="28"/>
    </w:rPr>
  </w:style>
  <w:style w:type="paragraph" w:customStyle="1" w:styleId="AppendixNoTitle">
    <w:name w:val="Appendix_NoTitle"/>
    <w:basedOn w:val="AnnexNoTitle"/>
    <w:next w:val="Normal"/>
    <w:rsid w:val="007B518B"/>
  </w:style>
  <w:style w:type="paragraph" w:customStyle="1" w:styleId="Tablefin">
    <w:name w:val="Table_fin"/>
    <w:basedOn w:val="Normal"/>
    <w:next w:val="Normal"/>
    <w:rsid w:val="007B518B"/>
    <w:pPr>
      <w:spacing w:before="0"/>
    </w:pPr>
    <w:rPr>
      <w:sz w:val="20"/>
      <w:lang w:val="en-GB"/>
    </w:rPr>
  </w:style>
  <w:style w:type="paragraph" w:customStyle="1" w:styleId="Tablehead">
    <w:name w:val="Table_head"/>
    <w:basedOn w:val="Normal"/>
    <w:next w:val="Normal"/>
    <w:link w:val="TableheadChar"/>
    <w:rsid w:val="007B518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7B518B"/>
    <w:pPr>
      <w:keepNext/>
      <w:spacing w:before="360" w:after="120"/>
      <w:jc w:val="center"/>
    </w:pPr>
  </w:style>
  <w:style w:type="paragraph" w:customStyle="1" w:styleId="Tabletext">
    <w:name w:val="Table_text"/>
    <w:basedOn w:val="Normal"/>
    <w:link w:val="TabletextChar"/>
    <w:rsid w:val="007B518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B518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7B518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B518B"/>
    <w:pPr>
      <w:ind w:left="794"/>
    </w:pPr>
  </w:style>
  <w:style w:type="paragraph" w:customStyle="1" w:styleId="Figurelegend">
    <w:name w:val="Figure_legend"/>
    <w:basedOn w:val="Normal"/>
    <w:rsid w:val="007B518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B518B"/>
    <w:pPr>
      <w:keepNext/>
      <w:keepLines/>
      <w:spacing w:before="480" w:after="80"/>
      <w:jc w:val="center"/>
    </w:pPr>
    <w:rPr>
      <w:caps/>
      <w:sz w:val="18"/>
    </w:rPr>
  </w:style>
  <w:style w:type="paragraph" w:customStyle="1" w:styleId="Figuretitle">
    <w:name w:val="Figure_title"/>
    <w:basedOn w:val="Normal"/>
    <w:next w:val="Figure"/>
    <w:link w:val="FiguretitleChar"/>
    <w:rsid w:val="007B518B"/>
    <w:pPr>
      <w:keepNext/>
      <w:spacing w:before="0" w:after="120"/>
      <w:jc w:val="center"/>
    </w:pPr>
    <w:rPr>
      <w:rFonts w:ascii="Times New Roman Bold" w:hAnsi="Times New Roman Bold"/>
      <w:b/>
      <w:sz w:val="18"/>
    </w:rPr>
  </w:style>
  <w:style w:type="paragraph" w:customStyle="1" w:styleId="Figure">
    <w:name w:val="Figure"/>
    <w:basedOn w:val="FigureNo"/>
    <w:next w:val="Normal"/>
    <w:rsid w:val="007B518B"/>
    <w:pPr>
      <w:keepNext w:val="0"/>
      <w:spacing w:before="0" w:after="240"/>
    </w:pPr>
  </w:style>
  <w:style w:type="paragraph" w:customStyle="1" w:styleId="tocpart">
    <w:name w:val="tocpart"/>
    <w:basedOn w:val="Normal"/>
    <w:rsid w:val="007B518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B518B"/>
    <w:pPr>
      <w:keepNext/>
      <w:keepLines/>
      <w:spacing w:before="480"/>
      <w:jc w:val="center"/>
    </w:pPr>
    <w:rPr>
      <w:sz w:val="28"/>
    </w:rPr>
  </w:style>
  <w:style w:type="paragraph" w:customStyle="1" w:styleId="Arttitle">
    <w:name w:val="Art_title"/>
    <w:basedOn w:val="Normal"/>
    <w:next w:val="Normalaftertitle"/>
    <w:rsid w:val="007B518B"/>
    <w:pPr>
      <w:keepNext/>
      <w:keepLines/>
      <w:spacing w:before="240"/>
      <w:jc w:val="center"/>
    </w:pPr>
    <w:rPr>
      <w:b/>
      <w:sz w:val="28"/>
    </w:rPr>
  </w:style>
  <w:style w:type="paragraph" w:customStyle="1" w:styleId="Blanc">
    <w:name w:val="Blanc"/>
    <w:basedOn w:val="Normal"/>
    <w:next w:val="Tabletext"/>
    <w:rsid w:val="007B518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B518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B518B"/>
    <w:pPr>
      <w:keepNext/>
      <w:keepLines/>
      <w:spacing w:before="160"/>
      <w:ind w:left="794"/>
    </w:pPr>
    <w:rPr>
      <w:i/>
    </w:rPr>
  </w:style>
  <w:style w:type="paragraph" w:customStyle="1" w:styleId="ChapNo">
    <w:name w:val="Chap_No"/>
    <w:basedOn w:val="ArtNo"/>
    <w:next w:val="Chaptitle"/>
    <w:rsid w:val="007B518B"/>
    <w:rPr>
      <w:b/>
    </w:rPr>
  </w:style>
  <w:style w:type="paragraph" w:customStyle="1" w:styleId="Chaptitle">
    <w:name w:val="Chap_title"/>
    <w:basedOn w:val="Arttitle"/>
    <w:next w:val="Normalaftertitle"/>
    <w:rsid w:val="007B518B"/>
  </w:style>
  <w:style w:type="character" w:styleId="FootnoteReference">
    <w:name w:val="footnote reference"/>
    <w:basedOn w:val="DefaultParagraphFont"/>
    <w:rsid w:val="007B518B"/>
    <w:rPr>
      <w:position w:val="6"/>
      <w:sz w:val="18"/>
    </w:rPr>
  </w:style>
  <w:style w:type="paragraph" w:styleId="FootnoteText">
    <w:name w:val="footnote text"/>
    <w:basedOn w:val="Normal"/>
    <w:link w:val="FootnoteTextChar"/>
    <w:rsid w:val="007B518B"/>
    <w:pPr>
      <w:keepLines/>
      <w:tabs>
        <w:tab w:val="left" w:pos="255"/>
      </w:tabs>
      <w:ind w:left="255" w:hanging="255"/>
    </w:pPr>
    <w:rPr>
      <w:sz w:val="22"/>
    </w:rPr>
  </w:style>
  <w:style w:type="paragraph" w:styleId="Index1">
    <w:name w:val="index 1"/>
    <w:basedOn w:val="Normal"/>
    <w:next w:val="Normal"/>
    <w:rsid w:val="007B518B"/>
  </w:style>
  <w:style w:type="paragraph" w:styleId="Index2">
    <w:name w:val="index 2"/>
    <w:basedOn w:val="Normal"/>
    <w:next w:val="Normal"/>
    <w:rsid w:val="007B518B"/>
    <w:pPr>
      <w:ind w:left="283"/>
    </w:pPr>
  </w:style>
  <w:style w:type="paragraph" w:styleId="Index3">
    <w:name w:val="index 3"/>
    <w:basedOn w:val="Normal"/>
    <w:next w:val="Normal"/>
    <w:rsid w:val="007B518B"/>
    <w:pPr>
      <w:ind w:left="566"/>
    </w:pPr>
  </w:style>
  <w:style w:type="paragraph" w:styleId="IndexHeading">
    <w:name w:val="index heading"/>
    <w:basedOn w:val="Normal"/>
    <w:next w:val="Index1"/>
    <w:semiHidden/>
    <w:rsid w:val="007B518B"/>
  </w:style>
  <w:style w:type="paragraph" w:customStyle="1" w:styleId="Line">
    <w:name w:val="Line"/>
    <w:basedOn w:val="Normal"/>
    <w:next w:val="Normal"/>
    <w:rsid w:val="007B518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B518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B518B"/>
  </w:style>
  <w:style w:type="paragraph" w:customStyle="1" w:styleId="Partref">
    <w:name w:val="Part_ref"/>
    <w:basedOn w:val="Normal"/>
    <w:next w:val="Normal"/>
    <w:rsid w:val="007B518B"/>
    <w:pPr>
      <w:keepNext/>
      <w:keepLines/>
      <w:spacing w:after="280"/>
      <w:jc w:val="center"/>
    </w:pPr>
  </w:style>
  <w:style w:type="paragraph" w:customStyle="1" w:styleId="Parttitle">
    <w:name w:val="Part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B518B"/>
  </w:style>
  <w:style w:type="paragraph" w:customStyle="1" w:styleId="QuestionNo">
    <w:name w:val="Question_No"/>
    <w:basedOn w:val="RecNo"/>
    <w:next w:val="Normal"/>
    <w:rsid w:val="007B518B"/>
  </w:style>
  <w:style w:type="paragraph" w:customStyle="1" w:styleId="Questionref">
    <w:name w:val="Question_ref"/>
    <w:basedOn w:val="Recref"/>
    <w:next w:val="Questiondate"/>
    <w:rsid w:val="007B518B"/>
  </w:style>
  <w:style w:type="paragraph" w:customStyle="1" w:styleId="Questiontitle">
    <w:name w:val="Question_title"/>
    <w:basedOn w:val="Normal"/>
    <w:next w:val="Questionref"/>
    <w:rsid w:val="007B518B"/>
  </w:style>
  <w:style w:type="paragraph" w:customStyle="1" w:styleId="Reftext">
    <w:name w:val="Ref_text"/>
    <w:basedOn w:val="Normal"/>
    <w:rsid w:val="007B518B"/>
    <w:pPr>
      <w:ind w:left="794" w:hanging="794"/>
    </w:pPr>
    <w:rPr>
      <w:sz w:val="22"/>
    </w:rPr>
  </w:style>
  <w:style w:type="paragraph" w:customStyle="1" w:styleId="Reftitle">
    <w:name w:val="Ref_title"/>
    <w:basedOn w:val="Normal"/>
    <w:next w:val="Reftext"/>
    <w:rsid w:val="007B518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B518B"/>
  </w:style>
  <w:style w:type="paragraph" w:customStyle="1" w:styleId="RepNo">
    <w:name w:val="Rep_No"/>
    <w:basedOn w:val="RecNo"/>
    <w:next w:val="Reptitle"/>
    <w:rsid w:val="007B518B"/>
  </w:style>
  <w:style w:type="paragraph" w:customStyle="1" w:styleId="Reptitle">
    <w:name w:val="Rep_title"/>
    <w:basedOn w:val="Rectitle"/>
    <w:next w:val="Repref"/>
    <w:rsid w:val="007B518B"/>
  </w:style>
  <w:style w:type="paragraph" w:customStyle="1" w:styleId="Repref">
    <w:name w:val="Rep_ref"/>
    <w:basedOn w:val="Recref"/>
    <w:next w:val="Repdate"/>
    <w:rsid w:val="007B518B"/>
  </w:style>
  <w:style w:type="paragraph" w:customStyle="1" w:styleId="Resdate">
    <w:name w:val="Res_date"/>
    <w:basedOn w:val="Recdate"/>
    <w:next w:val="Normalaftertitle"/>
    <w:rsid w:val="007B518B"/>
  </w:style>
  <w:style w:type="paragraph" w:customStyle="1" w:styleId="ResNo">
    <w:name w:val="Res_No"/>
    <w:basedOn w:val="RecNo"/>
    <w:next w:val="Restitle"/>
    <w:rsid w:val="007B518B"/>
  </w:style>
  <w:style w:type="paragraph" w:customStyle="1" w:styleId="Restitle">
    <w:name w:val="Res_title"/>
    <w:basedOn w:val="Normal"/>
    <w:next w:val="Resref"/>
    <w:rsid w:val="007B518B"/>
    <w:pPr>
      <w:spacing w:before="240"/>
      <w:jc w:val="center"/>
    </w:pPr>
    <w:rPr>
      <w:b/>
      <w:sz w:val="28"/>
    </w:rPr>
  </w:style>
  <w:style w:type="paragraph" w:customStyle="1" w:styleId="Resref">
    <w:name w:val="Res_ref"/>
    <w:basedOn w:val="Recref"/>
    <w:next w:val="Resdate"/>
    <w:rsid w:val="007B518B"/>
  </w:style>
  <w:style w:type="paragraph" w:customStyle="1" w:styleId="SectionNo">
    <w:name w:val="Section_No"/>
    <w:basedOn w:val="Normal"/>
    <w:next w:val="Normal"/>
    <w:rsid w:val="007B518B"/>
  </w:style>
  <w:style w:type="paragraph" w:customStyle="1" w:styleId="Sectiontitle">
    <w:name w:val="Section_title"/>
    <w:basedOn w:val="Normal"/>
    <w:next w:val="Normalaftertitle"/>
    <w:rsid w:val="007B518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B518B"/>
    <w:pPr>
      <w:tabs>
        <w:tab w:val="clear" w:pos="794"/>
        <w:tab w:val="clear" w:pos="1191"/>
        <w:tab w:val="clear" w:pos="1588"/>
        <w:tab w:val="clear" w:pos="1985"/>
        <w:tab w:val="right" w:pos="9611"/>
      </w:tabs>
    </w:pPr>
    <w:rPr>
      <w:i/>
    </w:rPr>
  </w:style>
  <w:style w:type="paragraph" w:styleId="TOC1">
    <w:name w:val="toc 1"/>
    <w:basedOn w:val="Normal"/>
    <w:rsid w:val="007B518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B518B"/>
    <w:pPr>
      <w:tabs>
        <w:tab w:val="clear" w:pos="567"/>
        <w:tab w:val="left" w:pos="1276"/>
      </w:tabs>
      <w:spacing w:before="160"/>
      <w:ind w:left="1276" w:hanging="709"/>
    </w:pPr>
  </w:style>
  <w:style w:type="paragraph" w:styleId="TOC3">
    <w:name w:val="toc 3"/>
    <w:basedOn w:val="TOC2"/>
    <w:rsid w:val="007B518B"/>
    <w:pPr>
      <w:tabs>
        <w:tab w:val="clear" w:pos="1276"/>
        <w:tab w:val="left" w:pos="2155"/>
      </w:tabs>
      <w:ind w:left="2155" w:hanging="879"/>
    </w:pPr>
  </w:style>
  <w:style w:type="paragraph" w:styleId="TOC4">
    <w:name w:val="toc 4"/>
    <w:basedOn w:val="TOC3"/>
    <w:rsid w:val="007B518B"/>
    <w:pPr>
      <w:tabs>
        <w:tab w:val="left" w:pos="3261"/>
      </w:tabs>
      <w:spacing w:before="80"/>
      <w:ind w:left="3261" w:hanging="993"/>
    </w:pPr>
  </w:style>
  <w:style w:type="paragraph" w:styleId="TOC5">
    <w:name w:val="toc 5"/>
    <w:basedOn w:val="TOC4"/>
    <w:rsid w:val="007B518B"/>
  </w:style>
  <w:style w:type="paragraph" w:styleId="TOC6">
    <w:name w:val="toc 6"/>
    <w:basedOn w:val="TOC4"/>
    <w:rsid w:val="007B518B"/>
  </w:style>
  <w:style w:type="paragraph" w:styleId="TOC7">
    <w:name w:val="toc 7"/>
    <w:basedOn w:val="TOC4"/>
    <w:rsid w:val="007B518B"/>
  </w:style>
  <w:style w:type="paragraph" w:styleId="TOC8">
    <w:name w:val="toc 8"/>
    <w:basedOn w:val="TOC4"/>
    <w:rsid w:val="007B518B"/>
  </w:style>
  <w:style w:type="paragraph" w:customStyle="1" w:styleId="Annexref">
    <w:name w:val="Annex_ref"/>
    <w:basedOn w:val="Normal"/>
    <w:next w:val="Normalaftertitle"/>
    <w:rsid w:val="007B518B"/>
    <w:pPr>
      <w:keepNext/>
      <w:keepLines/>
      <w:spacing w:after="280"/>
      <w:jc w:val="center"/>
    </w:pPr>
  </w:style>
  <w:style w:type="paragraph" w:customStyle="1" w:styleId="Appendixref">
    <w:name w:val="Appendix_ref"/>
    <w:basedOn w:val="Annexref"/>
    <w:next w:val="Normalaftertitle"/>
    <w:rsid w:val="007B518B"/>
  </w:style>
  <w:style w:type="paragraph" w:customStyle="1" w:styleId="Tabletitle">
    <w:name w:val="Table_title"/>
    <w:basedOn w:val="Normal"/>
    <w:next w:val="Tablehead"/>
    <w:link w:val="TabletitleChar"/>
    <w:rsid w:val="007B518B"/>
    <w:pPr>
      <w:keepNext/>
      <w:spacing w:before="0" w:after="120"/>
      <w:jc w:val="center"/>
    </w:pPr>
    <w:rPr>
      <w:b/>
    </w:rPr>
  </w:style>
  <w:style w:type="paragraph" w:customStyle="1" w:styleId="Summary">
    <w:name w:val="Summary"/>
    <w:basedOn w:val="Normal"/>
    <w:next w:val="Normalaftertitle"/>
    <w:rsid w:val="007B518B"/>
    <w:pPr>
      <w:spacing w:after="480"/>
    </w:pPr>
    <w:rPr>
      <w:sz w:val="22"/>
      <w:lang w:val="es-ES_tradnl"/>
    </w:rPr>
  </w:style>
  <w:style w:type="paragraph" w:customStyle="1" w:styleId="Part">
    <w:name w:val="Part"/>
    <w:basedOn w:val="Normal"/>
    <w:rsid w:val="00403476"/>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character" w:styleId="Hyperlink">
    <w:name w:val="Hyperlink"/>
    <w:basedOn w:val="DefaultParagraphFont"/>
    <w:rsid w:val="0014322C"/>
    <w:rPr>
      <w:color w:val="0000FF"/>
      <w:u w:val="single"/>
    </w:rPr>
  </w:style>
  <w:style w:type="paragraph" w:customStyle="1" w:styleId="TableLegendNote">
    <w:name w:val="Table_Legend_Note"/>
    <w:basedOn w:val="Tablelegend"/>
    <w:next w:val="Tablelegend"/>
    <w:rsid w:val="007B518B"/>
    <w:pPr>
      <w:ind w:left="-85" w:firstLine="0"/>
    </w:pPr>
    <w:rPr>
      <w:lang w:val="en-US"/>
    </w:rPr>
  </w:style>
  <w:style w:type="numbering" w:customStyle="1" w:styleId="NoList1">
    <w:name w:val="No List1"/>
    <w:next w:val="NoList"/>
    <w:uiPriority w:val="99"/>
    <w:semiHidden/>
    <w:unhideWhenUsed/>
    <w:rsid w:val="002B014C"/>
  </w:style>
  <w:style w:type="character" w:customStyle="1" w:styleId="Heading1Char">
    <w:name w:val="Heading 1 Char"/>
    <w:basedOn w:val="DefaultParagraphFont"/>
    <w:link w:val="Heading1"/>
    <w:rsid w:val="002B014C"/>
    <w:rPr>
      <w:b/>
      <w:sz w:val="24"/>
      <w:lang w:val="fr-FR" w:eastAsia="en-US"/>
    </w:rPr>
  </w:style>
  <w:style w:type="character" w:customStyle="1" w:styleId="Heading2Char">
    <w:name w:val="Heading 2 Char"/>
    <w:basedOn w:val="DefaultParagraphFont"/>
    <w:link w:val="Heading2"/>
    <w:rsid w:val="002B014C"/>
    <w:rPr>
      <w:b/>
      <w:sz w:val="24"/>
      <w:lang w:val="fr-FR" w:eastAsia="en-US"/>
    </w:rPr>
  </w:style>
  <w:style w:type="character" w:customStyle="1" w:styleId="Heading3Char">
    <w:name w:val="Heading 3 Char"/>
    <w:basedOn w:val="DefaultParagraphFont"/>
    <w:link w:val="Heading3"/>
    <w:rsid w:val="002B014C"/>
    <w:rPr>
      <w:b/>
      <w:sz w:val="24"/>
      <w:lang w:val="fr-FR" w:eastAsia="en-US"/>
    </w:rPr>
  </w:style>
  <w:style w:type="character" w:customStyle="1" w:styleId="Heading4Char">
    <w:name w:val="Heading 4 Char"/>
    <w:basedOn w:val="DefaultParagraphFont"/>
    <w:link w:val="Heading4"/>
    <w:rsid w:val="002B014C"/>
    <w:rPr>
      <w:b/>
      <w:sz w:val="24"/>
      <w:lang w:val="fr-FR" w:eastAsia="en-US"/>
    </w:rPr>
  </w:style>
  <w:style w:type="character" w:customStyle="1" w:styleId="Heading5Char">
    <w:name w:val="Heading 5 Char"/>
    <w:basedOn w:val="DefaultParagraphFont"/>
    <w:link w:val="Heading5"/>
    <w:rsid w:val="002B014C"/>
    <w:rPr>
      <w:b/>
      <w:sz w:val="24"/>
      <w:lang w:val="fr-FR" w:eastAsia="en-US"/>
    </w:rPr>
  </w:style>
  <w:style w:type="character" w:customStyle="1" w:styleId="Heading6Char">
    <w:name w:val="Heading 6 Char"/>
    <w:basedOn w:val="DefaultParagraphFont"/>
    <w:link w:val="Heading6"/>
    <w:rsid w:val="002B014C"/>
    <w:rPr>
      <w:b/>
      <w:sz w:val="24"/>
      <w:lang w:val="fr-FR" w:eastAsia="en-US"/>
    </w:rPr>
  </w:style>
  <w:style w:type="character" w:customStyle="1" w:styleId="Heading7Char">
    <w:name w:val="Heading 7 Char"/>
    <w:basedOn w:val="DefaultParagraphFont"/>
    <w:link w:val="Heading7"/>
    <w:rsid w:val="002B014C"/>
    <w:rPr>
      <w:b/>
      <w:sz w:val="24"/>
      <w:lang w:val="fr-FR" w:eastAsia="en-US"/>
    </w:rPr>
  </w:style>
  <w:style w:type="character" w:customStyle="1" w:styleId="Heading8Char">
    <w:name w:val="Heading 8 Char"/>
    <w:basedOn w:val="DefaultParagraphFont"/>
    <w:link w:val="Heading8"/>
    <w:rsid w:val="002B014C"/>
    <w:rPr>
      <w:b/>
      <w:sz w:val="24"/>
      <w:lang w:val="fr-FR" w:eastAsia="en-US"/>
    </w:rPr>
  </w:style>
  <w:style w:type="character" w:customStyle="1" w:styleId="Heading9Char">
    <w:name w:val="Heading 9 Char"/>
    <w:basedOn w:val="DefaultParagraphFont"/>
    <w:link w:val="Heading9"/>
    <w:rsid w:val="002B014C"/>
    <w:rPr>
      <w:b/>
      <w:sz w:val="24"/>
      <w:lang w:val="fr-FR" w:eastAsia="en-US"/>
    </w:rPr>
  </w:style>
  <w:style w:type="character" w:customStyle="1" w:styleId="HeaderChar">
    <w:name w:val="Header Char"/>
    <w:basedOn w:val="DefaultParagraphFont"/>
    <w:link w:val="Header"/>
    <w:rsid w:val="002B014C"/>
    <w:rPr>
      <w:sz w:val="24"/>
      <w:lang w:val="fr-FR" w:eastAsia="en-US"/>
    </w:rPr>
  </w:style>
  <w:style w:type="character" w:customStyle="1" w:styleId="FooterChar">
    <w:name w:val="Footer Char"/>
    <w:basedOn w:val="DefaultParagraphFont"/>
    <w:link w:val="Footer"/>
    <w:rsid w:val="002B014C"/>
    <w:rPr>
      <w:noProof/>
      <w:sz w:val="18"/>
      <w:lang w:val="fr-FR" w:eastAsia="en-US"/>
    </w:rPr>
  </w:style>
  <w:style w:type="character" w:customStyle="1" w:styleId="enumlev1Char">
    <w:name w:val="enumlev1 Char"/>
    <w:basedOn w:val="DefaultParagraphFont"/>
    <w:link w:val="enumlev1"/>
    <w:locked/>
    <w:rsid w:val="002B014C"/>
    <w:rPr>
      <w:sz w:val="24"/>
      <w:lang w:val="fr-FR" w:eastAsia="en-US"/>
    </w:rPr>
  </w:style>
  <w:style w:type="character" w:customStyle="1" w:styleId="NormalaftertitleChar">
    <w:name w:val="Normal_after_title Char"/>
    <w:link w:val="Normalaftertitle"/>
    <w:locked/>
    <w:rsid w:val="002B014C"/>
    <w:rPr>
      <w:sz w:val="24"/>
      <w:lang w:val="fr-FR" w:eastAsia="en-US"/>
    </w:rPr>
  </w:style>
  <w:style w:type="character" w:customStyle="1" w:styleId="TableheadChar">
    <w:name w:val="Table_head Char"/>
    <w:link w:val="Tablehead"/>
    <w:locked/>
    <w:rsid w:val="002B014C"/>
    <w:rPr>
      <w:b/>
      <w:sz w:val="22"/>
      <w:lang w:val="fr-FR" w:eastAsia="en-US"/>
    </w:rPr>
  </w:style>
  <w:style w:type="character" w:customStyle="1" w:styleId="TableNo0">
    <w:name w:val="Table_No Знак"/>
    <w:link w:val="TableNo"/>
    <w:locked/>
    <w:rsid w:val="002B014C"/>
    <w:rPr>
      <w:sz w:val="24"/>
      <w:lang w:val="fr-FR" w:eastAsia="en-US"/>
    </w:rPr>
  </w:style>
  <w:style w:type="character" w:customStyle="1" w:styleId="TabletextChar">
    <w:name w:val="Table_text Char"/>
    <w:link w:val="Tabletext"/>
    <w:locked/>
    <w:rsid w:val="002B014C"/>
    <w:rPr>
      <w:sz w:val="22"/>
      <w:lang w:val="fr-FR" w:eastAsia="en-US"/>
    </w:rPr>
  </w:style>
  <w:style w:type="character" w:customStyle="1" w:styleId="EquationChar">
    <w:name w:val="Equation Char"/>
    <w:link w:val="Equation"/>
    <w:locked/>
    <w:rsid w:val="002B014C"/>
    <w:rPr>
      <w:sz w:val="24"/>
      <w:lang w:val="fr-FR" w:eastAsia="en-US"/>
    </w:rPr>
  </w:style>
  <w:style w:type="character" w:customStyle="1" w:styleId="EquationlegendChar">
    <w:name w:val="Equation_legend Char"/>
    <w:link w:val="Equationlegend"/>
    <w:locked/>
    <w:rsid w:val="002B014C"/>
    <w:rPr>
      <w:sz w:val="24"/>
      <w:lang w:eastAsia="en-US"/>
    </w:rPr>
  </w:style>
  <w:style w:type="character" w:customStyle="1" w:styleId="FiguretitleChar">
    <w:name w:val="Figure_title Char"/>
    <w:basedOn w:val="DefaultParagraphFont"/>
    <w:link w:val="Figuretitle"/>
    <w:locked/>
    <w:rsid w:val="002B014C"/>
    <w:rPr>
      <w:rFonts w:ascii="Times New Roman Bold" w:hAnsi="Times New Roman Bold"/>
      <w:b/>
      <w:sz w:val="18"/>
      <w:lang w:val="fr-FR" w:eastAsia="en-US"/>
    </w:rPr>
  </w:style>
  <w:style w:type="character" w:customStyle="1" w:styleId="FigureNoChar">
    <w:name w:val="Figure_No Char"/>
    <w:basedOn w:val="DefaultParagraphFont"/>
    <w:link w:val="FigureNo"/>
    <w:locked/>
    <w:rsid w:val="002B014C"/>
    <w:rPr>
      <w:caps/>
      <w:sz w:val="18"/>
      <w:lang w:val="fr-FR" w:eastAsia="en-US"/>
    </w:rPr>
  </w:style>
  <w:style w:type="character" w:customStyle="1" w:styleId="CallChar">
    <w:name w:val="Call Char"/>
    <w:link w:val="Call"/>
    <w:locked/>
    <w:rsid w:val="002B014C"/>
    <w:rPr>
      <w:i/>
      <w:sz w:val="24"/>
      <w:lang w:val="fr-FR" w:eastAsia="en-US"/>
    </w:rPr>
  </w:style>
  <w:style w:type="character" w:customStyle="1" w:styleId="TabletitleChar">
    <w:name w:val="Table_title Char"/>
    <w:basedOn w:val="DefaultParagraphFont"/>
    <w:link w:val="Tabletitle"/>
    <w:locked/>
    <w:rsid w:val="002B014C"/>
    <w:rPr>
      <w:b/>
      <w:sz w:val="24"/>
      <w:lang w:val="fr-FR" w:eastAsia="en-US"/>
    </w:rPr>
  </w:style>
  <w:style w:type="character" w:customStyle="1" w:styleId="FootnoteTextChar">
    <w:name w:val="Footnote Text Char"/>
    <w:basedOn w:val="DefaultParagraphFont"/>
    <w:link w:val="FootnoteText"/>
    <w:rsid w:val="002B014C"/>
    <w:rPr>
      <w:sz w:val="22"/>
      <w:lang w:val="fr-FR" w:eastAsia="en-US"/>
    </w:rPr>
  </w:style>
  <w:style w:type="paragraph" w:styleId="ListParagraph">
    <w:name w:val="List Paragraph"/>
    <w:basedOn w:val="Normal"/>
    <w:uiPriority w:val="34"/>
    <w:qFormat/>
    <w:rsid w:val="002B014C"/>
    <w:pPr>
      <w:ind w:left="720"/>
      <w:contextualSpacing/>
      <w:jc w:val="left"/>
    </w:pPr>
  </w:style>
  <w:style w:type="paragraph" w:styleId="BalloonText">
    <w:name w:val="Balloon Text"/>
    <w:basedOn w:val="Normal"/>
    <w:link w:val="BalloonTextChar"/>
    <w:rsid w:val="002B014C"/>
    <w:pPr>
      <w:spacing w:before="0"/>
      <w:jc w:val="left"/>
    </w:pPr>
    <w:rPr>
      <w:rFonts w:ascii="Tahoma" w:hAnsi="Tahoma" w:cs="Tahoma"/>
      <w:sz w:val="16"/>
      <w:szCs w:val="16"/>
    </w:rPr>
  </w:style>
  <w:style w:type="character" w:customStyle="1" w:styleId="BalloonTextChar">
    <w:name w:val="Balloon Text Char"/>
    <w:basedOn w:val="DefaultParagraphFont"/>
    <w:link w:val="BalloonText"/>
    <w:rsid w:val="002B014C"/>
    <w:rPr>
      <w:rFonts w:ascii="Tahoma" w:hAnsi="Tahoma" w:cs="Tahoma"/>
      <w:sz w:val="16"/>
      <w:szCs w:val="16"/>
      <w:lang w:val="fr-FR" w:eastAsia="en-US"/>
    </w:rPr>
  </w:style>
  <w:style w:type="paragraph" w:customStyle="1" w:styleId="Artheading">
    <w:name w:val="Art_heading"/>
    <w:basedOn w:val="Normal"/>
    <w:next w:val="Normalaftertitle"/>
    <w:rsid w:val="002B014C"/>
    <w:pPr>
      <w:spacing w:before="480"/>
      <w:jc w:val="center"/>
    </w:pPr>
    <w:rPr>
      <w:b/>
      <w:sz w:val="28"/>
    </w:rPr>
  </w:style>
  <w:style w:type="character" w:styleId="EndnoteReference">
    <w:name w:val="endnote reference"/>
    <w:basedOn w:val="DefaultParagraphFont"/>
    <w:rsid w:val="002B014C"/>
    <w:rPr>
      <w:vertAlign w:val="superscript"/>
    </w:rPr>
  </w:style>
  <w:style w:type="paragraph" w:customStyle="1" w:styleId="Figurewithouttitle">
    <w:name w:val="Figure_without_title"/>
    <w:basedOn w:val="Normal"/>
    <w:next w:val="Normalaftertitle"/>
    <w:rsid w:val="002B014C"/>
    <w:pPr>
      <w:keepLines/>
      <w:spacing w:before="240" w:after="120"/>
      <w:jc w:val="center"/>
    </w:pPr>
  </w:style>
  <w:style w:type="paragraph" w:customStyle="1" w:styleId="FirstFooter">
    <w:name w:val="FirstFooter"/>
    <w:basedOn w:val="Footer"/>
    <w:rsid w:val="002B014C"/>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2B014C"/>
    <w:pPr>
      <w:spacing w:before="840" w:after="200"/>
      <w:jc w:val="center"/>
    </w:pPr>
    <w:rPr>
      <w:b/>
      <w:sz w:val="28"/>
    </w:rPr>
  </w:style>
  <w:style w:type="paragraph" w:customStyle="1" w:styleId="SpecialFooter">
    <w:name w:val="Special Footer"/>
    <w:basedOn w:val="Footer"/>
    <w:rsid w:val="002B014C"/>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2B014C"/>
    <w:pPr>
      <w:keepNext/>
      <w:spacing w:before="0" w:after="120"/>
      <w:jc w:val="center"/>
    </w:pPr>
  </w:style>
  <w:style w:type="paragraph" w:customStyle="1" w:styleId="Title1">
    <w:name w:val="Title 1"/>
    <w:basedOn w:val="Source"/>
    <w:next w:val="Title2"/>
    <w:rsid w:val="002B014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B014C"/>
  </w:style>
  <w:style w:type="paragraph" w:customStyle="1" w:styleId="Title3">
    <w:name w:val="Title 3"/>
    <w:basedOn w:val="Title2"/>
    <w:next w:val="Title4"/>
    <w:rsid w:val="002B014C"/>
    <w:rPr>
      <w:caps w:val="0"/>
    </w:rPr>
  </w:style>
  <w:style w:type="paragraph" w:customStyle="1" w:styleId="Title4">
    <w:name w:val="Title 4"/>
    <w:basedOn w:val="Title3"/>
    <w:next w:val="Heading1"/>
    <w:rsid w:val="002B014C"/>
    <w:rPr>
      <w:b/>
    </w:rPr>
  </w:style>
  <w:style w:type="character" w:customStyle="1" w:styleId="Appdef">
    <w:name w:val="App_def"/>
    <w:basedOn w:val="DefaultParagraphFont"/>
    <w:rsid w:val="002B014C"/>
    <w:rPr>
      <w:rFonts w:ascii="Times New Roman" w:hAnsi="Times New Roman"/>
      <w:b/>
    </w:rPr>
  </w:style>
  <w:style w:type="character" w:customStyle="1" w:styleId="Appref">
    <w:name w:val="App_ref"/>
    <w:basedOn w:val="DefaultParagraphFont"/>
    <w:rsid w:val="002B014C"/>
  </w:style>
  <w:style w:type="character" w:customStyle="1" w:styleId="Artdef">
    <w:name w:val="Art_def"/>
    <w:basedOn w:val="DefaultParagraphFont"/>
    <w:rsid w:val="002B014C"/>
    <w:rPr>
      <w:rFonts w:ascii="Times New Roman" w:hAnsi="Times New Roman"/>
      <w:b/>
    </w:rPr>
  </w:style>
  <w:style w:type="character" w:customStyle="1" w:styleId="Artref">
    <w:name w:val="Art_ref"/>
    <w:basedOn w:val="DefaultParagraphFont"/>
    <w:rsid w:val="002B014C"/>
  </w:style>
  <w:style w:type="character" w:customStyle="1" w:styleId="Recdef">
    <w:name w:val="Rec_def"/>
    <w:basedOn w:val="DefaultParagraphFont"/>
    <w:rsid w:val="002B014C"/>
    <w:rPr>
      <w:b/>
    </w:rPr>
  </w:style>
  <w:style w:type="character" w:customStyle="1" w:styleId="Resdef">
    <w:name w:val="Res_def"/>
    <w:basedOn w:val="DefaultParagraphFont"/>
    <w:rsid w:val="002B014C"/>
    <w:rPr>
      <w:rFonts w:ascii="Times New Roman" w:hAnsi="Times New Roman"/>
      <w:b/>
    </w:rPr>
  </w:style>
  <w:style w:type="character" w:customStyle="1" w:styleId="Tablefreq">
    <w:name w:val="Table_freq"/>
    <w:basedOn w:val="DefaultParagraphFont"/>
    <w:rsid w:val="002B014C"/>
    <w:rPr>
      <w:b/>
      <w:color w:val="auto"/>
    </w:rPr>
  </w:style>
  <w:style w:type="paragraph" w:customStyle="1" w:styleId="Formal">
    <w:name w:val="Formal"/>
    <w:basedOn w:val="ASN1"/>
    <w:rsid w:val="002B014C"/>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2B014C"/>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B014C"/>
    <w:pPr>
      <w:tabs>
        <w:tab w:val="clear" w:pos="794"/>
        <w:tab w:val="clear" w:pos="1191"/>
        <w:tab w:val="clear" w:pos="1588"/>
        <w:tab w:val="clear" w:pos="1985"/>
      </w:tabs>
      <w:spacing w:before="240"/>
      <w:jc w:val="center"/>
    </w:pPr>
    <w:rPr>
      <w:i/>
    </w:rPr>
  </w:style>
  <w:style w:type="paragraph" w:customStyle="1" w:styleId="Reasons">
    <w:name w:val="Reasons"/>
    <w:basedOn w:val="Normal"/>
    <w:qFormat/>
    <w:rsid w:val="002B014C"/>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Ss">
    <w:name w:val="Ss"/>
    <w:basedOn w:val="Normal"/>
    <w:rsid w:val="00FC0E77"/>
    <w:pPr>
      <w:spacing w:after="480"/>
      <w:jc w:val="left"/>
    </w:pPr>
    <w:rPr>
      <w:sz w:val="22"/>
      <w:lang w:val="fr-CH"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oleObject" Target="embeddings/oleObject1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C/fr" TargetMode="External"/><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239</TotalTime>
  <Pages>1</Pages>
  <Words>4101</Words>
  <Characters>21634</Characters>
  <Application>Microsoft Office Word</Application>
  <DocSecurity>0</DocSecurity>
  <Lines>360</Lines>
  <Paragraphs>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25700</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64</cp:revision>
  <cp:lastPrinted>2015-07-15T06:03:00Z</cp:lastPrinted>
  <dcterms:created xsi:type="dcterms:W3CDTF">2015-07-09T13:55:00Z</dcterms:created>
  <dcterms:modified xsi:type="dcterms:W3CDTF">2015-07-15T06:06:00Z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