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BD7" w:rsidRPr="00D36529" w:rsidRDefault="00A21BD7">
      <w:pPr>
        <w:rPr>
          <w:lang w:val="fr-CH"/>
        </w:rPr>
      </w:pPr>
      <w:bookmarkStart w:id="0" w:name="Doc_title"/>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p w:rsidR="00A21BD7" w:rsidRPr="00D36529" w:rsidRDefault="00A21BD7">
      <w:pPr>
        <w:rPr>
          <w:lang w:val="fr-CH"/>
        </w:rPr>
      </w:pPr>
    </w:p>
    <w:tbl>
      <w:tblPr>
        <w:tblW w:w="10089" w:type="dxa"/>
        <w:tblLook w:val="01E0" w:firstRow="1" w:lastRow="1" w:firstColumn="1" w:lastColumn="1" w:noHBand="0" w:noVBand="0"/>
      </w:tblPr>
      <w:tblGrid>
        <w:gridCol w:w="10089"/>
      </w:tblGrid>
      <w:tr w:rsidR="00A21BD7" w:rsidRPr="00D36529">
        <w:tc>
          <w:tcPr>
            <w:tcW w:w="10089" w:type="dxa"/>
          </w:tcPr>
          <w:p w:rsidR="00A21BD7" w:rsidRPr="00D36529" w:rsidRDefault="00A21BD7" w:rsidP="00ED0CD0">
            <w:pPr>
              <w:spacing w:before="380" w:line="280" w:lineRule="exact"/>
              <w:jc w:val="right"/>
              <w:rPr>
                <w:rFonts w:ascii="Tahoma" w:hAnsi="Tahoma" w:cs="Tahoma"/>
                <w:b/>
                <w:bCs/>
                <w:iCs/>
                <w:color w:val="243285"/>
                <w:sz w:val="32"/>
                <w:szCs w:val="32"/>
                <w:lang w:val="fr-CH"/>
              </w:rPr>
            </w:pPr>
          </w:p>
          <w:p w:rsidR="00A21BD7" w:rsidRPr="00D36529" w:rsidRDefault="00A21BD7" w:rsidP="007F6DA5">
            <w:pPr>
              <w:spacing w:before="380" w:line="280" w:lineRule="exact"/>
              <w:jc w:val="right"/>
              <w:rPr>
                <w:rFonts w:ascii="Tahoma" w:hAnsi="Tahoma" w:cs="Tahoma"/>
                <w:b/>
                <w:bCs/>
                <w:iCs/>
                <w:color w:val="243285"/>
                <w:sz w:val="36"/>
                <w:szCs w:val="36"/>
                <w:lang w:val="fr-CH"/>
              </w:rPr>
            </w:pPr>
            <w:r w:rsidRPr="00D36529">
              <w:rPr>
                <w:rFonts w:ascii="Tahoma" w:hAnsi="Tahoma" w:cs="Tahoma"/>
                <w:b/>
                <w:bCs/>
                <w:iCs/>
                <w:color w:val="243285"/>
                <w:sz w:val="36"/>
                <w:szCs w:val="36"/>
                <w:lang w:val="fr-CH"/>
              </w:rPr>
              <w:t>Recommandation  UIT-R  BT.</w:t>
            </w:r>
            <w:r w:rsidR="007F6DA5" w:rsidRPr="00D36529">
              <w:rPr>
                <w:rFonts w:ascii="Tahoma" w:hAnsi="Tahoma" w:cs="Tahoma"/>
                <w:b/>
                <w:bCs/>
                <w:iCs/>
                <w:color w:val="243285"/>
                <w:sz w:val="36"/>
                <w:szCs w:val="36"/>
                <w:lang w:val="fr-CH"/>
              </w:rPr>
              <w:t>1122-2</w:t>
            </w:r>
          </w:p>
          <w:p w:rsidR="00A21BD7" w:rsidRPr="00D36529" w:rsidRDefault="00A21BD7" w:rsidP="007F6DA5">
            <w:pPr>
              <w:spacing w:before="80" w:line="280" w:lineRule="exact"/>
              <w:jc w:val="right"/>
              <w:rPr>
                <w:rFonts w:ascii="Tahoma" w:hAnsi="Tahoma" w:cs="Tahoma"/>
                <w:b/>
                <w:bCs/>
                <w:iCs/>
                <w:color w:val="243285"/>
                <w:szCs w:val="24"/>
                <w:lang w:val="fr-CH"/>
              </w:rPr>
            </w:pPr>
            <w:r w:rsidRPr="00D36529">
              <w:rPr>
                <w:rFonts w:ascii="Tahoma" w:hAnsi="Tahoma" w:cs="Tahoma"/>
                <w:b/>
                <w:bCs/>
                <w:iCs/>
                <w:color w:val="243285"/>
                <w:szCs w:val="24"/>
                <w:lang w:val="fr-CH"/>
              </w:rPr>
              <w:t>(0</w:t>
            </w:r>
            <w:r w:rsidR="007F6DA5" w:rsidRPr="00D36529">
              <w:rPr>
                <w:rFonts w:ascii="Tahoma" w:hAnsi="Tahoma" w:cs="Tahoma"/>
                <w:b/>
                <w:bCs/>
                <w:iCs/>
                <w:color w:val="243285"/>
                <w:szCs w:val="24"/>
                <w:lang w:val="fr-CH"/>
              </w:rPr>
              <w:t>3</w:t>
            </w:r>
            <w:r w:rsidRPr="00D36529">
              <w:rPr>
                <w:rFonts w:ascii="Tahoma" w:hAnsi="Tahoma" w:cs="Tahoma"/>
                <w:b/>
                <w:bCs/>
                <w:iCs/>
                <w:color w:val="243285"/>
                <w:szCs w:val="24"/>
                <w:lang w:val="fr-CH"/>
              </w:rPr>
              <w:t>/</w:t>
            </w:r>
            <w:r w:rsidR="007F6DA5" w:rsidRPr="00D36529">
              <w:rPr>
                <w:rFonts w:ascii="Tahoma" w:hAnsi="Tahoma" w:cs="Tahoma"/>
                <w:b/>
                <w:bCs/>
                <w:iCs/>
                <w:color w:val="243285"/>
                <w:szCs w:val="24"/>
                <w:lang w:val="fr-CH"/>
              </w:rPr>
              <w:t>2011</w:t>
            </w:r>
            <w:r w:rsidRPr="00D36529">
              <w:rPr>
                <w:rFonts w:ascii="Tahoma" w:hAnsi="Tahoma" w:cs="Tahoma"/>
                <w:b/>
                <w:bCs/>
                <w:iCs/>
                <w:color w:val="243285"/>
                <w:szCs w:val="24"/>
                <w:lang w:val="fr-CH"/>
              </w:rPr>
              <w:t>)</w:t>
            </w:r>
          </w:p>
        </w:tc>
      </w:tr>
      <w:tr w:rsidR="00A21BD7" w:rsidRPr="00D36529">
        <w:tc>
          <w:tcPr>
            <w:tcW w:w="10089" w:type="dxa"/>
          </w:tcPr>
          <w:p w:rsidR="00A21BD7" w:rsidRPr="00D36529" w:rsidRDefault="00A21BD7" w:rsidP="00ED0CD0">
            <w:pPr>
              <w:spacing w:before="80" w:line="500" w:lineRule="exact"/>
              <w:jc w:val="right"/>
              <w:rPr>
                <w:rFonts w:ascii="Tahoma" w:hAnsi="Tahoma" w:cs="Tahoma"/>
                <w:b/>
                <w:bCs/>
                <w:iCs/>
                <w:color w:val="243285"/>
                <w:sz w:val="44"/>
                <w:szCs w:val="44"/>
                <w:lang w:val="fr-CH"/>
              </w:rPr>
            </w:pPr>
          </w:p>
          <w:p w:rsidR="007F6DA5" w:rsidRPr="00D36529" w:rsidRDefault="007F6DA5" w:rsidP="007F6DA5">
            <w:pPr>
              <w:spacing w:before="80" w:line="500" w:lineRule="exact"/>
              <w:jc w:val="right"/>
              <w:rPr>
                <w:rFonts w:ascii="Tahoma" w:hAnsi="Tahoma" w:cs="Tahoma"/>
                <w:b/>
                <w:bCs/>
                <w:color w:val="243285"/>
                <w:sz w:val="44"/>
                <w:szCs w:val="44"/>
                <w:lang w:val="fr-CH"/>
              </w:rPr>
            </w:pPr>
            <w:r w:rsidRPr="00D36529">
              <w:rPr>
                <w:rFonts w:ascii="Tahoma" w:hAnsi="Tahoma" w:cs="Tahoma"/>
                <w:b/>
                <w:bCs/>
                <w:color w:val="243285"/>
                <w:sz w:val="44"/>
                <w:szCs w:val="44"/>
                <w:lang w:val="fr-CH"/>
              </w:rPr>
              <w:t>Besoins des usagers en matière de codecs pour les systèmes d'émission et de distribution secondaire de TVDN et de TVHD</w:t>
            </w:r>
          </w:p>
          <w:p w:rsidR="00A21BD7" w:rsidRPr="00D36529" w:rsidRDefault="00A21BD7" w:rsidP="007F6DA5">
            <w:pPr>
              <w:spacing w:before="80" w:line="500" w:lineRule="exact"/>
              <w:jc w:val="right"/>
              <w:rPr>
                <w:rFonts w:ascii="Tahoma" w:hAnsi="Tahoma" w:cs="Tahoma"/>
                <w:b/>
                <w:bCs/>
                <w:iCs/>
                <w:color w:val="243285"/>
                <w:sz w:val="44"/>
                <w:szCs w:val="44"/>
                <w:lang w:val="fr-CH"/>
              </w:rPr>
            </w:pPr>
            <w:r w:rsidRPr="00D36529">
              <w:rPr>
                <w:rFonts w:ascii="Tahoma" w:hAnsi="Tahoma" w:cs="Tahoma"/>
                <w:b/>
                <w:bCs/>
                <w:iCs/>
                <w:color w:val="243285"/>
                <w:sz w:val="44"/>
                <w:szCs w:val="44"/>
                <w:lang w:val="fr-CH"/>
              </w:rPr>
              <w:t xml:space="preserve"> </w:t>
            </w:r>
          </w:p>
        </w:tc>
      </w:tr>
      <w:tr w:rsidR="00A21BD7" w:rsidRPr="00D36529">
        <w:tc>
          <w:tcPr>
            <w:tcW w:w="10089" w:type="dxa"/>
          </w:tcPr>
          <w:p w:rsidR="00A21BD7" w:rsidRPr="00D36529" w:rsidRDefault="00A21BD7" w:rsidP="00ED0CD0">
            <w:pPr>
              <w:spacing w:before="80" w:line="280" w:lineRule="exact"/>
              <w:ind w:right="640"/>
              <w:rPr>
                <w:rFonts w:ascii="Tahoma" w:hAnsi="Tahoma" w:cs="Tahoma"/>
                <w:b/>
                <w:bCs/>
                <w:iCs/>
                <w:color w:val="243285"/>
                <w:sz w:val="32"/>
                <w:szCs w:val="32"/>
                <w:lang w:val="fr-CH"/>
              </w:rPr>
            </w:pPr>
          </w:p>
          <w:p w:rsidR="00A21BD7" w:rsidRPr="00D36529" w:rsidRDefault="00A21BD7" w:rsidP="00ED0CD0">
            <w:pPr>
              <w:spacing w:before="80" w:line="280" w:lineRule="exact"/>
              <w:ind w:right="640"/>
              <w:rPr>
                <w:rFonts w:ascii="Tahoma" w:hAnsi="Tahoma" w:cs="Tahoma"/>
                <w:b/>
                <w:bCs/>
                <w:iCs/>
                <w:color w:val="243285"/>
                <w:sz w:val="32"/>
                <w:szCs w:val="32"/>
                <w:lang w:val="fr-CH"/>
              </w:rPr>
            </w:pPr>
          </w:p>
          <w:p w:rsidR="00A21BD7" w:rsidRPr="00D36529" w:rsidRDefault="00A21BD7" w:rsidP="00ED0CD0">
            <w:pPr>
              <w:spacing w:before="80" w:after="180" w:line="360" w:lineRule="exact"/>
              <w:ind w:right="720"/>
              <w:rPr>
                <w:rFonts w:ascii="Tahoma" w:hAnsi="Tahoma" w:cs="Tahoma"/>
                <w:b/>
                <w:bCs/>
                <w:iCs/>
                <w:color w:val="243285"/>
                <w:sz w:val="36"/>
                <w:szCs w:val="36"/>
                <w:lang w:val="fr-CH"/>
              </w:rPr>
            </w:pPr>
          </w:p>
          <w:p w:rsidR="00A21BD7" w:rsidRPr="00D36529" w:rsidRDefault="00A21BD7" w:rsidP="00ED0CD0">
            <w:pPr>
              <w:spacing w:before="80" w:after="180" w:line="360" w:lineRule="exact"/>
              <w:jc w:val="right"/>
              <w:rPr>
                <w:rFonts w:ascii="Tahoma" w:hAnsi="Tahoma" w:cs="Tahoma"/>
                <w:b/>
                <w:bCs/>
                <w:iCs/>
                <w:color w:val="243285"/>
                <w:sz w:val="36"/>
                <w:szCs w:val="36"/>
                <w:lang w:val="fr-CH"/>
              </w:rPr>
            </w:pPr>
            <w:r w:rsidRPr="00D36529">
              <w:rPr>
                <w:rFonts w:ascii="Tahoma" w:hAnsi="Tahoma" w:cs="Tahoma"/>
                <w:b/>
                <w:bCs/>
                <w:iCs/>
                <w:color w:val="243285"/>
                <w:sz w:val="36"/>
                <w:szCs w:val="36"/>
                <w:lang w:val="fr-CH"/>
              </w:rPr>
              <w:t>Série BT</w:t>
            </w:r>
          </w:p>
          <w:p w:rsidR="00A21BD7" w:rsidRPr="00D36529" w:rsidRDefault="00A21BD7" w:rsidP="00ED0CD0">
            <w:pPr>
              <w:spacing w:before="80" w:line="420" w:lineRule="exact"/>
              <w:jc w:val="right"/>
              <w:rPr>
                <w:rFonts w:ascii="Tahoma" w:hAnsi="Tahoma" w:cs="Tahoma"/>
                <w:b/>
                <w:iCs/>
                <w:color w:val="243285"/>
                <w:sz w:val="36"/>
                <w:szCs w:val="36"/>
                <w:lang w:val="fr-CH"/>
              </w:rPr>
            </w:pPr>
            <w:r w:rsidRPr="00D36529">
              <w:rPr>
                <w:rFonts w:ascii="Tahoma" w:hAnsi="Tahoma" w:cs="Tahoma"/>
                <w:b/>
                <w:bCs/>
                <w:color w:val="243285"/>
                <w:sz w:val="36"/>
                <w:szCs w:val="36"/>
                <w:lang w:val="fr-CH"/>
              </w:rPr>
              <w:t>Service de radiodiffusion télévisuelle</w:t>
            </w:r>
          </w:p>
        </w:tc>
      </w:tr>
    </w:tbl>
    <w:p w:rsidR="00A21BD7" w:rsidRPr="00D36529" w:rsidRDefault="00A21BD7" w:rsidP="00ED0CD0">
      <w:pPr>
        <w:spacing w:before="80"/>
        <w:rPr>
          <w:i/>
          <w:sz w:val="22"/>
          <w:lang w:val="fr-CH"/>
        </w:rPr>
      </w:pPr>
    </w:p>
    <w:p w:rsidR="00A21BD7" w:rsidRPr="00D36529" w:rsidRDefault="00A21BD7" w:rsidP="00ED0CD0">
      <w:pPr>
        <w:spacing w:before="80"/>
        <w:rPr>
          <w:i/>
          <w:sz w:val="22"/>
          <w:lang w:val="fr-CH"/>
        </w:rPr>
      </w:pPr>
    </w:p>
    <w:p w:rsidR="00A21BD7" w:rsidRPr="00D36529" w:rsidRDefault="00A21BD7" w:rsidP="00ED0CD0">
      <w:pPr>
        <w:spacing w:before="80"/>
        <w:rPr>
          <w:i/>
          <w:sz w:val="22"/>
          <w:lang w:val="fr-CH"/>
        </w:rPr>
      </w:pPr>
    </w:p>
    <w:p w:rsidR="00A21BD7" w:rsidRPr="00D36529" w:rsidRDefault="00A21BD7" w:rsidP="00ED0CD0">
      <w:pPr>
        <w:spacing w:before="80"/>
        <w:rPr>
          <w:i/>
          <w:sz w:val="22"/>
          <w:lang w:val="fr-CH"/>
        </w:rPr>
      </w:pPr>
    </w:p>
    <w:p w:rsidR="00A21BD7" w:rsidRPr="00D36529" w:rsidRDefault="00A21BD7" w:rsidP="00ED0CD0">
      <w:pPr>
        <w:spacing w:before="80"/>
        <w:rPr>
          <w:i/>
          <w:sz w:val="22"/>
          <w:lang w:val="fr-CH"/>
        </w:rPr>
      </w:pPr>
    </w:p>
    <w:p w:rsidR="00A21BD7" w:rsidRPr="00D36529" w:rsidRDefault="00A21BD7" w:rsidP="00ED0CD0">
      <w:pPr>
        <w:spacing w:before="80"/>
        <w:rPr>
          <w:i/>
          <w:sz w:val="22"/>
          <w:lang w:val="fr-CH"/>
        </w:rPr>
      </w:pPr>
    </w:p>
    <w:p w:rsidR="00A21BD7" w:rsidRPr="00D36529" w:rsidRDefault="00A21BD7" w:rsidP="00ED0CD0">
      <w:pPr>
        <w:pStyle w:val="Equation"/>
        <w:tabs>
          <w:tab w:val="clear" w:pos="4820"/>
          <w:tab w:val="clear" w:pos="9639"/>
          <w:tab w:val="left" w:pos="1191"/>
          <w:tab w:val="left" w:pos="1588"/>
          <w:tab w:val="left" w:pos="1985"/>
        </w:tabs>
        <w:rPr>
          <w:rFonts w:ascii="Palatino Linotype" w:hAnsi="Palatino Linotype"/>
          <w:lang w:val="fr-CH"/>
        </w:rPr>
        <w:sectPr w:rsidR="00A21BD7" w:rsidRPr="00D36529" w:rsidSect="00ED0CD0">
          <w:headerReference w:type="even" r:id="rId8"/>
          <w:headerReference w:type="default" r:id="rId9"/>
          <w:pgSz w:w="11907" w:h="16834" w:code="9"/>
          <w:pgMar w:top="1418" w:right="1134" w:bottom="1134" w:left="1134" w:header="720" w:footer="482" w:gutter="0"/>
          <w:paperSrc w:first="15" w:other="15"/>
          <w:cols w:space="720"/>
        </w:sectPr>
      </w:pPr>
    </w:p>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D36529">
        <w:rPr>
          <w:bCs/>
          <w:sz w:val="24"/>
          <w:szCs w:val="24"/>
          <w:lang w:val="fr-CH"/>
        </w:rPr>
        <w:lastRenderedPageBreak/>
        <w:t>Avant-propos</w:t>
      </w:r>
    </w:p>
    <w:p w:rsidR="00A21BD7" w:rsidRPr="00D36529" w:rsidRDefault="00A21BD7" w:rsidP="00ED0CD0">
      <w:pPr>
        <w:spacing w:before="240"/>
        <w:rPr>
          <w:sz w:val="20"/>
          <w:lang w:val="fr-CH"/>
        </w:rPr>
      </w:pPr>
      <w:r w:rsidRPr="00D3652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21BD7" w:rsidRPr="00D36529" w:rsidRDefault="00A21BD7" w:rsidP="00ED0CD0">
      <w:pPr>
        <w:rPr>
          <w:sz w:val="20"/>
          <w:lang w:val="fr-CH"/>
        </w:rPr>
      </w:pPr>
      <w:r w:rsidRPr="00D3652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21BD7" w:rsidRPr="00D36529" w:rsidRDefault="00A21BD7" w:rsidP="00ED0CD0">
      <w:pPr>
        <w:pStyle w:val="Heading1"/>
        <w:spacing w:before="360"/>
        <w:jc w:val="center"/>
        <w:rPr>
          <w:szCs w:val="24"/>
          <w:lang w:val="fr-CH"/>
        </w:rPr>
      </w:pPr>
      <w:r w:rsidRPr="00D36529">
        <w:rPr>
          <w:szCs w:val="24"/>
          <w:lang w:val="fr-CH"/>
        </w:rPr>
        <w:t>Politique en matière de droits de propriété intellectuelle (IPR)</w:t>
      </w:r>
    </w:p>
    <w:p w:rsidR="00A21BD7" w:rsidRPr="00D36529" w:rsidRDefault="00A21BD7" w:rsidP="00ED0CD0">
      <w:pPr>
        <w:spacing w:before="240"/>
        <w:rPr>
          <w:sz w:val="20"/>
          <w:lang w:val="fr-CH"/>
        </w:rPr>
      </w:pPr>
      <w:r w:rsidRPr="00D36529">
        <w:rPr>
          <w:sz w:val="20"/>
          <w:lang w:val="fr-CH"/>
        </w:rPr>
        <w:t>La politique de l'UIT</w:t>
      </w:r>
      <w:r w:rsidRPr="00D36529">
        <w:rPr>
          <w:sz w:val="20"/>
          <w:lang w:val="fr-CH"/>
        </w:rPr>
        <w:noBreakHyphen/>
        <w:t>R en matière de droits de propriété intellectuelle est décrite dans la «Politique commune de l'UIT</w:t>
      </w:r>
      <w:r w:rsidRPr="00D36529">
        <w:rPr>
          <w:sz w:val="20"/>
          <w:lang w:val="fr-CH"/>
        </w:rPr>
        <w:noBreakHyphen/>
        <w:t>T, l'UIT</w:t>
      </w:r>
      <w:r w:rsidRPr="00D3652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D36529">
          <w:rPr>
            <w:rStyle w:val="Hyperlink"/>
            <w:sz w:val="20"/>
            <w:lang w:val="fr-CH"/>
          </w:rPr>
          <w:t>http://www.itu.int/ITU-R/go/patents/fr</w:t>
        </w:r>
      </w:hyperlink>
      <w:r w:rsidRPr="00D36529">
        <w:rPr>
          <w:sz w:val="20"/>
          <w:lang w:val="fr-CH"/>
        </w:rPr>
        <w:t>, où l'on trouvera également les Lignes directrices pour la mise en oeuvre de la politique commune en matière de brevets de l'UIT</w:t>
      </w:r>
      <w:r w:rsidRPr="00D36529">
        <w:rPr>
          <w:sz w:val="20"/>
          <w:lang w:val="fr-CH"/>
        </w:rPr>
        <w:noBreakHyphen/>
        <w:t>T, l'UIT</w:t>
      </w:r>
      <w:r w:rsidRPr="00D36529">
        <w:rPr>
          <w:sz w:val="20"/>
          <w:lang w:val="fr-CH"/>
        </w:rPr>
        <w:noBreakHyphen/>
        <w:t>R, l'ISO et la CEI</w:t>
      </w:r>
      <w:r w:rsidRPr="00D36529" w:rsidDel="0061025C">
        <w:rPr>
          <w:sz w:val="20"/>
          <w:lang w:val="fr-CH"/>
        </w:rPr>
        <w:t xml:space="preserve"> </w:t>
      </w:r>
      <w:r w:rsidRPr="00D36529">
        <w:rPr>
          <w:sz w:val="20"/>
          <w:lang w:val="fr-CH"/>
        </w:rPr>
        <w:t>et la base de données en matière de brevets de l'UIT-R.</w:t>
      </w:r>
    </w:p>
    <w:p w:rsidR="00A21BD7" w:rsidRPr="00D36529" w:rsidRDefault="00A21BD7" w:rsidP="00ED0CD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21BD7" w:rsidRPr="00D36529">
        <w:tc>
          <w:tcPr>
            <w:tcW w:w="9360" w:type="dxa"/>
            <w:gridSpan w:val="2"/>
          </w:tcPr>
          <w:p w:rsidR="00A21BD7" w:rsidRPr="00D36529" w:rsidRDefault="00A21BD7" w:rsidP="00ED0CD0">
            <w:pPr>
              <w:pStyle w:val="Chaptitle"/>
              <w:keepLines w:val="0"/>
              <w:tabs>
                <w:tab w:val="clear" w:pos="794"/>
                <w:tab w:val="clear" w:pos="1191"/>
                <w:tab w:val="clear" w:pos="1588"/>
                <w:tab w:val="clear" w:pos="1985"/>
              </w:tabs>
              <w:overflowPunct/>
              <w:spacing w:before="140"/>
              <w:textAlignment w:val="auto"/>
              <w:rPr>
                <w:sz w:val="22"/>
                <w:szCs w:val="22"/>
                <w:lang w:val="fr-CH"/>
              </w:rPr>
            </w:pPr>
            <w:r w:rsidRPr="00D36529">
              <w:rPr>
                <w:sz w:val="22"/>
                <w:szCs w:val="22"/>
                <w:lang w:val="fr-CH"/>
              </w:rPr>
              <w:t xml:space="preserve">Séries des Recommandations UIT-R </w:t>
            </w:r>
          </w:p>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36529">
              <w:rPr>
                <w:b w:val="0"/>
                <w:sz w:val="18"/>
                <w:szCs w:val="18"/>
                <w:lang w:val="fr-CH"/>
              </w:rPr>
              <w:t xml:space="preserve">(Egalement disponible en ligne: </w:t>
            </w:r>
            <w:hyperlink r:id="rId11" w:history="1">
              <w:r w:rsidRPr="00D36529">
                <w:rPr>
                  <w:rStyle w:val="Hyperlink"/>
                  <w:b w:val="0"/>
                  <w:bCs/>
                  <w:sz w:val="18"/>
                  <w:szCs w:val="18"/>
                  <w:lang w:val="fr-CH"/>
                </w:rPr>
                <w:t>http://www.itu.int/publ/R-REC/fr</w:t>
              </w:r>
            </w:hyperlink>
            <w:r w:rsidRPr="00D36529">
              <w:rPr>
                <w:b w:val="0"/>
                <w:bCs/>
                <w:sz w:val="18"/>
                <w:szCs w:val="18"/>
                <w:lang w:val="fr-CH"/>
              </w:rPr>
              <w:t>)</w:t>
            </w:r>
          </w:p>
        </w:tc>
      </w:tr>
      <w:tr w:rsidR="00A21BD7" w:rsidRPr="00D36529">
        <w:tc>
          <w:tcPr>
            <w:tcW w:w="1140" w:type="dxa"/>
          </w:tcPr>
          <w:p w:rsidR="00A21BD7" w:rsidRPr="00D36529" w:rsidRDefault="00A21BD7" w:rsidP="00ED0CD0">
            <w:pPr>
              <w:spacing w:before="90" w:after="100"/>
              <w:ind w:left="57"/>
              <w:rPr>
                <w:b/>
                <w:bCs/>
                <w:sz w:val="20"/>
                <w:lang w:val="fr-CH"/>
              </w:rPr>
            </w:pPr>
            <w:r w:rsidRPr="00D36529">
              <w:rPr>
                <w:b/>
                <w:bCs/>
                <w:sz w:val="20"/>
                <w:lang w:val="fr-CH"/>
              </w:rPr>
              <w:t>Séries</w:t>
            </w:r>
          </w:p>
        </w:tc>
        <w:tc>
          <w:tcPr>
            <w:tcW w:w="8220" w:type="dxa"/>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36529">
              <w:rPr>
                <w:bCs/>
                <w:sz w:val="20"/>
                <w:lang w:val="fr-CH"/>
              </w:rPr>
              <w:t>Titre</w:t>
            </w:r>
          </w:p>
        </w:tc>
      </w:tr>
      <w:tr w:rsidR="00A21BD7" w:rsidRPr="00D36529" w:rsidTr="00ED0CD0">
        <w:tc>
          <w:tcPr>
            <w:tcW w:w="1140" w:type="dxa"/>
            <w:tcBorders>
              <w:bottom w:val="nil"/>
            </w:tcBorders>
          </w:tcPr>
          <w:p w:rsidR="00A21BD7" w:rsidRPr="00D36529" w:rsidRDefault="00A21BD7" w:rsidP="00ED0CD0">
            <w:pPr>
              <w:spacing w:before="30" w:after="30"/>
              <w:ind w:left="57"/>
              <w:rPr>
                <w:b/>
                <w:bCs/>
                <w:sz w:val="20"/>
                <w:lang w:val="fr-CH"/>
              </w:rPr>
            </w:pPr>
            <w:r w:rsidRPr="00D36529">
              <w:rPr>
                <w:b/>
                <w:bCs/>
                <w:sz w:val="20"/>
                <w:lang w:val="fr-CH"/>
              </w:rPr>
              <w:t>BO</w:t>
            </w:r>
          </w:p>
        </w:tc>
        <w:tc>
          <w:tcPr>
            <w:tcW w:w="8220" w:type="dxa"/>
            <w:tcBorders>
              <w:bottom w:val="nil"/>
            </w:tcBorders>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36529">
              <w:rPr>
                <w:b w:val="0"/>
                <w:bCs/>
                <w:sz w:val="20"/>
                <w:lang w:val="fr-CH"/>
              </w:rPr>
              <w:t>Diffusion par satellite</w:t>
            </w:r>
          </w:p>
        </w:tc>
      </w:tr>
      <w:tr w:rsidR="00A21BD7" w:rsidRPr="00D36529" w:rsidTr="00ED0CD0">
        <w:tc>
          <w:tcPr>
            <w:tcW w:w="1140" w:type="dxa"/>
            <w:tcBorders>
              <w:top w:val="nil"/>
              <w:bottom w:val="nil"/>
            </w:tcBorders>
            <w:shd w:val="clear" w:color="auto" w:fill="auto"/>
          </w:tcPr>
          <w:p w:rsidR="00A21BD7" w:rsidRPr="00D36529" w:rsidRDefault="00A21BD7" w:rsidP="00ED0CD0">
            <w:pPr>
              <w:spacing w:before="30" w:after="30"/>
              <w:ind w:left="57"/>
              <w:rPr>
                <w:rFonts w:ascii="Times New Roman Bold" w:hAnsi="Times New Roman Bold" w:cs="Times New Roman Bold"/>
                <w:sz w:val="20"/>
                <w:lang w:val="fr-CH"/>
              </w:rPr>
            </w:pPr>
            <w:r w:rsidRPr="00D36529">
              <w:rPr>
                <w:rFonts w:ascii="Times New Roman Bold" w:hAnsi="Times New Roman Bold" w:cs="Times New Roman Bold"/>
                <w:sz w:val="20"/>
                <w:lang w:val="fr-CH"/>
              </w:rPr>
              <w:t>BR</w:t>
            </w:r>
          </w:p>
        </w:tc>
        <w:tc>
          <w:tcPr>
            <w:tcW w:w="8220" w:type="dxa"/>
            <w:tcBorders>
              <w:top w:val="nil"/>
              <w:bottom w:val="nil"/>
            </w:tcBorders>
            <w:shd w:val="clear" w:color="auto" w:fill="auto"/>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D36529">
              <w:rPr>
                <w:rFonts w:hAnsi="Times New Roman Bold"/>
                <w:b w:val="0"/>
                <w:sz w:val="20"/>
                <w:lang w:val="fr-CH"/>
              </w:rPr>
              <w:t>Enregistrement pour la production, l'archivage et la diffusion; films pour la t</w:t>
            </w:r>
            <w:r w:rsidRPr="00D36529">
              <w:rPr>
                <w:rFonts w:hAnsi="Times New Roman Bold"/>
                <w:b w:val="0"/>
                <w:sz w:val="20"/>
                <w:lang w:val="fr-CH"/>
              </w:rPr>
              <w:t>é</w:t>
            </w:r>
            <w:r w:rsidRPr="00D36529">
              <w:rPr>
                <w:rFonts w:hAnsi="Times New Roman Bold"/>
                <w:b w:val="0"/>
                <w:sz w:val="20"/>
                <w:lang w:val="fr-CH"/>
              </w:rPr>
              <w:t>l</w:t>
            </w:r>
            <w:r w:rsidRPr="00D36529">
              <w:rPr>
                <w:rFonts w:hAnsi="Times New Roman Bold"/>
                <w:b w:val="0"/>
                <w:sz w:val="20"/>
                <w:lang w:val="fr-CH"/>
              </w:rPr>
              <w:t>é</w:t>
            </w:r>
            <w:r w:rsidRPr="00D36529">
              <w:rPr>
                <w:rFonts w:hAnsi="Times New Roman Bold"/>
                <w:b w:val="0"/>
                <w:sz w:val="20"/>
                <w:lang w:val="fr-CH"/>
              </w:rPr>
              <w:t>vision</w:t>
            </w:r>
          </w:p>
        </w:tc>
      </w:tr>
      <w:tr w:rsidR="00A21BD7" w:rsidRPr="00D36529" w:rsidTr="00ED0CD0">
        <w:tc>
          <w:tcPr>
            <w:tcW w:w="1140" w:type="dxa"/>
            <w:tcBorders>
              <w:top w:val="nil"/>
              <w:bottom w:val="nil"/>
            </w:tcBorders>
          </w:tcPr>
          <w:p w:rsidR="00A21BD7" w:rsidRPr="00D36529" w:rsidRDefault="00A21BD7" w:rsidP="00ED0CD0">
            <w:pPr>
              <w:spacing w:before="30" w:after="30"/>
              <w:ind w:left="57"/>
              <w:rPr>
                <w:b/>
                <w:bCs/>
                <w:sz w:val="20"/>
                <w:lang w:val="fr-CH"/>
              </w:rPr>
            </w:pPr>
            <w:r w:rsidRPr="00D36529">
              <w:rPr>
                <w:b/>
                <w:bCs/>
                <w:sz w:val="20"/>
                <w:lang w:val="fr-CH"/>
              </w:rPr>
              <w:t>BS</w:t>
            </w:r>
          </w:p>
        </w:tc>
        <w:tc>
          <w:tcPr>
            <w:tcW w:w="8220" w:type="dxa"/>
            <w:tcBorders>
              <w:top w:val="nil"/>
              <w:bottom w:val="nil"/>
            </w:tcBorders>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36529">
              <w:rPr>
                <w:b w:val="0"/>
                <w:bCs/>
                <w:sz w:val="20"/>
                <w:lang w:val="fr-CH"/>
              </w:rPr>
              <w:t>Service de radiodiffusion sonore</w:t>
            </w:r>
          </w:p>
        </w:tc>
      </w:tr>
      <w:tr w:rsidR="00A21BD7" w:rsidRPr="00D36529" w:rsidTr="00ED0CD0">
        <w:tc>
          <w:tcPr>
            <w:tcW w:w="1140" w:type="dxa"/>
            <w:tcBorders>
              <w:top w:val="nil"/>
              <w:bottom w:val="nil"/>
            </w:tcBorders>
            <w:shd w:val="clear" w:color="auto" w:fill="F3F3F3"/>
          </w:tcPr>
          <w:p w:rsidR="00A21BD7" w:rsidRPr="00D36529" w:rsidRDefault="00A21BD7" w:rsidP="00ED0CD0">
            <w:pPr>
              <w:spacing w:before="30" w:after="30"/>
              <w:ind w:left="57"/>
              <w:rPr>
                <w:rFonts w:ascii="Times New Roman Bold" w:hAnsi="Times New Roman Bold" w:cs="Times New Roman Bold"/>
                <w:b/>
                <w:bCs/>
                <w:color w:val="243285"/>
                <w:sz w:val="20"/>
                <w:lang w:val="fr-CH"/>
              </w:rPr>
            </w:pPr>
            <w:r w:rsidRPr="00D36529">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D36529">
              <w:rPr>
                <w:rFonts w:ascii="Times New Roman Bold" w:hAnsi="Times New Roman Bold" w:cs="Times New Roman Bold"/>
                <w:bCs/>
                <w:color w:val="243285"/>
                <w:sz w:val="20"/>
                <w:lang w:val="fr-CH"/>
              </w:rPr>
              <w:t>Service de radiodiffusion télévisuelle</w:t>
            </w:r>
          </w:p>
        </w:tc>
      </w:tr>
      <w:tr w:rsidR="00A21BD7" w:rsidRPr="00D36529" w:rsidTr="00ED0CD0">
        <w:tc>
          <w:tcPr>
            <w:tcW w:w="1140" w:type="dxa"/>
            <w:tcBorders>
              <w:top w:val="nil"/>
              <w:bottom w:val="nil"/>
            </w:tcBorders>
            <w:shd w:val="clear" w:color="auto" w:fill="auto"/>
          </w:tcPr>
          <w:p w:rsidR="00A21BD7" w:rsidRPr="00D36529" w:rsidRDefault="00A21BD7" w:rsidP="00ED0CD0">
            <w:pPr>
              <w:spacing w:before="30" w:after="30"/>
              <w:ind w:left="57"/>
              <w:rPr>
                <w:b/>
                <w:bCs/>
                <w:sz w:val="20"/>
                <w:lang w:val="fr-CH"/>
              </w:rPr>
            </w:pPr>
            <w:r w:rsidRPr="00D36529">
              <w:rPr>
                <w:b/>
                <w:bCs/>
                <w:sz w:val="20"/>
                <w:lang w:val="fr-CH"/>
              </w:rPr>
              <w:t>F</w:t>
            </w:r>
          </w:p>
        </w:tc>
        <w:tc>
          <w:tcPr>
            <w:tcW w:w="8220" w:type="dxa"/>
            <w:tcBorders>
              <w:top w:val="nil"/>
              <w:bottom w:val="nil"/>
            </w:tcBorders>
            <w:shd w:val="clear" w:color="auto" w:fill="auto"/>
          </w:tcPr>
          <w:p w:rsidR="00A21BD7" w:rsidRPr="00D36529" w:rsidRDefault="00A21BD7" w:rsidP="00ED0C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36529">
              <w:rPr>
                <w:sz w:val="20"/>
                <w:lang w:val="fr-CH"/>
              </w:rPr>
              <w:t>Service fixe</w:t>
            </w:r>
          </w:p>
        </w:tc>
      </w:tr>
      <w:tr w:rsidR="00A21BD7" w:rsidRPr="00D36529" w:rsidTr="00ED0CD0">
        <w:tc>
          <w:tcPr>
            <w:tcW w:w="1140" w:type="dxa"/>
            <w:tcBorders>
              <w:top w:val="nil"/>
              <w:bottom w:val="nil"/>
            </w:tcBorders>
            <w:shd w:val="clear" w:color="auto" w:fill="auto"/>
          </w:tcPr>
          <w:p w:rsidR="00A21BD7" w:rsidRPr="00D36529" w:rsidRDefault="00A21BD7" w:rsidP="00ED0CD0">
            <w:pPr>
              <w:spacing w:before="30" w:after="30"/>
              <w:ind w:left="57"/>
              <w:rPr>
                <w:b/>
                <w:bCs/>
                <w:sz w:val="20"/>
                <w:lang w:val="fr-CH"/>
              </w:rPr>
            </w:pPr>
            <w:r w:rsidRPr="00D36529">
              <w:rPr>
                <w:b/>
                <w:bCs/>
                <w:sz w:val="20"/>
                <w:lang w:val="fr-CH"/>
              </w:rPr>
              <w:t>M</w:t>
            </w:r>
          </w:p>
        </w:tc>
        <w:tc>
          <w:tcPr>
            <w:tcW w:w="8220" w:type="dxa"/>
            <w:tcBorders>
              <w:top w:val="nil"/>
              <w:bottom w:val="nil"/>
            </w:tcBorders>
            <w:shd w:val="clear" w:color="auto" w:fill="auto"/>
          </w:tcPr>
          <w:p w:rsidR="00A21BD7" w:rsidRPr="00D36529" w:rsidRDefault="00A21BD7" w:rsidP="00ED0C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36529">
              <w:rPr>
                <w:b w:val="0"/>
                <w:sz w:val="20"/>
                <w:lang w:val="fr-CH"/>
              </w:rPr>
              <w:t>Services mobile, de radiorepérage et d'amateur y compris les services par satellite associés</w:t>
            </w:r>
          </w:p>
        </w:tc>
      </w:tr>
      <w:tr w:rsidR="00A21BD7" w:rsidRPr="00D36529" w:rsidTr="00ED0CD0">
        <w:tc>
          <w:tcPr>
            <w:tcW w:w="1140" w:type="dxa"/>
            <w:tcBorders>
              <w:top w:val="nil"/>
            </w:tcBorders>
          </w:tcPr>
          <w:p w:rsidR="00A21BD7" w:rsidRPr="00D36529" w:rsidRDefault="00A21BD7" w:rsidP="00ED0CD0">
            <w:pPr>
              <w:spacing w:before="30" w:after="30"/>
              <w:ind w:left="57"/>
              <w:rPr>
                <w:b/>
                <w:bCs/>
                <w:sz w:val="20"/>
                <w:lang w:val="fr-CH"/>
              </w:rPr>
            </w:pPr>
            <w:r w:rsidRPr="00D36529">
              <w:rPr>
                <w:b/>
                <w:bCs/>
                <w:sz w:val="20"/>
                <w:lang w:val="fr-CH"/>
              </w:rPr>
              <w:t>P</w:t>
            </w:r>
          </w:p>
        </w:tc>
        <w:tc>
          <w:tcPr>
            <w:tcW w:w="8220" w:type="dxa"/>
            <w:tcBorders>
              <w:top w:val="nil"/>
            </w:tcBorders>
          </w:tcPr>
          <w:p w:rsidR="00A21BD7" w:rsidRPr="00D36529" w:rsidRDefault="00A21BD7" w:rsidP="00ED0CD0">
            <w:pPr>
              <w:spacing w:before="30" w:after="30"/>
              <w:rPr>
                <w:sz w:val="20"/>
                <w:lang w:val="fr-CH"/>
              </w:rPr>
            </w:pPr>
            <w:r w:rsidRPr="00D36529">
              <w:rPr>
                <w:sz w:val="20"/>
                <w:lang w:val="fr-CH"/>
              </w:rPr>
              <w:t>Propagation des ondes radioélectriques</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RA</w:t>
            </w:r>
          </w:p>
        </w:tc>
        <w:tc>
          <w:tcPr>
            <w:tcW w:w="8220" w:type="dxa"/>
          </w:tcPr>
          <w:p w:rsidR="00A21BD7" w:rsidRPr="00D36529" w:rsidRDefault="00A21BD7" w:rsidP="00ED0C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36529">
              <w:rPr>
                <w:sz w:val="20"/>
                <w:lang w:val="fr-CH"/>
              </w:rPr>
              <w:t>Radio astronomie</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RS</w:t>
            </w:r>
          </w:p>
        </w:tc>
        <w:tc>
          <w:tcPr>
            <w:tcW w:w="8220" w:type="dxa"/>
          </w:tcPr>
          <w:p w:rsidR="00A21BD7" w:rsidRPr="00D36529" w:rsidRDefault="00A21BD7" w:rsidP="00ED0C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36529">
              <w:rPr>
                <w:sz w:val="20"/>
                <w:lang w:val="fr-CH"/>
              </w:rPr>
              <w:t>Systèmes de télédétection</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S</w:t>
            </w:r>
          </w:p>
        </w:tc>
        <w:tc>
          <w:tcPr>
            <w:tcW w:w="8220" w:type="dxa"/>
          </w:tcPr>
          <w:p w:rsidR="00A21BD7" w:rsidRPr="00D36529" w:rsidRDefault="00A21BD7" w:rsidP="00ED0CD0">
            <w:pPr>
              <w:spacing w:before="30" w:after="30"/>
              <w:rPr>
                <w:sz w:val="20"/>
                <w:lang w:val="fr-CH"/>
              </w:rPr>
            </w:pPr>
            <w:r w:rsidRPr="00D36529">
              <w:rPr>
                <w:sz w:val="20"/>
                <w:lang w:val="fr-CH"/>
              </w:rPr>
              <w:t>Service fixe par satellite</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SA</w:t>
            </w:r>
          </w:p>
        </w:tc>
        <w:tc>
          <w:tcPr>
            <w:tcW w:w="8220" w:type="dxa"/>
          </w:tcPr>
          <w:p w:rsidR="00A21BD7" w:rsidRPr="00D36529" w:rsidRDefault="00A21BD7" w:rsidP="00ED0CD0">
            <w:pPr>
              <w:spacing w:before="30" w:after="30"/>
              <w:rPr>
                <w:sz w:val="20"/>
                <w:lang w:val="fr-CH"/>
              </w:rPr>
            </w:pPr>
            <w:r w:rsidRPr="00D36529">
              <w:rPr>
                <w:sz w:val="20"/>
                <w:lang w:val="fr-CH"/>
              </w:rPr>
              <w:t>Applications spatiales et météorologie</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SF</w:t>
            </w:r>
          </w:p>
        </w:tc>
        <w:tc>
          <w:tcPr>
            <w:tcW w:w="8220" w:type="dxa"/>
          </w:tcPr>
          <w:p w:rsidR="00A21BD7" w:rsidRPr="00D36529" w:rsidRDefault="00A21BD7" w:rsidP="00ED0CD0">
            <w:pPr>
              <w:spacing w:before="30" w:after="30"/>
              <w:rPr>
                <w:sz w:val="20"/>
                <w:lang w:val="fr-CH"/>
              </w:rPr>
            </w:pPr>
            <w:r w:rsidRPr="00D36529">
              <w:rPr>
                <w:sz w:val="20"/>
                <w:lang w:val="fr-CH"/>
              </w:rPr>
              <w:t>Partage des fréquences et coordination entre les systèmes du service fixe par satellite et du service fixe</w:t>
            </w:r>
          </w:p>
        </w:tc>
      </w:tr>
      <w:tr w:rsidR="00A21BD7" w:rsidRPr="00D36529">
        <w:tc>
          <w:tcPr>
            <w:tcW w:w="1140" w:type="dxa"/>
            <w:shd w:val="clear" w:color="auto" w:fill="auto"/>
          </w:tcPr>
          <w:p w:rsidR="00A21BD7" w:rsidRPr="00D36529" w:rsidRDefault="00A21BD7" w:rsidP="00ED0CD0">
            <w:pPr>
              <w:spacing w:before="30" w:after="30"/>
              <w:ind w:left="57"/>
              <w:rPr>
                <w:b/>
                <w:bCs/>
                <w:sz w:val="20"/>
                <w:lang w:val="fr-CH"/>
              </w:rPr>
            </w:pPr>
            <w:r w:rsidRPr="00D36529">
              <w:rPr>
                <w:b/>
                <w:bCs/>
                <w:sz w:val="20"/>
                <w:lang w:val="fr-CH"/>
              </w:rPr>
              <w:t>SM</w:t>
            </w:r>
          </w:p>
        </w:tc>
        <w:tc>
          <w:tcPr>
            <w:tcW w:w="8220" w:type="dxa"/>
            <w:shd w:val="clear" w:color="auto" w:fill="auto"/>
          </w:tcPr>
          <w:p w:rsidR="00A21BD7" w:rsidRPr="00D36529" w:rsidRDefault="00A21BD7" w:rsidP="00ED0CD0">
            <w:pPr>
              <w:spacing w:before="30" w:after="30"/>
              <w:rPr>
                <w:sz w:val="20"/>
                <w:lang w:val="fr-CH"/>
              </w:rPr>
            </w:pPr>
            <w:r w:rsidRPr="00D36529">
              <w:rPr>
                <w:sz w:val="20"/>
                <w:lang w:val="fr-CH"/>
              </w:rPr>
              <w:t>Gestion du spectre</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SNG</w:t>
            </w:r>
          </w:p>
        </w:tc>
        <w:tc>
          <w:tcPr>
            <w:tcW w:w="8220" w:type="dxa"/>
          </w:tcPr>
          <w:p w:rsidR="00A21BD7" w:rsidRPr="00D36529" w:rsidRDefault="00A21BD7" w:rsidP="00ED0CD0">
            <w:pPr>
              <w:spacing w:before="30" w:after="30"/>
              <w:rPr>
                <w:sz w:val="20"/>
                <w:lang w:val="fr-CH"/>
              </w:rPr>
            </w:pPr>
            <w:r w:rsidRPr="00D36529">
              <w:rPr>
                <w:sz w:val="20"/>
                <w:lang w:val="fr-CH"/>
              </w:rPr>
              <w:t>Reportage d'actualités par satellite</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TF</w:t>
            </w:r>
          </w:p>
        </w:tc>
        <w:tc>
          <w:tcPr>
            <w:tcW w:w="8220" w:type="dxa"/>
          </w:tcPr>
          <w:p w:rsidR="00A21BD7" w:rsidRPr="00D36529" w:rsidRDefault="00A21BD7" w:rsidP="00ED0CD0">
            <w:pPr>
              <w:spacing w:before="30" w:after="30"/>
              <w:rPr>
                <w:sz w:val="20"/>
                <w:lang w:val="fr-CH"/>
              </w:rPr>
            </w:pPr>
            <w:r w:rsidRPr="00D36529">
              <w:rPr>
                <w:sz w:val="20"/>
                <w:lang w:val="fr-CH"/>
              </w:rPr>
              <w:t>Emissions de fréquences étalon et de signaux horaires</w:t>
            </w:r>
          </w:p>
        </w:tc>
      </w:tr>
      <w:tr w:rsidR="00A21BD7" w:rsidRPr="00D36529">
        <w:tc>
          <w:tcPr>
            <w:tcW w:w="1140" w:type="dxa"/>
          </w:tcPr>
          <w:p w:rsidR="00A21BD7" w:rsidRPr="00D36529" w:rsidRDefault="00A21BD7" w:rsidP="00ED0CD0">
            <w:pPr>
              <w:spacing w:before="30" w:after="30"/>
              <w:ind w:left="57"/>
              <w:rPr>
                <w:b/>
                <w:bCs/>
                <w:sz w:val="20"/>
                <w:lang w:val="fr-CH"/>
              </w:rPr>
            </w:pPr>
            <w:r w:rsidRPr="00D36529">
              <w:rPr>
                <w:b/>
                <w:bCs/>
                <w:sz w:val="20"/>
                <w:lang w:val="fr-CH"/>
              </w:rPr>
              <w:t>V</w:t>
            </w:r>
          </w:p>
        </w:tc>
        <w:tc>
          <w:tcPr>
            <w:tcW w:w="8220" w:type="dxa"/>
          </w:tcPr>
          <w:p w:rsidR="00A21BD7" w:rsidRPr="00D36529" w:rsidRDefault="00A21BD7" w:rsidP="00ED0CD0">
            <w:pPr>
              <w:spacing w:before="30" w:after="140"/>
              <w:rPr>
                <w:sz w:val="20"/>
                <w:lang w:val="fr-CH"/>
              </w:rPr>
            </w:pPr>
            <w:r w:rsidRPr="00D36529">
              <w:rPr>
                <w:sz w:val="20"/>
                <w:lang w:val="fr-CH"/>
              </w:rPr>
              <w:t>Vocabulaire et sujets associés</w:t>
            </w:r>
          </w:p>
        </w:tc>
      </w:tr>
    </w:tbl>
    <w:p w:rsidR="00A21BD7" w:rsidRPr="00D36529" w:rsidRDefault="00A21BD7" w:rsidP="00ED0CD0">
      <w:pPr>
        <w:spacing w:before="0"/>
        <w:jc w:val="center"/>
        <w:rPr>
          <w:sz w:val="20"/>
          <w:lang w:val="fr-CH"/>
        </w:rPr>
      </w:pPr>
    </w:p>
    <w:p w:rsidR="00A21BD7" w:rsidRPr="00D36529" w:rsidRDefault="00A21BD7" w:rsidP="00ED0CD0">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21BD7" w:rsidRPr="00D36529">
        <w:tc>
          <w:tcPr>
            <w:tcW w:w="9360" w:type="dxa"/>
          </w:tcPr>
          <w:p w:rsidR="00A21BD7" w:rsidRPr="00D36529" w:rsidRDefault="00A21BD7" w:rsidP="00ED0CD0">
            <w:pPr>
              <w:spacing w:before="80" w:after="80"/>
              <w:jc w:val="left"/>
              <w:rPr>
                <w:i/>
                <w:iCs/>
                <w:sz w:val="20"/>
                <w:lang w:val="fr-CH"/>
              </w:rPr>
            </w:pPr>
            <w:r w:rsidRPr="00D36529">
              <w:rPr>
                <w:b/>
                <w:bCs/>
                <w:i/>
                <w:iCs/>
                <w:sz w:val="20"/>
                <w:lang w:val="fr-CH"/>
              </w:rPr>
              <w:t xml:space="preserve">    Note</w:t>
            </w:r>
            <w:r w:rsidRPr="00D36529">
              <w:rPr>
                <w:i/>
                <w:iCs/>
                <w:sz w:val="20"/>
                <w:lang w:val="fr-CH"/>
              </w:rPr>
              <w:t>: Cette Recommandation UIT-R a été approuvée en anglais aux termes de la procédure détaillée dans la</w:t>
            </w:r>
            <w:r w:rsidRPr="00D36529">
              <w:rPr>
                <w:i/>
                <w:iCs/>
                <w:sz w:val="20"/>
                <w:lang w:val="fr-CH"/>
              </w:rPr>
              <w:br/>
              <w:t xml:space="preserve">   Résolution UIT-R 1. </w:t>
            </w:r>
          </w:p>
        </w:tc>
      </w:tr>
    </w:tbl>
    <w:p w:rsidR="00A21BD7" w:rsidRPr="00D36529" w:rsidRDefault="00A21BD7" w:rsidP="00ED0CD0">
      <w:pPr>
        <w:spacing w:before="0"/>
        <w:jc w:val="center"/>
        <w:rPr>
          <w:sz w:val="22"/>
          <w:lang w:val="fr-CH"/>
        </w:rPr>
      </w:pPr>
    </w:p>
    <w:p w:rsidR="00A21BD7" w:rsidRPr="00D36529" w:rsidRDefault="00A21BD7" w:rsidP="00ED0CD0">
      <w:pPr>
        <w:spacing w:before="100"/>
        <w:jc w:val="right"/>
        <w:rPr>
          <w:i/>
          <w:iCs/>
          <w:sz w:val="20"/>
          <w:lang w:val="fr-CH"/>
        </w:rPr>
      </w:pPr>
      <w:r w:rsidRPr="00D36529">
        <w:rPr>
          <w:i/>
          <w:iCs/>
          <w:sz w:val="20"/>
          <w:lang w:val="fr-CH"/>
        </w:rPr>
        <w:t>Publication électronique</w:t>
      </w:r>
    </w:p>
    <w:p w:rsidR="00A21BD7" w:rsidRPr="00D36529" w:rsidRDefault="00A21BD7" w:rsidP="007F6DA5">
      <w:pPr>
        <w:spacing w:before="0"/>
        <w:jc w:val="right"/>
        <w:rPr>
          <w:sz w:val="20"/>
          <w:lang w:val="fr-CH"/>
        </w:rPr>
      </w:pPr>
      <w:r w:rsidRPr="00D36529">
        <w:rPr>
          <w:sz w:val="20"/>
          <w:lang w:val="fr-CH"/>
        </w:rPr>
        <w:t>Genève, 201</w:t>
      </w:r>
      <w:r w:rsidR="007F6DA5" w:rsidRPr="00D36529">
        <w:rPr>
          <w:sz w:val="20"/>
          <w:lang w:val="fr-CH"/>
        </w:rPr>
        <w:t>1</w:t>
      </w:r>
    </w:p>
    <w:p w:rsidR="00A21BD7" w:rsidRPr="00D36529" w:rsidRDefault="00A21BD7" w:rsidP="00ED0CD0">
      <w:pPr>
        <w:spacing w:before="200"/>
        <w:jc w:val="center"/>
        <w:rPr>
          <w:sz w:val="20"/>
          <w:lang w:val="fr-CH"/>
        </w:rPr>
      </w:pPr>
      <w:r w:rsidRPr="00D36529">
        <w:rPr>
          <w:sz w:val="20"/>
          <w:lang w:val="fr-CH"/>
        </w:rPr>
        <w:sym w:font="Symbol" w:char="F0E3"/>
      </w:r>
      <w:r w:rsidRPr="00D36529">
        <w:rPr>
          <w:sz w:val="20"/>
          <w:lang w:val="fr-CH"/>
        </w:rPr>
        <w:t xml:space="preserve"> UIT </w:t>
      </w:r>
      <w:bookmarkStart w:id="2" w:name="iiannee"/>
      <w:bookmarkEnd w:id="2"/>
      <w:r w:rsidRPr="00D36529">
        <w:rPr>
          <w:sz w:val="20"/>
          <w:lang w:val="fr-CH"/>
        </w:rPr>
        <w:t>20</w:t>
      </w:r>
      <w:r w:rsidR="007F6DA5" w:rsidRPr="00D36529">
        <w:rPr>
          <w:sz w:val="20"/>
          <w:lang w:val="fr-CH"/>
        </w:rPr>
        <w:t>11</w:t>
      </w:r>
    </w:p>
    <w:p w:rsidR="00A21BD7" w:rsidRPr="00D36529" w:rsidRDefault="00A21BD7" w:rsidP="00ED0CD0">
      <w:pPr>
        <w:rPr>
          <w:sz w:val="18"/>
          <w:szCs w:val="18"/>
          <w:lang w:val="fr-CH"/>
        </w:rPr>
      </w:pPr>
      <w:r w:rsidRPr="00D36529">
        <w:rPr>
          <w:sz w:val="18"/>
          <w:szCs w:val="18"/>
          <w:lang w:val="fr-CH"/>
        </w:rPr>
        <w:t>Tous droits réservés. Aucune partie de cette publication ne peut être reproduite, par quelque procédé que ce soit, sans l’accord écrit préalable de l’UIT.</w:t>
      </w:r>
    </w:p>
    <w:p w:rsidR="00A21BD7" w:rsidRPr="00D36529" w:rsidRDefault="00A21BD7" w:rsidP="00ED0CD0">
      <w:pPr>
        <w:spacing w:before="160"/>
        <w:rPr>
          <w:i/>
          <w:sz w:val="20"/>
          <w:highlight w:val="yellow"/>
          <w:lang w:val="fr-CH"/>
        </w:rPr>
        <w:sectPr w:rsidR="00A21BD7" w:rsidRPr="00D36529" w:rsidSect="00ED0CD0">
          <w:headerReference w:type="even" r:id="rId12"/>
          <w:headerReference w:type="default" r:id="rId13"/>
          <w:pgSz w:w="11907" w:h="16834" w:code="9"/>
          <w:pgMar w:top="1418" w:right="1134" w:bottom="1134" w:left="1134" w:header="720" w:footer="482" w:gutter="0"/>
          <w:pgNumType w:fmt="lowerRoman" w:start="2"/>
          <w:cols w:space="720"/>
        </w:sectPr>
      </w:pPr>
    </w:p>
    <w:p w:rsidR="00A21BD7" w:rsidRPr="00D36529" w:rsidRDefault="00A21BD7" w:rsidP="00A21BD7">
      <w:pPr>
        <w:pStyle w:val="RecNo"/>
        <w:spacing w:before="0"/>
        <w:rPr>
          <w:lang w:val="fr-CH"/>
        </w:rPr>
      </w:pPr>
      <w:bookmarkStart w:id="3" w:name="irecnoe"/>
      <w:bookmarkEnd w:id="3"/>
      <w:r w:rsidRPr="00D36529">
        <w:rPr>
          <w:lang w:val="fr-CH"/>
        </w:rPr>
        <w:lastRenderedPageBreak/>
        <w:t xml:space="preserve">RECOMMANDATION  </w:t>
      </w:r>
      <w:r w:rsidRPr="00D36529">
        <w:rPr>
          <w:rStyle w:val="href"/>
          <w:lang w:val="fr-CH"/>
        </w:rPr>
        <w:t>UIT-R  BT</w:t>
      </w:r>
      <w:bookmarkEnd w:id="0"/>
      <w:r w:rsidRPr="00D36529">
        <w:rPr>
          <w:rStyle w:val="href"/>
          <w:lang w:val="fr-CH"/>
        </w:rPr>
        <w:t>.1122-2</w:t>
      </w:r>
      <w:r w:rsidRPr="00D36529">
        <w:rPr>
          <w:rStyle w:val="FootnoteReference"/>
          <w:lang w:val="fr-CH"/>
        </w:rPr>
        <w:footnoteReference w:customMarkFollows="1" w:id="1"/>
        <w:t>*</w:t>
      </w:r>
    </w:p>
    <w:p w:rsidR="00A21BD7" w:rsidRPr="00D36529" w:rsidRDefault="00A21BD7" w:rsidP="007F6DA5">
      <w:pPr>
        <w:pStyle w:val="Rectitle"/>
        <w:rPr>
          <w:lang w:val="fr-CH"/>
        </w:rPr>
      </w:pPr>
      <w:r w:rsidRPr="00D36529">
        <w:rPr>
          <w:lang w:val="fr-CH"/>
        </w:rPr>
        <w:t>Besoins des usagers en matière de codecs pour les systèmes d'émission et</w:t>
      </w:r>
      <w:r w:rsidRPr="00D36529">
        <w:rPr>
          <w:lang w:val="fr-CH"/>
        </w:rPr>
        <w:br/>
        <w:t>de distribution secondaire de TVDN et de TVHD</w:t>
      </w:r>
    </w:p>
    <w:p w:rsidR="00A21BD7" w:rsidRPr="00D36529" w:rsidRDefault="00A21BD7" w:rsidP="00A21BD7">
      <w:pPr>
        <w:pStyle w:val="Recdate"/>
        <w:rPr>
          <w:lang w:val="fr-CH"/>
        </w:rPr>
      </w:pPr>
      <w:r w:rsidRPr="00D36529">
        <w:rPr>
          <w:lang w:val="fr-CH"/>
        </w:rPr>
        <w:t>(1994-1995-2011)</w:t>
      </w:r>
    </w:p>
    <w:p w:rsidR="00A21BD7" w:rsidRPr="00F31CF5" w:rsidRDefault="00A21BD7" w:rsidP="00B93B71">
      <w:pPr>
        <w:pStyle w:val="HeadingSum"/>
        <w:rPr>
          <w:lang w:val="fr-CH"/>
        </w:rPr>
      </w:pPr>
      <w:r w:rsidRPr="00F31CF5">
        <w:rPr>
          <w:lang w:val="fr-CH"/>
        </w:rPr>
        <w:t>Domaine d'application</w:t>
      </w:r>
    </w:p>
    <w:p w:rsidR="00A21BD7" w:rsidRPr="00F31CF5" w:rsidRDefault="00A21BD7" w:rsidP="00B93B71">
      <w:pPr>
        <w:pStyle w:val="Summary"/>
        <w:rPr>
          <w:lang w:val="fr-CH"/>
        </w:rPr>
      </w:pPr>
      <w:r w:rsidRPr="00F31CF5">
        <w:rPr>
          <w:lang w:val="fr-CH"/>
        </w:rPr>
        <w:t>La présente Recommandation définit les besoins des usagers qui devraient être pris en considération pour la définition des spécifications, la conception et les essais des systèmes de distribution secondaire de TVDN et de TVHD.</w:t>
      </w:r>
    </w:p>
    <w:p w:rsidR="00A21BD7" w:rsidRPr="00D36529" w:rsidRDefault="00A21BD7" w:rsidP="00A21BD7">
      <w:pPr>
        <w:pStyle w:val="Normalaftertitle"/>
        <w:rPr>
          <w:lang w:val="fr-CH"/>
        </w:rPr>
      </w:pPr>
      <w:r w:rsidRPr="00D36529">
        <w:rPr>
          <w:lang w:val="fr-CH"/>
        </w:rPr>
        <w:t>L'Assemblée des radiocommunications de l'UIT,</w:t>
      </w:r>
    </w:p>
    <w:p w:rsidR="00A21BD7" w:rsidRPr="00D36529" w:rsidRDefault="00A21BD7" w:rsidP="00A21BD7">
      <w:pPr>
        <w:pStyle w:val="Call"/>
        <w:rPr>
          <w:lang w:val="fr-CH"/>
        </w:rPr>
      </w:pPr>
      <w:r w:rsidRPr="00D36529">
        <w:rPr>
          <w:lang w:val="fr-CH"/>
        </w:rPr>
        <w:t>considérant</w:t>
      </w:r>
    </w:p>
    <w:p w:rsidR="00A21BD7" w:rsidRPr="00D36529" w:rsidRDefault="00A21BD7" w:rsidP="00A21BD7">
      <w:pPr>
        <w:rPr>
          <w:lang w:val="fr-CH"/>
        </w:rPr>
      </w:pPr>
      <w:r w:rsidRPr="00D36529">
        <w:rPr>
          <w:lang w:val="fr-CH"/>
        </w:rPr>
        <w:t>a)</w:t>
      </w:r>
      <w:r w:rsidRPr="00D36529">
        <w:rPr>
          <w:lang w:val="fr-CH"/>
        </w:rPr>
        <w:tab/>
        <w:t xml:space="preserve">que les Recommandations UIT-R BT.601 et UIT-R BT.709 définissent les paramètres des signaux numériques de luminance et de différence de couleur fondés sur </w:t>
      </w:r>
      <w:r w:rsidRPr="00D36529">
        <w:rPr>
          <w:i/>
          <w:lang w:val="fr-CH"/>
        </w:rPr>
        <w:t>Y</w:t>
      </w:r>
      <w:r w:rsidRPr="00D36529">
        <w:rPr>
          <w:lang w:val="fr-CH"/>
        </w:rPr>
        <w:t xml:space="preserve">, </w:t>
      </w:r>
      <w:r w:rsidRPr="00D36529">
        <w:rPr>
          <w:i/>
          <w:lang w:val="fr-CH"/>
        </w:rPr>
        <w:t>C</w:t>
      </w:r>
      <w:r w:rsidRPr="00D36529">
        <w:rPr>
          <w:i/>
          <w:iCs/>
          <w:vertAlign w:val="subscript"/>
          <w:lang w:val="fr-CH"/>
        </w:rPr>
        <w:t>B</w:t>
      </w:r>
      <w:r w:rsidRPr="00D36529">
        <w:rPr>
          <w:lang w:val="fr-CH"/>
        </w:rPr>
        <w:t xml:space="preserve"> et </w:t>
      </w:r>
      <w:r w:rsidRPr="00D36529">
        <w:rPr>
          <w:i/>
          <w:lang w:val="fr-CH"/>
        </w:rPr>
        <w:t>C</w:t>
      </w:r>
      <w:r w:rsidRPr="00D36529">
        <w:rPr>
          <w:i/>
          <w:iCs/>
          <w:vertAlign w:val="subscript"/>
          <w:lang w:val="fr-CH"/>
        </w:rPr>
        <w:t>R</w:t>
      </w:r>
      <w:r w:rsidRPr="00D36529">
        <w:rPr>
          <w:lang w:val="fr-CH"/>
        </w:rPr>
        <w:t>;</w:t>
      </w:r>
    </w:p>
    <w:p w:rsidR="00A21BD7" w:rsidRPr="00D36529" w:rsidRDefault="00A21BD7" w:rsidP="00A21BD7">
      <w:pPr>
        <w:rPr>
          <w:lang w:val="fr-CH"/>
        </w:rPr>
      </w:pPr>
      <w:r w:rsidRPr="00D36529">
        <w:rPr>
          <w:lang w:val="fr-CH"/>
        </w:rPr>
        <w:t>b)</w:t>
      </w:r>
      <w:r w:rsidRPr="00D36529">
        <w:rPr>
          <w:lang w:val="fr-CH"/>
        </w:rPr>
        <w:tab/>
        <w:t>que des signaux conformes à cette norme devront être transmis sur des réseaux numériques de distribution secondaire ou sur des systèmes d'émission (de Terre, par satellite, sur câble, etc.);</w:t>
      </w:r>
    </w:p>
    <w:p w:rsidR="00A21BD7" w:rsidRPr="00D36529" w:rsidRDefault="00A21BD7" w:rsidP="00A21BD7">
      <w:pPr>
        <w:rPr>
          <w:lang w:val="fr-CH"/>
        </w:rPr>
      </w:pPr>
      <w:r w:rsidRPr="00D36529">
        <w:rPr>
          <w:lang w:val="fr-CH"/>
        </w:rPr>
        <w:t>c)</w:t>
      </w:r>
      <w:r w:rsidRPr="00D36529">
        <w:rPr>
          <w:lang w:val="fr-CH"/>
        </w:rPr>
        <w:tab/>
        <w:t>que l'on a mis au point des algorithmes de codage et établi ou proposé des normes pour que cette transmission utilise des techniques de réduction du débit binaire;</w:t>
      </w:r>
    </w:p>
    <w:p w:rsidR="00A21BD7" w:rsidRPr="00D36529" w:rsidRDefault="00A21BD7" w:rsidP="00A21BD7">
      <w:pPr>
        <w:rPr>
          <w:lang w:val="fr-CH"/>
        </w:rPr>
      </w:pPr>
      <w:r w:rsidRPr="00D36529">
        <w:rPr>
          <w:lang w:val="fr-CH"/>
        </w:rPr>
        <w:t>d)</w:t>
      </w:r>
      <w:r w:rsidRPr="00D36529">
        <w:rPr>
          <w:lang w:val="fr-CH"/>
        </w:rPr>
        <w:tab/>
        <w:t>que l'on trouve des directives générales sur les méthodes d'évaluation dans des textes de l'UIT</w:t>
      </w:r>
      <w:r w:rsidRPr="00D36529">
        <w:rPr>
          <w:lang w:val="fr-CH"/>
        </w:rPr>
        <w:noBreakHyphen/>
        <w:t>R, notamment des méthodes subjectives d'évaluation que définissent les Recommandations UIT</w:t>
      </w:r>
      <w:r w:rsidRPr="00D36529">
        <w:rPr>
          <w:lang w:val="fr-CH"/>
        </w:rPr>
        <w:noBreakHyphen/>
        <w:t>R BT.500, UIT</w:t>
      </w:r>
      <w:r w:rsidRPr="00D36529">
        <w:rPr>
          <w:lang w:val="fr-CH"/>
        </w:rPr>
        <w:noBreakHyphen/>
        <w:t>R BT.710 et UIT-R BT.1129;</w:t>
      </w:r>
    </w:p>
    <w:p w:rsidR="00A21BD7" w:rsidRPr="00D36529" w:rsidRDefault="00A21BD7" w:rsidP="00A21BD7">
      <w:pPr>
        <w:rPr>
          <w:lang w:val="fr-CH"/>
        </w:rPr>
      </w:pPr>
      <w:r w:rsidRPr="00D36529">
        <w:rPr>
          <w:lang w:val="fr-CH"/>
        </w:rPr>
        <w:t>e)</w:t>
      </w:r>
      <w:r w:rsidRPr="00D36529">
        <w:rPr>
          <w:lang w:val="fr-CH"/>
        </w:rPr>
        <w:tab/>
        <w:t>que cette évaluation doit tenir compte de la qualité de base de l'image et des conséquences des défauts que provoquent des erreurs sur la liaison de transmission;</w:t>
      </w:r>
    </w:p>
    <w:p w:rsidR="00A21BD7" w:rsidRPr="00D36529" w:rsidRDefault="00A21BD7" w:rsidP="00A21BD7">
      <w:pPr>
        <w:rPr>
          <w:lang w:val="fr-CH"/>
        </w:rPr>
      </w:pPr>
      <w:r w:rsidRPr="00D36529">
        <w:rPr>
          <w:lang w:val="fr-CH"/>
        </w:rPr>
        <w:t>f)</w:t>
      </w:r>
      <w:r w:rsidRPr="00D36529">
        <w:rPr>
          <w:lang w:val="fr-CH"/>
        </w:rPr>
        <w:tab/>
        <w:t>que tant la conception des codecs que leur évaluation doivent tenir compte des besoins des usagers;</w:t>
      </w:r>
    </w:p>
    <w:p w:rsidR="00A21BD7" w:rsidRPr="00D36529" w:rsidRDefault="00A21BD7" w:rsidP="00A21BD7">
      <w:pPr>
        <w:rPr>
          <w:lang w:val="fr-CH"/>
        </w:rPr>
      </w:pPr>
      <w:r w:rsidRPr="00D36529">
        <w:rPr>
          <w:lang w:val="fr-CH"/>
        </w:rPr>
        <w:t>g)</w:t>
      </w:r>
      <w:r w:rsidRPr="00D36529">
        <w:rPr>
          <w:lang w:val="fr-CH"/>
        </w:rPr>
        <w:tab/>
        <w:t>que, pour être exhaustifs, les besoins des usagers doivent préciser les procédures et les matériaux d'essai au moyen desquelles on examine si ces besoins sont satisfaits,</w:t>
      </w:r>
    </w:p>
    <w:p w:rsidR="00A21BD7" w:rsidRPr="00D36529" w:rsidRDefault="00A21BD7" w:rsidP="00A21BD7">
      <w:pPr>
        <w:pStyle w:val="Call"/>
        <w:rPr>
          <w:lang w:val="fr-CH"/>
        </w:rPr>
      </w:pPr>
      <w:r w:rsidRPr="00D36529">
        <w:rPr>
          <w:lang w:val="fr-CH"/>
        </w:rPr>
        <w:t>notant</w:t>
      </w:r>
    </w:p>
    <w:p w:rsidR="00A21BD7" w:rsidRPr="00D36529" w:rsidRDefault="00A21BD7" w:rsidP="00A21BD7">
      <w:pPr>
        <w:rPr>
          <w:lang w:val="fr-CH"/>
        </w:rPr>
      </w:pPr>
      <w:r w:rsidRPr="00D36529">
        <w:rPr>
          <w:lang w:val="fr-CH"/>
        </w:rPr>
        <w:t>a)</w:t>
      </w:r>
      <w:r w:rsidRPr="00D36529">
        <w:rPr>
          <w:lang w:val="fr-CH"/>
        </w:rPr>
        <w:tab/>
        <w:t>que la Recommandation UIT-R BS.1548 définit les spécifications en matière de systèmes de codage audio à la source utilisés en radiodiffusion sonore et télévisuelle;</w:t>
      </w:r>
    </w:p>
    <w:p w:rsidR="00A21BD7" w:rsidRPr="00D36529" w:rsidRDefault="00A21BD7" w:rsidP="00A21BD7">
      <w:pPr>
        <w:rPr>
          <w:lang w:val="fr-CH"/>
        </w:rPr>
      </w:pPr>
      <w:r w:rsidRPr="00D36529">
        <w:rPr>
          <w:lang w:val="fr-CH"/>
        </w:rPr>
        <w:t>b)</w:t>
      </w:r>
      <w:r w:rsidRPr="00D36529">
        <w:rPr>
          <w:lang w:val="fr-CH"/>
        </w:rPr>
        <w:tab/>
        <w:t>que la Recommandation UIT-R BT.1203 présente les besoins des usagers en matière de codage vidéo à réduction de débit binaire des signaux de télévision numérique pour un système de télévision de bout en bout;</w:t>
      </w:r>
    </w:p>
    <w:p w:rsidR="00A21BD7" w:rsidRPr="00D36529" w:rsidRDefault="00A21BD7" w:rsidP="00B93B71">
      <w:pPr>
        <w:rPr>
          <w:lang w:val="fr-CH"/>
        </w:rPr>
      </w:pPr>
      <w:r w:rsidRPr="00D36529">
        <w:rPr>
          <w:lang w:val="fr-CH"/>
        </w:rPr>
        <w:t>c)</w:t>
      </w:r>
      <w:r w:rsidRPr="00D36529">
        <w:rPr>
          <w:lang w:val="fr-CH"/>
        </w:rPr>
        <w:tab/>
        <w:t>que la Recommandation UIT-R BT.1868 décrit les besoins des utilisateurs concernant les codecs pour les réseaux de contribution, de distribution primaire et de reportages d'actualité par satellite,</w:t>
      </w:r>
    </w:p>
    <w:p w:rsidR="00A21BD7" w:rsidRPr="00D36529" w:rsidRDefault="00A21BD7" w:rsidP="00A21BD7">
      <w:pPr>
        <w:pStyle w:val="Call"/>
        <w:rPr>
          <w:lang w:val="fr-CH"/>
        </w:rPr>
      </w:pPr>
      <w:r w:rsidRPr="00D36529">
        <w:rPr>
          <w:lang w:val="fr-CH"/>
        </w:rPr>
        <w:lastRenderedPageBreak/>
        <w:t>recommande</w:t>
      </w:r>
    </w:p>
    <w:p w:rsidR="00A21BD7" w:rsidRPr="00D36529" w:rsidRDefault="00A21BD7" w:rsidP="00B93B71">
      <w:pPr>
        <w:rPr>
          <w:lang w:val="fr-CH"/>
        </w:rPr>
      </w:pPr>
      <w:r w:rsidRPr="00D36529">
        <w:rPr>
          <w:b/>
          <w:lang w:val="fr-CH"/>
        </w:rPr>
        <w:t>1</w:t>
      </w:r>
      <w:r w:rsidRPr="00D36529">
        <w:rPr>
          <w:lang w:val="fr-CH"/>
        </w:rPr>
        <w:tab/>
        <w:t>que les besoins des usagers indiqués ci-après soient utilisés pour l'élaboration des spécifications, la conception et les essais de systèmes destinés à la distribution secondaire et à l'émission de signaux de TVDN et de TVHD.</w:t>
      </w:r>
    </w:p>
    <w:p w:rsidR="00A21BD7" w:rsidRPr="00D36529" w:rsidRDefault="00A21BD7" w:rsidP="00A21BD7">
      <w:pPr>
        <w:pStyle w:val="TableNo"/>
        <w:rPr>
          <w:lang w:val="fr-CH"/>
        </w:rPr>
      </w:pPr>
      <w:r w:rsidRPr="00D36529">
        <w:rPr>
          <w:lang w:val="fr-CH"/>
        </w:rPr>
        <w:t>TABLEAU  1</w:t>
      </w:r>
    </w:p>
    <w:p w:rsidR="00A21BD7" w:rsidRPr="00D36529" w:rsidRDefault="00A21BD7" w:rsidP="00A21BD7">
      <w:pPr>
        <w:pStyle w:val="Tabletitle"/>
        <w:rPr>
          <w:lang w:val="fr-CH"/>
        </w:rPr>
      </w:pPr>
      <w:r w:rsidRPr="00D36529">
        <w:rPr>
          <w:lang w:val="fr-CH"/>
        </w:rPr>
        <w:t>Besoins des usagers en matière de codecs pour la distribution secondaire et l'émission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7"/>
        <w:gridCol w:w="1967"/>
        <w:gridCol w:w="5705"/>
      </w:tblGrid>
      <w:tr w:rsidR="00A21BD7" w:rsidRPr="00D36529" w:rsidTr="00B93B71">
        <w:trPr>
          <w:cantSplit/>
          <w:jc w:val="center"/>
        </w:trPr>
        <w:tc>
          <w:tcPr>
            <w:tcW w:w="3934" w:type="dxa"/>
            <w:gridSpan w:val="2"/>
            <w:shd w:val="clear" w:color="auto" w:fill="auto"/>
            <w:tcMar>
              <w:left w:w="108" w:type="dxa"/>
              <w:right w:w="108" w:type="dxa"/>
            </w:tcMar>
          </w:tcPr>
          <w:p w:rsidR="00A21BD7" w:rsidRPr="00D36529" w:rsidRDefault="00A21BD7" w:rsidP="00ED0CD0">
            <w:pPr>
              <w:pStyle w:val="Tablehead"/>
              <w:rPr>
                <w:rFonts w:asciiTheme="majorBidi" w:hAnsiTheme="majorBidi" w:cstheme="majorBidi"/>
                <w:szCs w:val="22"/>
                <w:lang w:val="fr-CH"/>
              </w:rPr>
            </w:pPr>
            <w:r w:rsidRPr="00D36529">
              <w:rPr>
                <w:rFonts w:asciiTheme="majorBidi" w:hAnsiTheme="majorBidi" w:cstheme="majorBidi"/>
                <w:szCs w:val="22"/>
                <w:lang w:val="fr-CH"/>
              </w:rPr>
              <w:t>Elément</w:t>
            </w:r>
          </w:p>
        </w:tc>
        <w:tc>
          <w:tcPr>
            <w:tcW w:w="5705" w:type="dxa"/>
            <w:shd w:val="clear" w:color="auto" w:fill="auto"/>
            <w:tcMar>
              <w:left w:w="108" w:type="dxa"/>
              <w:right w:w="108" w:type="dxa"/>
            </w:tcMar>
          </w:tcPr>
          <w:p w:rsidR="00A21BD7" w:rsidRPr="00D36529" w:rsidRDefault="00A21BD7" w:rsidP="00ED0CD0">
            <w:pPr>
              <w:pStyle w:val="Tablehead"/>
              <w:rPr>
                <w:rFonts w:asciiTheme="majorBidi" w:hAnsiTheme="majorBidi" w:cstheme="majorBidi"/>
                <w:szCs w:val="22"/>
                <w:lang w:val="fr-CH"/>
              </w:rPr>
            </w:pPr>
            <w:r w:rsidRPr="00D36529">
              <w:rPr>
                <w:rFonts w:asciiTheme="majorBidi" w:hAnsiTheme="majorBidi" w:cstheme="majorBidi"/>
                <w:szCs w:val="22"/>
                <w:lang w:val="fr-CH"/>
              </w:rPr>
              <w:t>Spécification</w:t>
            </w:r>
          </w:p>
        </w:tc>
      </w:tr>
      <w:tr w:rsidR="00A21BD7" w:rsidRPr="00D36529" w:rsidTr="00B93B71">
        <w:trPr>
          <w:cantSplit/>
          <w:jc w:val="center"/>
        </w:trPr>
        <w:tc>
          <w:tcPr>
            <w:tcW w:w="3934" w:type="dxa"/>
            <w:gridSpan w:val="2"/>
            <w:shd w:val="clear" w:color="auto" w:fill="auto"/>
            <w:tcMar>
              <w:left w:w="108" w:type="dxa"/>
              <w:right w:w="108" w:type="dxa"/>
            </w:tcMar>
            <w:vAlign w:val="center"/>
          </w:tcPr>
          <w:p w:rsidR="00A21BD7" w:rsidRPr="00ED0CD0" w:rsidRDefault="00A21BD7" w:rsidP="00ED0CD0">
            <w:pPr>
              <w:pStyle w:val="Tabletext"/>
              <w:jc w:val="left"/>
            </w:pPr>
            <w:r w:rsidRPr="00ED0CD0">
              <w:t>Format du signal vidéo d'entrée</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Echantillonnage: 4:2:2 (Y, CB, CR)</w:t>
            </w:r>
          </w:p>
          <w:p w:rsidR="00A21BD7" w:rsidRPr="00ED0CD0" w:rsidRDefault="00A21BD7" w:rsidP="00ED0CD0">
            <w:pPr>
              <w:pStyle w:val="Tabletext"/>
              <w:jc w:val="left"/>
            </w:pPr>
            <w:r w:rsidRPr="00ED0CD0">
              <w:t>8 ou 10 bits par échantillon pour chaque composante</w:t>
            </w:r>
          </w:p>
        </w:tc>
      </w:tr>
      <w:tr w:rsidR="00A21BD7" w:rsidRPr="00D36529" w:rsidTr="00B93B71">
        <w:trPr>
          <w:cantSplit/>
          <w:jc w:val="center"/>
        </w:trPr>
        <w:tc>
          <w:tcPr>
            <w:tcW w:w="3934" w:type="dxa"/>
            <w:gridSpan w:val="2"/>
            <w:shd w:val="clear" w:color="auto" w:fill="auto"/>
            <w:tcMar>
              <w:left w:w="108" w:type="dxa"/>
              <w:right w:w="108" w:type="dxa"/>
            </w:tcMar>
            <w:vAlign w:val="center"/>
          </w:tcPr>
          <w:p w:rsidR="00A21BD7" w:rsidRPr="00ED0CD0" w:rsidRDefault="00A21BD7" w:rsidP="00ED0CD0">
            <w:pPr>
              <w:pStyle w:val="Tabletext"/>
              <w:jc w:val="left"/>
            </w:pPr>
            <w:r w:rsidRPr="00ED0CD0">
              <w:t>Format du signal audio d'entrée</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Echantillonnage: 48 kHz</w:t>
            </w:r>
          </w:p>
          <w:p w:rsidR="00A21BD7" w:rsidRPr="00ED0CD0" w:rsidRDefault="00A21BD7" w:rsidP="00ED0CD0">
            <w:pPr>
              <w:pStyle w:val="Tabletext"/>
              <w:jc w:val="left"/>
            </w:pPr>
            <w:r w:rsidRPr="00ED0CD0">
              <w:t>16 bits ou plus</w:t>
            </w:r>
          </w:p>
        </w:tc>
      </w:tr>
      <w:tr w:rsidR="00A21BD7" w:rsidRPr="00D36529" w:rsidTr="00B93B71">
        <w:trPr>
          <w:cantSplit/>
          <w:jc w:val="center"/>
        </w:trPr>
        <w:tc>
          <w:tcPr>
            <w:tcW w:w="3934" w:type="dxa"/>
            <w:gridSpan w:val="2"/>
            <w:shd w:val="clear" w:color="auto" w:fill="auto"/>
            <w:tcMar>
              <w:left w:w="108" w:type="dxa"/>
              <w:right w:w="108" w:type="dxa"/>
            </w:tcMar>
          </w:tcPr>
          <w:p w:rsidR="00A21BD7" w:rsidRPr="00ED0CD0" w:rsidRDefault="00A21BD7" w:rsidP="00ED0CD0">
            <w:pPr>
              <w:pStyle w:val="Tabletext"/>
              <w:jc w:val="left"/>
            </w:pPr>
            <w:r w:rsidRPr="00ED0CD0">
              <w:t>Nombre de canaux son</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Six canaux pour le service audio principal (type, caisson de basses compris). D'autres canaux peuvent être fournis pour assurer un service multilingue ou des services audio pour les malentendants ou les personnes atteintes d'un handicap visuel.</w:t>
            </w:r>
          </w:p>
        </w:tc>
      </w:tr>
      <w:tr w:rsidR="00A21BD7" w:rsidRPr="00D36529" w:rsidTr="00B93B71">
        <w:trPr>
          <w:cantSplit/>
          <w:jc w:val="center"/>
        </w:trPr>
        <w:tc>
          <w:tcPr>
            <w:tcW w:w="3934" w:type="dxa"/>
            <w:gridSpan w:val="2"/>
            <w:shd w:val="clear" w:color="auto" w:fill="auto"/>
            <w:tcMar>
              <w:left w:w="108" w:type="dxa"/>
              <w:right w:w="108" w:type="dxa"/>
            </w:tcMar>
          </w:tcPr>
          <w:p w:rsidR="00A21BD7" w:rsidRPr="00ED0CD0" w:rsidRDefault="00A21BD7" w:rsidP="00ED0CD0">
            <w:pPr>
              <w:pStyle w:val="Tabletext"/>
              <w:jc w:val="left"/>
            </w:pPr>
            <w:r w:rsidRPr="00ED0CD0">
              <w:t>Retard maximal relatif entre son et image</w:t>
            </w:r>
          </w:p>
        </w:tc>
        <w:tc>
          <w:tcPr>
            <w:tcW w:w="5705" w:type="dxa"/>
            <w:shd w:val="clear" w:color="auto" w:fill="auto"/>
            <w:tcMar>
              <w:left w:w="108" w:type="dxa"/>
              <w:right w:w="108" w:type="dxa"/>
            </w:tcMar>
          </w:tcPr>
          <w:p w:rsidR="00A21BD7" w:rsidRPr="00ED0CD0" w:rsidRDefault="00B93B71" w:rsidP="00ED0CD0">
            <w:pPr>
              <w:pStyle w:val="Tabletext"/>
              <w:jc w:val="left"/>
            </w:pPr>
            <w:r w:rsidRPr="00ED0CD0">
              <w:sym w:font="Symbol" w:char="F0B1"/>
            </w:r>
            <w:r w:rsidR="00A21BD7" w:rsidRPr="00ED0CD0">
              <w:t xml:space="preserve"> 2 ms par codec</w:t>
            </w:r>
          </w:p>
        </w:tc>
      </w:tr>
      <w:tr w:rsidR="00A21BD7" w:rsidRPr="00D36529" w:rsidTr="00B93B71">
        <w:trPr>
          <w:cantSplit/>
          <w:jc w:val="center"/>
        </w:trPr>
        <w:tc>
          <w:tcPr>
            <w:tcW w:w="1967" w:type="dxa"/>
            <w:vMerge w:val="restart"/>
            <w:shd w:val="clear" w:color="auto" w:fill="auto"/>
            <w:tcMar>
              <w:left w:w="108" w:type="dxa"/>
              <w:right w:w="108" w:type="dxa"/>
            </w:tcMar>
          </w:tcPr>
          <w:p w:rsidR="00A21BD7" w:rsidRPr="00ED0CD0" w:rsidRDefault="00A21BD7" w:rsidP="00ED0CD0">
            <w:pPr>
              <w:pStyle w:val="Tabletext"/>
              <w:jc w:val="left"/>
            </w:pPr>
            <w:r w:rsidRPr="00ED0CD0">
              <w:t>Qualité de base de l'image(1) (en l'absence d'erreurs)</w:t>
            </w:r>
          </w:p>
        </w:tc>
        <w:tc>
          <w:tcPr>
            <w:tcW w:w="1967" w:type="dxa"/>
            <w:tcBorders>
              <w:bottom w:val="single" w:sz="4" w:space="0" w:color="auto"/>
            </w:tcBorders>
            <w:shd w:val="clear" w:color="auto" w:fill="auto"/>
            <w:tcMar>
              <w:left w:w="108" w:type="dxa"/>
              <w:right w:w="108" w:type="dxa"/>
            </w:tcMar>
          </w:tcPr>
          <w:p w:rsidR="00A21BD7" w:rsidRPr="00ED0CD0" w:rsidRDefault="00A21BD7" w:rsidP="00ED0CD0">
            <w:pPr>
              <w:pStyle w:val="Tabletext"/>
              <w:jc w:val="left"/>
            </w:pPr>
            <w:r w:rsidRPr="00ED0CD0">
              <w:t>Un seul codec</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 xml:space="preserve">Différence de qualité </w:t>
            </w:r>
            <w:r w:rsidRPr="00ED0CD0">
              <w:sym w:font="Symbol" w:char="F0A3"/>
            </w:r>
            <w:r w:rsidRPr="00ED0CD0">
              <w:t xml:space="preserve"> 12% avec la méthode DSCQS en utilisant au moins quatre séquences tirées de la Recommandation UIT</w:t>
            </w:r>
            <w:r w:rsidRPr="00ED0CD0">
              <w:noBreakHyphen/>
              <w:t xml:space="preserve">R BT.1210, dont au moins la moitié devraient être des séquences à forte activité. Le niveau de qualité donné doit être atteint avec au moins 75% des séquences choisies; pour le reste, la différence de qualité doit être </w:t>
            </w:r>
            <w:r w:rsidRPr="00ED0CD0">
              <w:sym w:font="Symbol" w:char="F0A3"/>
            </w:r>
            <w:r w:rsidRPr="00ED0CD0">
              <w:t xml:space="preserve"> 30%.</w:t>
            </w:r>
          </w:p>
        </w:tc>
      </w:tr>
      <w:tr w:rsidR="00A21BD7" w:rsidRPr="00D36529" w:rsidTr="00B93B71">
        <w:trPr>
          <w:cantSplit/>
          <w:jc w:val="center"/>
        </w:trPr>
        <w:tc>
          <w:tcPr>
            <w:tcW w:w="1967" w:type="dxa"/>
            <w:vMerge/>
            <w:shd w:val="clear" w:color="auto" w:fill="auto"/>
            <w:tcMar>
              <w:left w:w="108" w:type="dxa"/>
              <w:right w:w="108" w:type="dxa"/>
            </w:tcMar>
          </w:tcPr>
          <w:p w:rsidR="00A21BD7" w:rsidRPr="00ED0CD0" w:rsidRDefault="00A21BD7" w:rsidP="00ED0CD0">
            <w:pPr>
              <w:pStyle w:val="Tabletext"/>
              <w:jc w:val="left"/>
            </w:pPr>
          </w:p>
        </w:tc>
        <w:tc>
          <w:tcPr>
            <w:tcW w:w="1967" w:type="dxa"/>
            <w:tcBorders>
              <w:top w:val="single" w:sz="4" w:space="0" w:color="auto"/>
              <w:bottom w:val="nil"/>
            </w:tcBorders>
            <w:shd w:val="clear" w:color="auto" w:fill="auto"/>
            <w:tcMar>
              <w:left w:w="108" w:type="dxa"/>
              <w:right w:w="108" w:type="dxa"/>
            </w:tcMar>
          </w:tcPr>
          <w:p w:rsidR="00A21BD7" w:rsidRPr="00ED0CD0" w:rsidRDefault="000E482F" w:rsidP="00ED0CD0">
            <w:pPr>
              <w:pStyle w:val="Tabletext"/>
              <w:jc w:val="left"/>
            </w:pPr>
            <w:r w:rsidRPr="00ED0CD0">
              <w:t>Codecs en cascade</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Cascade d'un codec de contribution, d'un codec de distribution primaire et d'un codec de distribution secondaire.</w:t>
            </w:r>
          </w:p>
        </w:tc>
      </w:tr>
      <w:tr w:rsidR="00A21BD7" w:rsidRPr="00D36529" w:rsidTr="00B93B71">
        <w:trPr>
          <w:cantSplit/>
          <w:jc w:val="center"/>
        </w:trPr>
        <w:tc>
          <w:tcPr>
            <w:tcW w:w="1967" w:type="dxa"/>
            <w:vMerge/>
            <w:shd w:val="clear" w:color="auto" w:fill="auto"/>
            <w:tcMar>
              <w:left w:w="108" w:type="dxa"/>
              <w:right w:w="108" w:type="dxa"/>
            </w:tcMar>
          </w:tcPr>
          <w:p w:rsidR="00A21BD7" w:rsidRPr="00ED0CD0" w:rsidRDefault="00A21BD7" w:rsidP="00ED0CD0">
            <w:pPr>
              <w:pStyle w:val="Tabletext"/>
              <w:jc w:val="left"/>
            </w:pPr>
          </w:p>
        </w:tc>
        <w:tc>
          <w:tcPr>
            <w:tcW w:w="1967" w:type="dxa"/>
            <w:tcBorders>
              <w:top w:val="nil"/>
            </w:tcBorders>
            <w:shd w:val="clear" w:color="auto" w:fill="auto"/>
            <w:tcMar>
              <w:left w:w="108" w:type="dxa"/>
              <w:right w:w="108" w:type="dxa"/>
            </w:tcMar>
          </w:tcPr>
          <w:p w:rsidR="00A21BD7" w:rsidRPr="00ED0CD0" w:rsidRDefault="00A21BD7" w:rsidP="00ED0CD0">
            <w:pPr>
              <w:pStyle w:val="Tabletext"/>
              <w:jc w:val="left"/>
            </w:pPr>
          </w:p>
        </w:tc>
        <w:tc>
          <w:tcPr>
            <w:tcW w:w="5705" w:type="dxa"/>
            <w:shd w:val="clear" w:color="auto" w:fill="auto"/>
            <w:tcMar>
              <w:left w:w="108" w:type="dxa"/>
              <w:right w:w="108" w:type="dxa"/>
            </w:tcMar>
          </w:tcPr>
          <w:p w:rsidR="00A21BD7" w:rsidRPr="00ED0CD0" w:rsidRDefault="00A21BD7" w:rsidP="00ED0CD0">
            <w:pPr>
              <w:pStyle w:val="Tabletext"/>
              <w:jc w:val="left"/>
            </w:pPr>
            <w:r w:rsidRPr="00ED0CD0">
              <w:t xml:space="preserve">Différence de qualité </w:t>
            </w:r>
            <w:r w:rsidRPr="00ED0CD0">
              <w:sym w:font="Symbol" w:char="F0A3"/>
            </w:r>
            <w:r w:rsidRPr="00ED0CD0">
              <w:t> 18% avec la méthode DSCQS en utilisant au moins quatre séquences tirées de la Recommandation UIT</w:t>
            </w:r>
            <w:r w:rsidRPr="00ED0CD0">
              <w:noBreakHyphen/>
              <w:t xml:space="preserve">R BT.1210, dont au moins la moitié devraient être des séquences à forte activité. Le niveau de qualité donné doit être atteint avec au moins 75% des séquences choisies; pour le reste, la différence de qualité doit être </w:t>
            </w:r>
            <w:r w:rsidRPr="00ED0CD0">
              <w:sym w:font="Symbol" w:char="F0A3"/>
            </w:r>
            <w:r w:rsidRPr="00ED0CD0">
              <w:t> 36%.</w:t>
            </w:r>
          </w:p>
        </w:tc>
      </w:tr>
      <w:tr w:rsidR="00A21BD7" w:rsidRPr="00D36529" w:rsidTr="00B93B71">
        <w:trPr>
          <w:cantSplit/>
          <w:jc w:val="center"/>
        </w:trPr>
        <w:tc>
          <w:tcPr>
            <w:tcW w:w="3934" w:type="dxa"/>
            <w:gridSpan w:val="2"/>
            <w:shd w:val="clear" w:color="auto" w:fill="auto"/>
            <w:tcMar>
              <w:left w:w="108" w:type="dxa"/>
              <w:right w:w="108" w:type="dxa"/>
            </w:tcMar>
          </w:tcPr>
          <w:p w:rsidR="00A21BD7" w:rsidRPr="00ED0CD0" w:rsidRDefault="00A21BD7" w:rsidP="00ED0CD0">
            <w:pPr>
              <w:pStyle w:val="Tabletext"/>
              <w:jc w:val="left"/>
            </w:pPr>
            <w:r w:rsidRPr="00ED0CD0">
              <w:t>Qualité de base du son</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Voir l'Annexe 2 de la Recommandation UIT-R BS.1548</w:t>
            </w:r>
          </w:p>
        </w:tc>
      </w:tr>
      <w:tr w:rsidR="00A21BD7" w:rsidRPr="00D36529" w:rsidTr="00B93B71">
        <w:trPr>
          <w:cantSplit/>
          <w:jc w:val="center"/>
        </w:trPr>
        <w:tc>
          <w:tcPr>
            <w:tcW w:w="3934" w:type="dxa"/>
            <w:gridSpan w:val="2"/>
            <w:shd w:val="clear" w:color="auto" w:fill="auto"/>
            <w:tcMar>
              <w:left w:w="108" w:type="dxa"/>
              <w:right w:w="108" w:type="dxa"/>
            </w:tcMar>
            <w:vAlign w:val="center"/>
          </w:tcPr>
          <w:p w:rsidR="00A21BD7" w:rsidRPr="00ED0CD0" w:rsidRDefault="00A21BD7" w:rsidP="00ED0CD0">
            <w:pPr>
              <w:pStyle w:val="Tabletext"/>
              <w:jc w:val="left"/>
            </w:pPr>
            <w:r w:rsidRPr="00ED0CD0">
              <w:t xml:space="preserve">Caractéristique de défaillance/ </w:t>
            </w:r>
            <w:r w:rsidRPr="00ED0CD0">
              <w:br/>
              <w:t>caractéristiques d'erreur</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 xml:space="preserve">Quasi-absence d'erreurs à l'entrée du décodeur dans les conditions normales </w:t>
            </w:r>
          </w:p>
          <w:p w:rsidR="00A21BD7" w:rsidRPr="00ED0CD0" w:rsidRDefault="00A21BD7" w:rsidP="00ED0CD0">
            <w:pPr>
              <w:pStyle w:val="Tabletext"/>
              <w:jc w:val="left"/>
            </w:pPr>
            <w:r w:rsidRPr="00ED0CD0">
              <w:t>Il est souhaitable que les décodeurs aient une fonctionnalité de masquage des erreurs</w:t>
            </w:r>
          </w:p>
        </w:tc>
      </w:tr>
      <w:tr w:rsidR="00A21BD7" w:rsidRPr="00D36529" w:rsidTr="00B93B71">
        <w:trPr>
          <w:cantSplit/>
          <w:jc w:val="center"/>
        </w:trPr>
        <w:tc>
          <w:tcPr>
            <w:tcW w:w="3934" w:type="dxa"/>
            <w:gridSpan w:val="2"/>
            <w:shd w:val="clear" w:color="auto" w:fill="auto"/>
            <w:tcMar>
              <w:left w:w="108" w:type="dxa"/>
              <w:right w:w="108" w:type="dxa"/>
            </w:tcMar>
          </w:tcPr>
          <w:p w:rsidR="00A21BD7" w:rsidRPr="00ED0CD0" w:rsidRDefault="00A21BD7" w:rsidP="00ED0CD0">
            <w:pPr>
              <w:pStyle w:val="Tabletext"/>
              <w:jc w:val="left"/>
            </w:pPr>
            <w:r w:rsidRPr="00ED0CD0">
              <w:t>Caractéristiques de défaillance de l'image/du son</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Défaillance de l'image en premier</w:t>
            </w:r>
          </w:p>
        </w:tc>
      </w:tr>
      <w:tr w:rsidR="00A21BD7" w:rsidRPr="00D36529" w:rsidTr="00B93B71">
        <w:trPr>
          <w:cantSplit/>
          <w:jc w:val="center"/>
        </w:trPr>
        <w:tc>
          <w:tcPr>
            <w:tcW w:w="3934" w:type="dxa"/>
            <w:gridSpan w:val="2"/>
            <w:shd w:val="clear" w:color="auto" w:fill="auto"/>
            <w:tcMar>
              <w:left w:w="108" w:type="dxa"/>
              <w:right w:w="108" w:type="dxa"/>
            </w:tcMar>
          </w:tcPr>
          <w:p w:rsidR="00A21BD7" w:rsidRPr="00ED0CD0" w:rsidRDefault="00A21BD7" w:rsidP="00ED0CD0">
            <w:pPr>
              <w:pStyle w:val="Tabletext"/>
              <w:jc w:val="left"/>
            </w:pPr>
            <w:r w:rsidRPr="00ED0CD0">
              <w:t>Temps de récupération</w:t>
            </w:r>
          </w:p>
        </w:tc>
        <w:tc>
          <w:tcPr>
            <w:tcW w:w="5705" w:type="dxa"/>
            <w:shd w:val="clear" w:color="auto" w:fill="auto"/>
            <w:tcMar>
              <w:left w:w="108" w:type="dxa"/>
              <w:right w:w="108" w:type="dxa"/>
            </w:tcMar>
          </w:tcPr>
          <w:p w:rsidR="00A21BD7" w:rsidRPr="00ED0CD0" w:rsidRDefault="00A21BD7" w:rsidP="00ED0CD0">
            <w:pPr>
              <w:pStyle w:val="Tabletext"/>
              <w:jc w:val="left"/>
            </w:pPr>
            <w:r w:rsidRPr="00ED0CD0">
              <w:t>500 s après une interruption de 50 ms</w:t>
            </w:r>
          </w:p>
        </w:tc>
      </w:tr>
    </w:tbl>
    <w:p w:rsidR="00B93B71" w:rsidRPr="00D36529" w:rsidRDefault="00B93B71" w:rsidP="00B93B71">
      <w:pPr>
        <w:pStyle w:val="Tablefin"/>
        <w:rPr>
          <w:lang w:val="fr-CH"/>
        </w:rPr>
      </w:pPr>
    </w:p>
    <w:p w:rsidR="00B93B71" w:rsidRPr="00D36529" w:rsidRDefault="00B93B71" w:rsidP="00B93B71">
      <w:pPr>
        <w:pStyle w:val="TableNo"/>
        <w:rPr>
          <w:lang w:val="fr-CH"/>
        </w:rPr>
      </w:pPr>
      <w:r w:rsidRPr="00D36529">
        <w:rPr>
          <w:lang w:val="fr-CH"/>
        </w:rPr>
        <w:lastRenderedPageBreak/>
        <w:t>TABLEAU  1 (</w:t>
      </w:r>
      <w:r w:rsidRPr="00D36529">
        <w:rPr>
          <w:i/>
          <w:iCs/>
          <w:lang w:val="fr-CH"/>
        </w:rPr>
        <w:t>fin</w:t>
      </w:r>
      <w:r w:rsidRPr="00D36529">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5705"/>
      </w:tblGrid>
      <w:tr w:rsidR="00B93B71" w:rsidRPr="00D36529" w:rsidTr="00ED0CD0">
        <w:trPr>
          <w:cantSplit/>
          <w:jc w:val="center"/>
        </w:trPr>
        <w:tc>
          <w:tcPr>
            <w:tcW w:w="3934" w:type="dxa"/>
            <w:shd w:val="clear" w:color="auto" w:fill="auto"/>
            <w:tcMar>
              <w:left w:w="108" w:type="dxa"/>
              <w:right w:w="108" w:type="dxa"/>
            </w:tcMar>
          </w:tcPr>
          <w:p w:rsidR="00B93B71" w:rsidRPr="00D36529" w:rsidRDefault="00B93B71" w:rsidP="00ED0CD0">
            <w:pPr>
              <w:pStyle w:val="Tablehead"/>
              <w:rPr>
                <w:rFonts w:asciiTheme="majorBidi" w:hAnsiTheme="majorBidi" w:cstheme="majorBidi"/>
                <w:szCs w:val="22"/>
                <w:lang w:val="fr-CH"/>
              </w:rPr>
            </w:pPr>
            <w:r w:rsidRPr="00D36529">
              <w:rPr>
                <w:rFonts w:asciiTheme="majorBidi" w:hAnsiTheme="majorBidi" w:cstheme="majorBidi"/>
                <w:szCs w:val="22"/>
                <w:lang w:val="fr-CH"/>
              </w:rPr>
              <w:t>Elément</w:t>
            </w:r>
          </w:p>
        </w:tc>
        <w:tc>
          <w:tcPr>
            <w:tcW w:w="5705" w:type="dxa"/>
            <w:shd w:val="clear" w:color="auto" w:fill="auto"/>
            <w:tcMar>
              <w:left w:w="108" w:type="dxa"/>
              <w:right w:w="108" w:type="dxa"/>
            </w:tcMar>
          </w:tcPr>
          <w:p w:rsidR="00B93B71" w:rsidRPr="00D36529" w:rsidRDefault="00B93B71" w:rsidP="00ED0CD0">
            <w:pPr>
              <w:pStyle w:val="Tablehead"/>
              <w:rPr>
                <w:rFonts w:asciiTheme="majorBidi" w:hAnsiTheme="majorBidi" w:cstheme="majorBidi"/>
                <w:szCs w:val="22"/>
                <w:lang w:val="fr-CH"/>
              </w:rPr>
            </w:pPr>
            <w:r w:rsidRPr="00D36529">
              <w:rPr>
                <w:rFonts w:asciiTheme="majorBidi" w:hAnsiTheme="majorBidi" w:cstheme="majorBidi"/>
                <w:szCs w:val="22"/>
                <w:lang w:val="fr-CH"/>
              </w:rPr>
              <w:t>Spécification</w:t>
            </w:r>
          </w:p>
        </w:tc>
      </w:tr>
      <w:tr w:rsidR="00A21BD7" w:rsidRPr="00D36529" w:rsidTr="00B93B71">
        <w:trPr>
          <w:cantSplit/>
          <w:jc w:val="center"/>
        </w:trPr>
        <w:tc>
          <w:tcPr>
            <w:tcW w:w="3934" w:type="dxa"/>
            <w:shd w:val="clear" w:color="auto" w:fill="auto"/>
            <w:tcMar>
              <w:left w:w="108" w:type="dxa"/>
              <w:right w:w="108" w:type="dxa"/>
            </w:tcMar>
          </w:tcPr>
          <w:p w:rsidR="00A21BD7" w:rsidRPr="00ED0CD0" w:rsidRDefault="00A21BD7" w:rsidP="00ED0CD0">
            <w:pPr>
              <w:pStyle w:val="Tabletext"/>
              <w:jc w:val="left"/>
            </w:pPr>
            <w:r w:rsidRPr="00ED0CD0">
              <w:t>Modification du retard glo</w:t>
            </w:r>
            <w:bookmarkStart w:id="4" w:name="_GoBack"/>
            <w:bookmarkEnd w:id="4"/>
            <w:r w:rsidRPr="00ED0CD0">
              <w:t>bal après interruption du signal/perturbation majeure</w:t>
            </w:r>
          </w:p>
        </w:tc>
        <w:tc>
          <w:tcPr>
            <w:tcW w:w="5705" w:type="dxa"/>
            <w:shd w:val="clear" w:color="auto" w:fill="auto"/>
            <w:tcMar>
              <w:left w:w="108" w:type="dxa"/>
              <w:right w:w="108" w:type="dxa"/>
            </w:tcMar>
            <w:vAlign w:val="center"/>
          </w:tcPr>
          <w:p w:rsidR="00A21BD7" w:rsidRPr="00ED0CD0" w:rsidRDefault="00A21BD7" w:rsidP="00ED0CD0">
            <w:pPr>
              <w:pStyle w:val="Tabletext"/>
              <w:jc w:val="left"/>
            </w:pPr>
            <w:r w:rsidRPr="00ED0CD0">
              <w:t>Inférieure à 20 µs</w:t>
            </w:r>
          </w:p>
        </w:tc>
      </w:tr>
      <w:tr w:rsidR="00A21BD7" w:rsidRPr="00D36529" w:rsidTr="005F4ACD">
        <w:trPr>
          <w:cantSplit/>
          <w:jc w:val="center"/>
        </w:trPr>
        <w:tc>
          <w:tcPr>
            <w:tcW w:w="3934" w:type="dxa"/>
            <w:tcBorders>
              <w:bottom w:val="single" w:sz="4" w:space="0" w:color="auto"/>
            </w:tcBorders>
            <w:shd w:val="clear" w:color="auto" w:fill="auto"/>
            <w:tcMar>
              <w:left w:w="108" w:type="dxa"/>
              <w:right w:w="108" w:type="dxa"/>
            </w:tcMar>
            <w:vAlign w:val="center"/>
          </w:tcPr>
          <w:p w:rsidR="00A21BD7" w:rsidRPr="00ED0CD0" w:rsidRDefault="00A21BD7" w:rsidP="00ED0CD0">
            <w:pPr>
              <w:pStyle w:val="Tabletext"/>
              <w:jc w:val="left"/>
            </w:pPr>
            <w:r w:rsidRPr="00ED0CD0">
              <w:t>Signal auxiliaire</w:t>
            </w:r>
          </w:p>
        </w:tc>
        <w:tc>
          <w:tcPr>
            <w:tcW w:w="5705" w:type="dxa"/>
            <w:tcBorders>
              <w:bottom w:val="single" w:sz="4" w:space="0" w:color="auto"/>
            </w:tcBorders>
            <w:shd w:val="clear" w:color="auto" w:fill="auto"/>
            <w:tcMar>
              <w:left w:w="108" w:type="dxa"/>
              <w:right w:w="108" w:type="dxa"/>
            </w:tcMar>
            <w:vAlign w:val="center"/>
          </w:tcPr>
          <w:p w:rsidR="00A21BD7" w:rsidRPr="00ED0CD0" w:rsidRDefault="00A21BD7" w:rsidP="00ED0CD0">
            <w:pPr>
              <w:pStyle w:val="Tabletext"/>
              <w:jc w:val="left"/>
            </w:pPr>
            <w:r w:rsidRPr="00ED0CD0">
              <w:t>Des signaux auxiliaires peuvent être assurés pour des services de données ou la commande d'accès.</w:t>
            </w:r>
          </w:p>
        </w:tc>
      </w:tr>
      <w:tr w:rsidR="00A21BD7" w:rsidRPr="00D36529" w:rsidTr="005F4ACD">
        <w:trPr>
          <w:cantSplit/>
          <w:jc w:val="center"/>
        </w:trPr>
        <w:tc>
          <w:tcPr>
            <w:tcW w:w="9639" w:type="dxa"/>
            <w:gridSpan w:val="2"/>
            <w:tcBorders>
              <w:left w:val="nil"/>
              <w:bottom w:val="nil"/>
              <w:right w:val="nil"/>
            </w:tcBorders>
            <w:shd w:val="clear" w:color="auto" w:fill="auto"/>
            <w:tcMar>
              <w:left w:w="108" w:type="dxa"/>
              <w:right w:w="108" w:type="dxa"/>
            </w:tcMar>
            <w:vAlign w:val="center"/>
          </w:tcPr>
          <w:p w:rsidR="00A21BD7" w:rsidRPr="00D36529" w:rsidRDefault="00A21BD7" w:rsidP="000E482F">
            <w:pPr>
              <w:pStyle w:val="Tablelegend"/>
              <w:jc w:val="left"/>
              <w:rPr>
                <w:rFonts w:asciiTheme="majorBidi" w:hAnsiTheme="majorBidi" w:cstheme="majorBidi"/>
                <w:szCs w:val="22"/>
                <w:lang w:val="fr-CH"/>
              </w:rPr>
            </w:pPr>
            <w:r w:rsidRPr="00D36529">
              <w:rPr>
                <w:rFonts w:asciiTheme="majorBidi" w:hAnsiTheme="majorBidi" w:cstheme="majorBidi"/>
                <w:szCs w:val="22"/>
                <w:lang w:val="fr-CH"/>
              </w:rPr>
              <w:t>DSCQS:</w:t>
            </w:r>
            <w:r w:rsidRPr="00D36529">
              <w:rPr>
                <w:rFonts w:asciiTheme="majorBidi" w:hAnsiTheme="majorBidi" w:cstheme="majorBidi"/>
                <w:szCs w:val="22"/>
                <w:lang w:val="fr-CH"/>
              </w:rPr>
              <w:tab/>
              <w:t>échelle de qualité continue à double stimulus</w:t>
            </w:r>
            <w:r w:rsidR="000E482F">
              <w:rPr>
                <w:rFonts w:asciiTheme="majorBidi" w:hAnsiTheme="majorBidi" w:cstheme="majorBidi"/>
                <w:szCs w:val="22"/>
                <w:lang w:val="fr-CH"/>
              </w:rPr>
              <w:t>.</w:t>
            </w:r>
            <w:r w:rsidRPr="00D36529">
              <w:rPr>
                <w:rFonts w:asciiTheme="majorBidi" w:hAnsiTheme="majorBidi" w:cstheme="majorBidi"/>
                <w:szCs w:val="22"/>
                <w:lang w:val="fr-CH"/>
              </w:rPr>
              <w:t xml:space="preserve"> </w:t>
            </w:r>
          </w:p>
          <w:p w:rsidR="00A21BD7" w:rsidRPr="00D36529" w:rsidRDefault="000E482F" w:rsidP="000E482F">
            <w:pPr>
              <w:pStyle w:val="Tablelegend"/>
              <w:jc w:val="left"/>
              <w:rPr>
                <w:rFonts w:asciiTheme="majorBidi" w:hAnsiTheme="majorBidi" w:cstheme="majorBidi"/>
                <w:szCs w:val="22"/>
                <w:lang w:val="fr-CH"/>
              </w:rPr>
            </w:pPr>
            <w:r w:rsidRPr="000E482F">
              <w:rPr>
                <w:rFonts w:asciiTheme="majorBidi" w:hAnsiTheme="majorBidi" w:cstheme="majorBidi"/>
                <w:szCs w:val="22"/>
                <w:vertAlign w:val="superscript"/>
                <w:lang w:val="fr-CH" w:eastAsia="ja-JP"/>
              </w:rPr>
              <w:t>(1)</w:t>
            </w:r>
            <w:r>
              <w:rPr>
                <w:rFonts w:asciiTheme="majorBidi" w:hAnsiTheme="majorBidi" w:cstheme="majorBidi"/>
                <w:szCs w:val="22"/>
                <w:lang w:val="fr-CH" w:eastAsia="ja-JP"/>
              </w:rPr>
              <w:tab/>
            </w:r>
            <w:r w:rsidR="00A21BD7" w:rsidRPr="00D36529">
              <w:rPr>
                <w:rFonts w:asciiTheme="majorBidi" w:hAnsiTheme="majorBidi" w:cstheme="majorBidi"/>
                <w:szCs w:val="22"/>
                <w:lang w:val="fr-CH" w:eastAsia="ja-JP"/>
              </w:rPr>
              <w:t>Toute évaluation subjective de la qualité de l'image devrait être réalisée conformément aux Recommandations UIT</w:t>
            </w:r>
            <w:r w:rsidR="00A21BD7" w:rsidRPr="00D36529">
              <w:rPr>
                <w:rFonts w:asciiTheme="majorBidi" w:hAnsiTheme="majorBidi" w:cstheme="majorBidi"/>
                <w:szCs w:val="22"/>
                <w:lang w:val="fr-CH" w:eastAsia="ja-JP"/>
              </w:rPr>
              <w:noBreakHyphen/>
              <w:t>R BT.500, UIT-R BT.710 et UIT-R BT.1129</w:t>
            </w:r>
            <w:r w:rsidR="00A21BD7" w:rsidRPr="00D36529">
              <w:rPr>
                <w:rFonts w:asciiTheme="majorBidi" w:hAnsiTheme="majorBidi" w:cstheme="majorBidi"/>
                <w:szCs w:val="22"/>
                <w:lang w:val="fr-CH"/>
              </w:rPr>
              <w:t>.</w:t>
            </w:r>
          </w:p>
        </w:tc>
      </w:tr>
    </w:tbl>
    <w:p w:rsidR="00B93B71" w:rsidRPr="00F31CF5" w:rsidRDefault="00B93B71" w:rsidP="000E482F">
      <w:pPr>
        <w:pStyle w:val="Tablefin"/>
        <w:rPr>
          <w:lang w:val="fr-CH"/>
        </w:rPr>
      </w:pPr>
    </w:p>
    <w:p w:rsidR="00B93B71" w:rsidRPr="00D36529" w:rsidRDefault="00B93B71" w:rsidP="00B93B71">
      <w:pPr>
        <w:rPr>
          <w:lang w:val="fr-CH"/>
        </w:rPr>
      </w:pPr>
    </w:p>
    <w:p w:rsidR="00B93B71" w:rsidRPr="00D36529" w:rsidRDefault="00B93B71" w:rsidP="00B93B71">
      <w:pPr>
        <w:pStyle w:val="Line"/>
        <w:rPr>
          <w:lang w:val="fr-CH"/>
        </w:rPr>
      </w:pPr>
    </w:p>
    <w:p w:rsidR="00B93B71" w:rsidRPr="00D36529" w:rsidRDefault="00B93B71" w:rsidP="00B93B71">
      <w:pPr>
        <w:rPr>
          <w:lang w:val="fr-CH"/>
        </w:rPr>
      </w:pPr>
    </w:p>
    <w:p w:rsidR="00A21BD7" w:rsidRPr="00D36529" w:rsidRDefault="00A21BD7" w:rsidP="00A6617B">
      <w:pPr>
        <w:rPr>
          <w:lang w:val="fr-CH"/>
        </w:rPr>
      </w:pPr>
    </w:p>
    <w:sectPr w:rsidR="00A21BD7" w:rsidRPr="00D36529" w:rsidSect="007F6DA5">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CD0" w:rsidRDefault="00ED0CD0">
      <w:r>
        <w:separator/>
      </w:r>
    </w:p>
  </w:endnote>
  <w:endnote w:type="continuationSeparator" w:id="0">
    <w:p w:rsidR="00ED0CD0" w:rsidRDefault="00ED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CD0" w:rsidRDefault="00ED0CD0">
      <w:r>
        <w:separator/>
      </w:r>
    </w:p>
  </w:footnote>
  <w:footnote w:type="continuationSeparator" w:id="0">
    <w:p w:rsidR="00ED0CD0" w:rsidRDefault="00ED0CD0">
      <w:r>
        <w:continuationSeparator/>
      </w:r>
    </w:p>
  </w:footnote>
  <w:footnote w:id="1">
    <w:p w:rsidR="00ED0CD0" w:rsidRPr="00F50A75" w:rsidRDefault="00ED0CD0" w:rsidP="00A21BD7">
      <w:pPr>
        <w:pStyle w:val="FootnoteText"/>
      </w:pPr>
      <w:r>
        <w:rPr>
          <w:rStyle w:val="FootnoteReference"/>
        </w:rPr>
        <w:t>*</w:t>
      </w:r>
      <w:r>
        <w:t xml:space="preserve"> </w:t>
      </w:r>
      <w:r>
        <w:rPr>
          <w:lang w:val="fr-CH"/>
        </w:rPr>
        <w:tab/>
      </w:r>
      <w:r>
        <w:t>La présente Recommandation doit être portée à l'attention de la Commission d'études 9 de la normalisation des télécommunications.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Default="00ED0CD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Default="00ED0CD0" w:rsidP="00ED0CD0">
    <w:pPr>
      <w:pStyle w:val="Header"/>
      <w:ind w:right="360" w:firstLine="360"/>
    </w:pPr>
    <w:r>
      <w:rPr>
        <w:noProof/>
        <w:lang w:val="en-US" w:eastAsia="zh-CN"/>
      </w:rPr>
      <w:drawing>
        <wp:anchor distT="0" distB="0" distL="114300" distR="114300" simplePos="0" relativeHeight="251659264" behindDoc="1" locked="0" layoutInCell="1" allowOverlap="1" wp14:anchorId="1B3ABE57" wp14:editId="37A4C27C">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Pr="00A21BD7" w:rsidRDefault="00ED0CD0">
    <w:pPr>
      <w:pStyle w:val="Header"/>
      <w:jc w:val="left"/>
      <w:rPr>
        <w:lang w:val="fr-CH"/>
      </w:rPr>
    </w:pPr>
    <w:r>
      <w:rPr>
        <w:rStyle w:val="PageNumber"/>
        <w:b/>
        <w:bCs/>
      </w:rPr>
      <w:fldChar w:fldCharType="begin"/>
    </w:r>
    <w:r w:rsidRPr="00A21BD7">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A21BD7">
      <w:rPr>
        <w:lang w:val="fr-CH"/>
      </w:rPr>
      <w:tab/>
    </w:r>
    <w:fldSimple w:instr=" DOCPROPERTY &quot;Header&quot; \* MERGEFORMAT ">
      <w:r w:rsidRPr="00ED0CD0">
        <w:rPr>
          <w:b/>
          <w:bCs/>
          <w:lang w:val="fr-CH"/>
        </w:rPr>
        <w:t xml:space="preserve">Rec. </w:t>
      </w:r>
    </w:fldSimple>
    <w:r>
      <w:rPr>
        <w:b/>
        <w:bCs/>
      </w:rPr>
      <w:t xml:space="preserve"> </w:t>
    </w:r>
    <w:r>
      <w:rPr>
        <w:b/>
        <w:bCs/>
      </w:rPr>
      <w:fldChar w:fldCharType="begin"/>
    </w:r>
    <w:r w:rsidRPr="00A21BD7">
      <w:rPr>
        <w:b/>
        <w:bCs/>
        <w:lang w:val="fr-CH"/>
      </w:rPr>
      <w:instrText>styleref href</w:instrText>
    </w:r>
    <w:r>
      <w:rPr>
        <w:b/>
        <w:bCs/>
      </w:rPr>
      <w:fldChar w:fldCharType="separate"/>
    </w:r>
    <w:r>
      <w:rPr>
        <w:b/>
        <w:bCs/>
        <w:noProof/>
      </w:rPr>
      <w:t>UIT-R  BT.1122-2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Default="00ED0CD0">
    <w:pPr>
      <w:pStyle w:val="Header"/>
    </w:pPr>
    <w:r>
      <w:tab/>
    </w:r>
    <w:fldSimple w:instr=" DOCPROPERTY &quot;Header&quot; \* MERGEFORMAT ">
      <w:r w:rsidRPr="00ED0CD0">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BT.1122-2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Default="00ED0CD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73FE">
      <w:rPr>
        <w:rStyle w:val="PageNumber"/>
        <w:b/>
        <w:bCs/>
        <w:noProof/>
        <w:lang w:val="en-US"/>
      </w:rPr>
      <w:t>2</w:t>
    </w:r>
    <w:r>
      <w:rPr>
        <w:rStyle w:val="PageNumber"/>
        <w:b/>
        <w:bCs/>
      </w:rPr>
      <w:fldChar w:fldCharType="end"/>
    </w:r>
    <w:r>
      <w:rPr>
        <w:lang w:val="en-US"/>
      </w:rPr>
      <w:tab/>
    </w:r>
    <w:fldSimple w:instr=" DOCPROPERTY &quot;Header&quot; \* MERGEFORMAT ">
      <w:r w:rsidRPr="00ED0CD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173FE">
      <w:rPr>
        <w:b/>
        <w:bCs/>
        <w:noProof/>
      </w:rPr>
      <w:t>UIT-R  BT.1122-2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D0" w:rsidRDefault="00ED0CD0">
    <w:pPr>
      <w:pStyle w:val="Header"/>
    </w:pPr>
    <w:r>
      <w:tab/>
    </w:r>
    <w:fldSimple w:instr=" DOCPROPERTY &quot;Header&quot; \* MERGEFORMAT ">
      <w:r w:rsidRPr="00ED0C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73FE">
      <w:rPr>
        <w:b/>
        <w:bCs/>
        <w:noProof/>
      </w:rPr>
      <w:t>UIT-R  BT.1122-2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73F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E84E0E"/>
    <w:multiLevelType w:val="hybridMultilevel"/>
    <w:tmpl w:val="A22CF1D2"/>
    <w:lvl w:ilvl="0" w:tplc="BC5CA17C">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BD7"/>
    <w:rsid w:val="000C4B26"/>
    <w:rsid w:val="000E482F"/>
    <w:rsid w:val="00217EBF"/>
    <w:rsid w:val="002D76C4"/>
    <w:rsid w:val="005F4ACD"/>
    <w:rsid w:val="00607D68"/>
    <w:rsid w:val="007468DA"/>
    <w:rsid w:val="007F6DA5"/>
    <w:rsid w:val="008310CA"/>
    <w:rsid w:val="009173FE"/>
    <w:rsid w:val="00A21BD7"/>
    <w:rsid w:val="00A6617B"/>
    <w:rsid w:val="00AB0DC8"/>
    <w:rsid w:val="00B44E24"/>
    <w:rsid w:val="00B93B71"/>
    <w:rsid w:val="00D36529"/>
    <w:rsid w:val="00DF4176"/>
    <w:rsid w:val="00ED0CD0"/>
    <w:rsid w:val="00F31C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1BD7"/>
    <w:rPr>
      <w:color w:val="0000FF"/>
      <w:u w:val="single"/>
    </w:rPr>
  </w:style>
  <w:style w:type="character" w:customStyle="1" w:styleId="FootnoteTextChar">
    <w:name w:val="Footnote Text Char"/>
    <w:basedOn w:val="DefaultParagraphFont"/>
    <w:link w:val="FootnoteText"/>
    <w:semiHidden/>
    <w:locked/>
    <w:rsid w:val="00A21BD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1BD7"/>
    <w:rPr>
      <w:color w:val="0000FF"/>
      <w:u w:val="single"/>
    </w:rPr>
  </w:style>
  <w:style w:type="character" w:customStyle="1" w:styleId="FootnoteTextChar">
    <w:name w:val="Footnote Text Char"/>
    <w:basedOn w:val="DefaultParagraphFont"/>
    <w:link w:val="FootnoteText"/>
    <w:semiHidden/>
    <w:locked/>
    <w:rsid w:val="00A21BD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5</Pages>
  <Words>1150</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2011-06-22T06:53:00Z</dcterms:created>
  <dcterms:modified xsi:type="dcterms:W3CDTF">2011-07-25T12:21:00Z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