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A68" w:rsidRPr="00575CB8" w:rsidRDefault="00AB2A68" w:rsidP="00AB2A68">
      <w:pPr>
        <w:rPr>
          <w:lang w:val="en-US"/>
        </w:rPr>
      </w:pPr>
      <w:bookmarkStart w:id="0" w:name="dbreak"/>
      <w:bookmarkEnd w:id="0"/>
    </w:p>
    <w:p w:rsidR="00AB2A68" w:rsidRDefault="00AB2A68" w:rsidP="00AB2A68"/>
    <w:p w:rsidR="00AB2A68" w:rsidRDefault="00AB2A68" w:rsidP="00AB2A68"/>
    <w:p w:rsidR="00AB2A68" w:rsidRDefault="00AB2A68" w:rsidP="00AB2A68">
      <w:bookmarkStart w:id="1" w:name="_GoBack"/>
      <w:bookmarkEnd w:id="1"/>
    </w:p>
    <w:p w:rsidR="00AB2A68" w:rsidRDefault="00AB2A68" w:rsidP="00AB2A68"/>
    <w:p w:rsidR="00AB2A68" w:rsidRDefault="00AB2A68" w:rsidP="00AB2A68"/>
    <w:p w:rsidR="00AB2A68" w:rsidRDefault="00AB2A68" w:rsidP="00AB2A68"/>
    <w:p w:rsidR="00AB2A68" w:rsidRDefault="00AB2A68" w:rsidP="00AB2A68"/>
    <w:p w:rsidR="00AB2A68" w:rsidRDefault="00AB2A68" w:rsidP="00AB2A68"/>
    <w:p w:rsidR="00AB2A68" w:rsidRDefault="00AB2A68" w:rsidP="00AB2A68"/>
    <w:p w:rsidR="00AB2A68" w:rsidRDefault="00AB2A68" w:rsidP="00AB2A68"/>
    <w:p w:rsidR="00AB2A68" w:rsidRDefault="00AB2A68" w:rsidP="00AB2A68"/>
    <w:tbl>
      <w:tblPr>
        <w:tblW w:w="10089" w:type="dxa"/>
        <w:tblLook w:val="01E0" w:firstRow="1" w:lastRow="1" w:firstColumn="1" w:lastColumn="1" w:noHBand="0" w:noVBand="0"/>
      </w:tblPr>
      <w:tblGrid>
        <w:gridCol w:w="10089"/>
      </w:tblGrid>
      <w:tr w:rsidR="00AB2A68" w:rsidRPr="00CF208B" w:rsidTr="00F9066D">
        <w:tc>
          <w:tcPr>
            <w:tcW w:w="10089" w:type="dxa"/>
          </w:tcPr>
          <w:p w:rsidR="00AB2A68" w:rsidRPr="0010336F" w:rsidRDefault="00AB2A68" w:rsidP="00F9066D">
            <w:pPr>
              <w:spacing w:before="380" w:line="280" w:lineRule="exact"/>
              <w:jc w:val="right"/>
              <w:rPr>
                <w:rFonts w:ascii="Tahoma" w:hAnsi="Tahoma" w:cs="Tahoma"/>
                <w:b/>
                <w:bCs/>
                <w:iCs/>
                <w:color w:val="243285"/>
                <w:sz w:val="32"/>
                <w:szCs w:val="32"/>
                <w:lang w:val="en-US"/>
              </w:rPr>
            </w:pPr>
          </w:p>
          <w:p w:rsidR="00AB2A68" w:rsidRPr="0010336F" w:rsidRDefault="00AB2A68" w:rsidP="00AB2A6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2032</w:t>
            </w:r>
          </w:p>
          <w:p w:rsidR="00AB2A68" w:rsidRPr="0010336F" w:rsidRDefault="00AB2A68" w:rsidP="00AB2A6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AB2A68" w:rsidRPr="0010336F" w:rsidTr="00F9066D">
        <w:tc>
          <w:tcPr>
            <w:tcW w:w="10089" w:type="dxa"/>
          </w:tcPr>
          <w:p w:rsidR="00AB2A68" w:rsidRPr="0010336F" w:rsidRDefault="00AB2A68" w:rsidP="00F9066D">
            <w:pPr>
              <w:spacing w:before="80" w:line="500" w:lineRule="exact"/>
              <w:jc w:val="right"/>
              <w:rPr>
                <w:rFonts w:ascii="Tahoma" w:hAnsi="Tahoma" w:cs="Tahoma"/>
                <w:b/>
                <w:bCs/>
                <w:iCs/>
                <w:color w:val="243285"/>
                <w:sz w:val="44"/>
                <w:szCs w:val="44"/>
                <w:lang w:val="es-ES_tradnl"/>
              </w:rPr>
            </w:pPr>
          </w:p>
          <w:p w:rsidR="00AB2A68" w:rsidRDefault="00AB2A68" w:rsidP="00AB2A68">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rPr>
              <w:t>Sincronización del reloj de muestreo de audio digital a referencias de vídeo</w:t>
            </w:r>
          </w:p>
          <w:p w:rsidR="00AB2A68" w:rsidRPr="0010336F" w:rsidRDefault="00AB2A68" w:rsidP="00F9066D">
            <w:pPr>
              <w:spacing w:before="80" w:line="500" w:lineRule="exact"/>
              <w:jc w:val="right"/>
              <w:rPr>
                <w:rFonts w:ascii="Tahoma" w:hAnsi="Tahoma" w:cs="Tahoma"/>
                <w:b/>
                <w:bCs/>
                <w:iCs/>
                <w:color w:val="243285"/>
                <w:sz w:val="44"/>
                <w:szCs w:val="44"/>
                <w:lang w:val="es-ES_tradnl"/>
              </w:rPr>
            </w:pPr>
          </w:p>
        </w:tc>
      </w:tr>
      <w:tr w:rsidR="00AB2A68" w:rsidRPr="00CF208B" w:rsidTr="00F9066D">
        <w:tc>
          <w:tcPr>
            <w:tcW w:w="10089" w:type="dxa"/>
          </w:tcPr>
          <w:p w:rsidR="00AB2A68" w:rsidRPr="0010336F" w:rsidRDefault="00AB2A68" w:rsidP="00F9066D">
            <w:pPr>
              <w:spacing w:before="80" w:line="280" w:lineRule="exact"/>
              <w:ind w:right="640"/>
              <w:rPr>
                <w:rFonts w:ascii="Tahoma" w:hAnsi="Tahoma" w:cs="Tahoma"/>
                <w:b/>
                <w:bCs/>
                <w:iCs/>
                <w:color w:val="243285"/>
                <w:sz w:val="32"/>
                <w:szCs w:val="32"/>
                <w:lang w:val="es-ES_tradnl"/>
              </w:rPr>
            </w:pPr>
          </w:p>
          <w:p w:rsidR="00AB2A68" w:rsidRPr="0010336F" w:rsidRDefault="00AB2A68" w:rsidP="00F9066D">
            <w:pPr>
              <w:spacing w:before="80" w:line="280" w:lineRule="exact"/>
              <w:ind w:right="640"/>
              <w:rPr>
                <w:rFonts w:ascii="Tahoma" w:hAnsi="Tahoma" w:cs="Tahoma"/>
                <w:b/>
                <w:bCs/>
                <w:iCs/>
                <w:color w:val="243285"/>
                <w:sz w:val="32"/>
                <w:szCs w:val="32"/>
                <w:lang w:val="es-ES_tradnl"/>
              </w:rPr>
            </w:pPr>
          </w:p>
          <w:p w:rsidR="00AB2A68" w:rsidRPr="0010336F" w:rsidRDefault="00AB2A68" w:rsidP="00F9066D">
            <w:pPr>
              <w:spacing w:before="80" w:after="180" w:line="360" w:lineRule="exact"/>
              <w:ind w:right="720"/>
              <w:rPr>
                <w:rFonts w:ascii="Tahoma" w:hAnsi="Tahoma" w:cs="Tahoma"/>
                <w:b/>
                <w:bCs/>
                <w:iCs/>
                <w:color w:val="243285"/>
                <w:sz w:val="36"/>
                <w:szCs w:val="36"/>
                <w:lang w:val="es-ES_tradnl"/>
              </w:rPr>
            </w:pPr>
          </w:p>
          <w:p w:rsidR="00AB2A68" w:rsidRPr="0010336F" w:rsidRDefault="00AB2A68" w:rsidP="00F9066D">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S</w:t>
            </w:r>
          </w:p>
          <w:p w:rsidR="00AB2A68" w:rsidRPr="0010336F" w:rsidRDefault="00AB2A68" w:rsidP="00F9066D">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 (sonora)</w:t>
            </w:r>
          </w:p>
        </w:tc>
      </w:tr>
    </w:tbl>
    <w:p w:rsidR="00AB2A68" w:rsidRPr="0026666F" w:rsidRDefault="00AB2A68" w:rsidP="00AB2A68">
      <w:pPr>
        <w:spacing w:before="80"/>
        <w:rPr>
          <w:i/>
          <w:sz w:val="22"/>
          <w:lang w:val="es-ES_tradnl"/>
        </w:rPr>
      </w:pPr>
    </w:p>
    <w:p w:rsidR="00AB2A68" w:rsidRPr="0026666F" w:rsidRDefault="00AB2A68" w:rsidP="00AB2A68">
      <w:pPr>
        <w:spacing w:before="80"/>
        <w:rPr>
          <w:i/>
          <w:sz w:val="22"/>
          <w:lang w:val="es-ES_tradnl"/>
        </w:rPr>
      </w:pPr>
    </w:p>
    <w:p w:rsidR="00AB2A68" w:rsidRPr="0026666F" w:rsidRDefault="00AB2A68" w:rsidP="00AB2A68">
      <w:pPr>
        <w:spacing w:before="80"/>
        <w:rPr>
          <w:i/>
          <w:sz w:val="22"/>
          <w:lang w:val="es-ES_tradnl"/>
        </w:rPr>
      </w:pPr>
    </w:p>
    <w:p w:rsidR="00AB2A68" w:rsidRPr="0026666F" w:rsidRDefault="00AB2A68" w:rsidP="00AB2A68">
      <w:pPr>
        <w:spacing w:before="80"/>
        <w:rPr>
          <w:i/>
          <w:sz w:val="22"/>
          <w:lang w:val="es-ES_tradnl"/>
        </w:rPr>
      </w:pPr>
    </w:p>
    <w:p w:rsidR="00AB2A68" w:rsidRPr="0026666F" w:rsidRDefault="00AB2A68" w:rsidP="00AB2A68">
      <w:pPr>
        <w:spacing w:before="80"/>
        <w:rPr>
          <w:i/>
          <w:sz w:val="22"/>
          <w:lang w:val="es-ES_tradnl"/>
        </w:rPr>
      </w:pPr>
    </w:p>
    <w:p w:rsidR="00AB2A68" w:rsidRPr="0026666F" w:rsidRDefault="00AB2A68" w:rsidP="00AB2A68">
      <w:pPr>
        <w:spacing w:before="80"/>
        <w:rPr>
          <w:i/>
          <w:sz w:val="22"/>
          <w:lang w:val="es-ES_tradnl"/>
        </w:rPr>
      </w:pPr>
    </w:p>
    <w:p w:rsidR="00AB2A68" w:rsidRPr="0026666F" w:rsidRDefault="00AB2A68" w:rsidP="00AB2A68">
      <w:pPr>
        <w:pStyle w:val="Equation"/>
        <w:tabs>
          <w:tab w:val="clear" w:pos="4820"/>
          <w:tab w:val="clear" w:pos="9639"/>
          <w:tab w:val="left" w:pos="1191"/>
          <w:tab w:val="left" w:pos="1588"/>
          <w:tab w:val="left" w:pos="1985"/>
        </w:tabs>
        <w:rPr>
          <w:rFonts w:ascii="Palatino Linotype" w:hAnsi="Palatino Linotype"/>
          <w:lang w:val="es-ES_tradnl"/>
        </w:rPr>
        <w:sectPr w:rsidR="00AB2A68" w:rsidRPr="0026666F">
          <w:headerReference w:type="even" r:id="rId8"/>
          <w:headerReference w:type="default" r:id="rId9"/>
          <w:pgSz w:w="11907" w:h="16840" w:code="9"/>
          <w:pgMar w:top="1089" w:right="1089" w:bottom="284" w:left="1089" w:header="567" w:footer="284" w:gutter="0"/>
          <w:pgNumType w:start="1"/>
          <w:cols w:space="720"/>
        </w:sectPr>
      </w:pPr>
    </w:p>
    <w:p w:rsidR="00AB2A68" w:rsidRPr="006C718C" w:rsidRDefault="00AB2A68" w:rsidP="00AB2A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AB2A68" w:rsidRPr="006C718C" w:rsidRDefault="00AB2A68" w:rsidP="00AB2A6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AB2A68" w:rsidRPr="006C718C" w:rsidRDefault="00AB2A68" w:rsidP="00AB2A6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AB2A68" w:rsidRPr="00021E8A" w:rsidRDefault="00AB2A68" w:rsidP="00AB2A6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AB2A68" w:rsidRPr="00021E8A" w:rsidRDefault="00AB2A68" w:rsidP="00AB2A6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AB2A68" w:rsidRPr="007C36CA" w:rsidRDefault="00AB2A68" w:rsidP="00AB2A68">
      <w:pPr>
        <w:spacing w:before="0"/>
        <w:jc w:val="center"/>
        <w:rPr>
          <w:sz w:val="22"/>
          <w:lang w:val="es-ES_tradnl"/>
        </w:rPr>
      </w:pPr>
    </w:p>
    <w:p w:rsidR="00AB2A68" w:rsidRPr="007C36CA" w:rsidRDefault="00AB2A68" w:rsidP="00AB2A6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B2A68" w:rsidRPr="00CF208B" w:rsidTr="00F9066D">
        <w:tc>
          <w:tcPr>
            <w:tcW w:w="9360" w:type="dxa"/>
            <w:gridSpan w:val="2"/>
          </w:tcPr>
          <w:p w:rsidR="00AB2A68" w:rsidRPr="00021E8A" w:rsidRDefault="00AB2A68" w:rsidP="00F9066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AB2A68" w:rsidRPr="00763D08" w:rsidRDefault="00AB2A68" w:rsidP="00F906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AB2A68" w:rsidRPr="00036EE3" w:rsidTr="00F9066D">
        <w:tc>
          <w:tcPr>
            <w:tcW w:w="1140" w:type="dxa"/>
            <w:tcBorders>
              <w:bottom w:val="nil"/>
            </w:tcBorders>
          </w:tcPr>
          <w:p w:rsidR="00AB2A68" w:rsidRPr="00036EE3" w:rsidRDefault="00AB2A68" w:rsidP="00F9066D">
            <w:pPr>
              <w:spacing w:before="180" w:after="100"/>
              <w:ind w:left="57"/>
              <w:rPr>
                <w:b/>
                <w:bCs/>
                <w:sz w:val="20"/>
                <w:lang w:val="en-US"/>
              </w:rPr>
            </w:pPr>
            <w:r w:rsidRPr="00036EE3">
              <w:rPr>
                <w:b/>
                <w:bCs/>
                <w:sz w:val="20"/>
                <w:lang w:val="en-US"/>
              </w:rPr>
              <w:t>Series</w:t>
            </w:r>
          </w:p>
        </w:tc>
        <w:tc>
          <w:tcPr>
            <w:tcW w:w="8220" w:type="dxa"/>
            <w:tcBorders>
              <w:bottom w:val="nil"/>
            </w:tcBorders>
          </w:tcPr>
          <w:p w:rsidR="00AB2A68" w:rsidRPr="00036EE3" w:rsidRDefault="00AB2A68" w:rsidP="00F906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AB2A68" w:rsidRPr="004532F7" w:rsidTr="00F9066D">
        <w:tc>
          <w:tcPr>
            <w:tcW w:w="1140" w:type="dxa"/>
            <w:tcBorders>
              <w:top w:val="nil"/>
              <w:bottom w:val="nil"/>
            </w:tcBorders>
            <w:shd w:val="clear" w:color="auto" w:fill="auto"/>
          </w:tcPr>
          <w:p w:rsidR="00AB2A68" w:rsidRPr="004532F7" w:rsidRDefault="00AB2A68" w:rsidP="00F9066D">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AB2A68" w:rsidRPr="004532F7" w:rsidRDefault="00AB2A68" w:rsidP="00F906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AB2A68" w:rsidRPr="00CF208B" w:rsidTr="00F9066D">
        <w:tc>
          <w:tcPr>
            <w:tcW w:w="1140" w:type="dxa"/>
            <w:tcBorders>
              <w:top w:val="nil"/>
              <w:bottom w:val="nil"/>
            </w:tcBorders>
            <w:shd w:val="clear" w:color="auto" w:fill="auto"/>
          </w:tcPr>
          <w:p w:rsidR="00AB2A68" w:rsidRPr="006B22C3" w:rsidRDefault="00AB2A68" w:rsidP="00F9066D">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AB2A68" w:rsidRPr="006B22C3" w:rsidRDefault="00AB2A68" w:rsidP="00F906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AB2A68" w:rsidRPr="004532F7" w:rsidTr="00F9066D">
        <w:tc>
          <w:tcPr>
            <w:tcW w:w="1140" w:type="dxa"/>
            <w:tcBorders>
              <w:top w:val="nil"/>
              <w:bottom w:val="nil"/>
            </w:tcBorders>
            <w:shd w:val="clear" w:color="auto" w:fill="F3F3F3"/>
          </w:tcPr>
          <w:p w:rsidR="00AB2A68" w:rsidRPr="004532F7" w:rsidRDefault="00AB2A68" w:rsidP="00F9066D">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AB2A68" w:rsidRPr="004532F7" w:rsidRDefault="00AB2A68" w:rsidP="00F906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Pr>
                <w:bCs/>
                <w:color w:val="000080"/>
                <w:sz w:val="20"/>
              </w:rPr>
              <w:t>(</w:t>
            </w:r>
            <w:r w:rsidRPr="004532F7">
              <w:rPr>
                <w:bCs/>
                <w:color w:val="000080"/>
                <w:sz w:val="20"/>
              </w:rPr>
              <w:t>sonora</w:t>
            </w:r>
            <w:r>
              <w:rPr>
                <w:bCs/>
                <w:color w:val="000080"/>
                <w:sz w:val="20"/>
              </w:rPr>
              <w:t>)</w:t>
            </w:r>
          </w:p>
        </w:tc>
      </w:tr>
      <w:tr w:rsidR="00AB2A68" w:rsidRPr="00ED2695" w:rsidTr="00F9066D">
        <w:tc>
          <w:tcPr>
            <w:tcW w:w="1140" w:type="dxa"/>
            <w:tcBorders>
              <w:top w:val="nil"/>
            </w:tcBorders>
            <w:shd w:val="clear" w:color="auto" w:fill="auto"/>
          </w:tcPr>
          <w:p w:rsidR="00AB2A68" w:rsidRPr="00ED2695" w:rsidRDefault="00AB2A68" w:rsidP="00F9066D">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B2A68" w:rsidRPr="00021E8A" w:rsidRDefault="00AB2A68" w:rsidP="00F906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AB2A68" w:rsidRPr="00036EE3" w:rsidTr="00F9066D">
        <w:tc>
          <w:tcPr>
            <w:tcW w:w="1140" w:type="dxa"/>
            <w:tcBorders>
              <w:bottom w:val="nil"/>
            </w:tcBorders>
            <w:shd w:val="clear" w:color="auto" w:fill="auto"/>
          </w:tcPr>
          <w:p w:rsidR="00AB2A68" w:rsidRPr="00036EE3" w:rsidRDefault="00AB2A68" w:rsidP="00F9066D">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AB2A68" w:rsidRPr="00021E8A" w:rsidRDefault="00AB2A68" w:rsidP="00F906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AB2A68" w:rsidRPr="00CF208B" w:rsidTr="00F9066D">
        <w:tc>
          <w:tcPr>
            <w:tcW w:w="1140" w:type="dxa"/>
            <w:tcBorders>
              <w:top w:val="nil"/>
              <w:bottom w:val="nil"/>
            </w:tcBorders>
            <w:shd w:val="clear" w:color="auto" w:fill="auto"/>
          </w:tcPr>
          <w:p w:rsidR="00AB2A68" w:rsidRPr="0010336F" w:rsidRDefault="00AB2A68" w:rsidP="00F9066D">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AB2A68" w:rsidRPr="0010336F" w:rsidRDefault="00AB2A68" w:rsidP="00F906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AB2A68" w:rsidRPr="00CF208B" w:rsidTr="00F9066D">
        <w:tc>
          <w:tcPr>
            <w:tcW w:w="1140" w:type="dxa"/>
            <w:tcBorders>
              <w:top w:val="nil"/>
            </w:tcBorders>
          </w:tcPr>
          <w:p w:rsidR="00AB2A68" w:rsidRPr="00036EE3" w:rsidRDefault="00AB2A68" w:rsidP="00F9066D">
            <w:pPr>
              <w:spacing w:before="30" w:after="30"/>
              <w:ind w:left="57"/>
              <w:jc w:val="left"/>
              <w:rPr>
                <w:b/>
                <w:bCs/>
                <w:sz w:val="20"/>
                <w:lang w:val="fr-CH"/>
              </w:rPr>
            </w:pPr>
            <w:r w:rsidRPr="00036EE3">
              <w:rPr>
                <w:b/>
                <w:bCs/>
                <w:sz w:val="20"/>
                <w:lang w:val="fr-CH"/>
              </w:rPr>
              <w:t>P</w:t>
            </w:r>
          </w:p>
        </w:tc>
        <w:tc>
          <w:tcPr>
            <w:tcW w:w="8220" w:type="dxa"/>
            <w:tcBorders>
              <w:top w:val="nil"/>
            </w:tcBorders>
          </w:tcPr>
          <w:p w:rsidR="00AB2A68" w:rsidRPr="00021E8A" w:rsidRDefault="00AB2A68" w:rsidP="00F9066D">
            <w:pPr>
              <w:spacing w:before="30" w:after="30"/>
              <w:jc w:val="left"/>
              <w:rPr>
                <w:bCs/>
                <w:sz w:val="20"/>
                <w:lang w:val="es-ES_tradnl"/>
              </w:rPr>
            </w:pPr>
            <w:r w:rsidRPr="00021E8A">
              <w:rPr>
                <w:bCs/>
                <w:sz w:val="20"/>
                <w:lang w:val="es-ES_tradnl"/>
              </w:rPr>
              <w:t>Propagación de las ondas radioeléctricas</w:t>
            </w:r>
          </w:p>
        </w:tc>
      </w:tr>
      <w:tr w:rsidR="00AB2A68" w:rsidRPr="00036EE3" w:rsidTr="00F9066D">
        <w:tc>
          <w:tcPr>
            <w:tcW w:w="1140" w:type="dxa"/>
          </w:tcPr>
          <w:p w:rsidR="00AB2A68" w:rsidRPr="00036EE3" w:rsidRDefault="00AB2A68" w:rsidP="00F9066D">
            <w:pPr>
              <w:spacing w:before="30" w:after="30"/>
              <w:ind w:left="57"/>
              <w:jc w:val="left"/>
              <w:rPr>
                <w:b/>
                <w:bCs/>
                <w:sz w:val="20"/>
                <w:lang w:val="en-US"/>
              </w:rPr>
            </w:pPr>
            <w:r w:rsidRPr="00036EE3">
              <w:rPr>
                <w:b/>
                <w:bCs/>
                <w:sz w:val="20"/>
                <w:lang w:val="en-US"/>
              </w:rPr>
              <w:t>RA</w:t>
            </w:r>
          </w:p>
        </w:tc>
        <w:tc>
          <w:tcPr>
            <w:tcW w:w="8220" w:type="dxa"/>
          </w:tcPr>
          <w:p w:rsidR="00AB2A68" w:rsidRPr="00021E8A" w:rsidRDefault="00AB2A68" w:rsidP="00F906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AB2A68" w:rsidRPr="00CF208B" w:rsidTr="00F9066D">
        <w:tc>
          <w:tcPr>
            <w:tcW w:w="1140" w:type="dxa"/>
          </w:tcPr>
          <w:p w:rsidR="00AB2A68" w:rsidRPr="00036EE3" w:rsidRDefault="00AB2A68" w:rsidP="00F9066D">
            <w:pPr>
              <w:spacing w:before="30" w:after="30"/>
              <w:ind w:left="57"/>
              <w:jc w:val="left"/>
              <w:rPr>
                <w:b/>
                <w:bCs/>
                <w:sz w:val="20"/>
                <w:lang w:val="en-US"/>
              </w:rPr>
            </w:pPr>
            <w:r w:rsidRPr="00036EE3">
              <w:rPr>
                <w:b/>
                <w:bCs/>
                <w:sz w:val="20"/>
                <w:lang w:val="en-US"/>
              </w:rPr>
              <w:t>RS</w:t>
            </w:r>
          </w:p>
        </w:tc>
        <w:tc>
          <w:tcPr>
            <w:tcW w:w="8220" w:type="dxa"/>
          </w:tcPr>
          <w:p w:rsidR="00AB2A68" w:rsidRPr="00021E8A" w:rsidRDefault="00AB2A68" w:rsidP="00F906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AB2A68" w:rsidRPr="00036EE3" w:rsidTr="00F9066D">
        <w:tc>
          <w:tcPr>
            <w:tcW w:w="1140" w:type="dxa"/>
          </w:tcPr>
          <w:p w:rsidR="00AB2A68" w:rsidRPr="00036EE3" w:rsidRDefault="00AB2A68" w:rsidP="00F9066D">
            <w:pPr>
              <w:spacing w:before="30" w:after="30"/>
              <w:ind w:left="57"/>
              <w:jc w:val="left"/>
              <w:rPr>
                <w:b/>
                <w:bCs/>
                <w:sz w:val="20"/>
                <w:lang w:val="en-US"/>
              </w:rPr>
            </w:pPr>
            <w:r w:rsidRPr="00036EE3">
              <w:rPr>
                <w:b/>
                <w:bCs/>
                <w:sz w:val="20"/>
                <w:lang w:val="en-US"/>
              </w:rPr>
              <w:t>S</w:t>
            </w:r>
          </w:p>
        </w:tc>
        <w:tc>
          <w:tcPr>
            <w:tcW w:w="8220" w:type="dxa"/>
          </w:tcPr>
          <w:p w:rsidR="00AB2A68" w:rsidRPr="00021E8A" w:rsidRDefault="00AB2A68" w:rsidP="00F9066D">
            <w:pPr>
              <w:spacing w:before="30" w:after="30"/>
              <w:jc w:val="left"/>
              <w:rPr>
                <w:bCs/>
                <w:sz w:val="20"/>
                <w:lang w:val="en-US"/>
              </w:rPr>
            </w:pPr>
            <w:r w:rsidRPr="00021E8A">
              <w:rPr>
                <w:bCs/>
                <w:sz w:val="20"/>
              </w:rPr>
              <w:t>Servicio fijo por satélite</w:t>
            </w:r>
          </w:p>
        </w:tc>
      </w:tr>
      <w:tr w:rsidR="00AB2A68" w:rsidRPr="00036EE3" w:rsidTr="00F9066D">
        <w:tc>
          <w:tcPr>
            <w:tcW w:w="1140" w:type="dxa"/>
          </w:tcPr>
          <w:p w:rsidR="00AB2A68" w:rsidRPr="00036EE3" w:rsidRDefault="00AB2A68" w:rsidP="00F9066D">
            <w:pPr>
              <w:spacing w:before="30" w:after="30"/>
              <w:ind w:left="57"/>
              <w:jc w:val="left"/>
              <w:rPr>
                <w:b/>
                <w:bCs/>
                <w:sz w:val="20"/>
                <w:lang w:val="en-US"/>
              </w:rPr>
            </w:pPr>
            <w:r w:rsidRPr="00036EE3">
              <w:rPr>
                <w:b/>
                <w:bCs/>
                <w:sz w:val="20"/>
                <w:lang w:val="en-US"/>
              </w:rPr>
              <w:t>SA</w:t>
            </w:r>
          </w:p>
        </w:tc>
        <w:tc>
          <w:tcPr>
            <w:tcW w:w="8220" w:type="dxa"/>
          </w:tcPr>
          <w:p w:rsidR="00AB2A68" w:rsidRPr="00021E8A" w:rsidRDefault="00AB2A68" w:rsidP="00F9066D">
            <w:pPr>
              <w:spacing w:before="30" w:after="30"/>
              <w:jc w:val="left"/>
              <w:rPr>
                <w:bCs/>
                <w:sz w:val="20"/>
                <w:lang w:val="en-US"/>
              </w:rPr>
            </w:pPr>
            <w:r w:rsidRPr="00021E8A">
              <w:rPr>
                <w:bCs/>
                <w:sz w:val="20"/>
              </w:rPr>
              <w:t>Aplicaciones espaciales y meteorología</w:t>
            </w:r>
          </w:p>
        </w:tc>
      </w:tr>
      <w:tr w:rsidR="00AB2A68" w:rsidRPr="00CF208B" w:rsidTr="00F9066D">
        <w:tc>
          <w:tcPr>
            <w:tcW w:w="1140" w:type="dxa"/>
          </w:tcPr>
          <w:p w:rsidR="00AB2A68" w:rsidRPr="00036EE3" w:rsidRDefault="00AB2A68" w:rsidP="00F9066D">
            <w:pPr>
              <w:spacing w:before="30" w:after="30"/>
              <w:ind w:left="57"/>
              <w:jc w:val="left"/>
              <w:rPr>
                <w:b/>
                <w:bCs/>
                <w:sz w:val="20"/>
                <w:lang w:val="en-US"/>
              </w:rPr>
            </w:pPr>
            <w:r w:rsidRPr="00036EE3">
              <w:rPr>
                <w:b/>
                <w:bCs/>
                <w:sz w:val="20"/>
                <w:lang w:val="en-US"/>
              </w:rPr>
              <w:t>SF</w:t>
            </w:r>
          </w:p>
        </w:tc>
        <w:tc>
          <w:tcPr>
            <w:tcW w:w="8220" w:type="dxa"/>
          </w:tcPr>
          <w:p w:rsidR="00AB2A68" w:rsidRPr="00021E8A" w:rsidRDefault="00AB2A68" w:rsidP="00F9066D">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AB2A68" w:rsidRPr="00036EE3" w:rsidTr="00F9066D">
        <w:tc>
          <w:tcPr>
            <w:tcW w:w="1140" w:type="dxa"/>
            <w:shd w:val="clear" w:color="auto" w:fill="auto"/>
          </w:tcPr>
          <w:p w:rsidR="00AB2A68" w:rsidRPr="001240BC" w:rsidRDefault="00AB2A68" w:rsidP="00F9066D">
            <w:pPr>
              <w:spacing w:before="30" w:after="30"/>
              <w:ind w:left="57"/>
              <w:jc w:val="left"/>
              <w:rPr>
                <w:b/>
                <w:bCs/>
                <w:sz w:val="20"/>
                <w:lang w:val="en-US"/>
              </w:rPr>
            </w:pPr>
            <w:r w:rsidRPr="001240BC">
              <w:rPr>
                <w:b/>
                <w:bCs/>
                <w:sz w:val="20"/>
                <w:lang w:val="en-US"/>
              </w:rPr>
              <w:t>SM</w:t>
            </w:r>
          </w:p>
        </w:tc>
        <w:tc>
          <w:tcPr>
            <w:tcW w:w="8220" w:type="dxa"/>
            <w:shd w:val="clear" w:color="auto" w:fill="auto"/>
          </w:tcPr>
          <w:p w:rsidR="00AB2A68" w:rsidRPr="001240BC" w:rsidRDefault="00AB2A68" w:rsidP="00F9066D">
            <w:pPr>
              <w:spacing w:before="30" w:after="30"/>
              <w:jc w:val="left"/>
              <w:rPr>
                <w:sz w:val="20"/>
                <w:lang w:val="en-US"/>
              </w:rPr>
            </w:pPr>
            <w:r w:rsidRPr="001240BC">
              <w:rPr>
                <w:sz w:val="20"/>
              </w:rPr>
              <w:t>Gestión del espectro</w:t>
            </w:r>
          </w:p>
        </w:tc>
      </w:tr>
      <w:tr w:rsidR="00AB2A68" w:rsidRPr="00036EE3" w:rsidTr="00F9066D">
        <w:tc>
          <w:tcPr>
            <w:tcW w:w="1140" w:type="dxa"/>
          </w:tcPr>
          <w:p w:rsidR="00AB2A68" w:rsidRPr="00036EE3" w:rsidRDefault="00AB2A68" w:rsidP="00F9066D">
            <w:pPr>
              <w:spacing w:before="30" w:after="30"/>
              <w:ind w:left="57"/>
              <w:jc w:val="left"/>
              <w:rPr>
                <w:b/>
                <w:bCs/>
                <w:sz w:val="20"/>
                <w:lang w:val="en-US"/>
              </w:rPr>
            </w:pPr>
            <w:r w:rsidRPr="00036EE3">
              <w:rPr>
                <w:b/>
                <w:bCs/>
                <w:sz w:val="20"/>
                <w:lang w:val="en-US"/>
              </w:rPr>
              <w:t>SNG</w:t>
            </w:r>
          </w:p>
        </w:tc>
        <w:tc>
          <w:tcPr>
            <w:tcW w:w="8220" w:type="dxa"/>
          </w:tcPr>
          <w:p w:rsidR="00AB2A68" w:rsidRPr="00021E8A" w:rsidRDefault="00AB2A68" w:rsidP="00F9066D">
            <w:pPr>
              <w:spacing w:before="30" w:after="30"/>
              <w:jc w:val="left"/>
              <w:rPr>
                <w:bCs/>
                <w:sz w:val="20"/>
                <w:lang w:val="en-US"/>
              </w:rPr>
            </w:pPr>
            <w:r w:rsidRPr="00021E8A">
              <w:rPr>
                <w:bCs/>
                <w:sz w:val="20"/>
              </w:rPr>
              <w:t>Periodismo electrónico por satélite</w:t>
            </w:r>
          </w:p>
        </w:tc>
      </w:tr>
      <w:tr w:rsidR="00AB2A68" w:rsidRPr="00CF208B" w:rsidTr="00F9066D">
        <w:tc>
          <w:tcPr>
            <w:tcW w:w="1140" w:type="dxa"/>
          </w:tcPr>
          <w:p w:rsidR="00AB2A68" w:rsidRPr="00036EE3" w:rsidRDefault="00AB2A68" w:rsidP="00F9066D">
            <w:pPr>
              <w:spacing w:before="30" w:after="30"/>
              <w:ind w:left="57"/>
              <w:jc w:val="left"/>
              <w:rPr>
                <w:b/>
                <w:bCs/>
                <w:sz w:val="20"/>
                <w:lang w:val="en-US"/>
              </w:rPr>
            </w:pPr>
            <w:r w:rsidRPr="00036EE3">
              <w:rPr>
                <w:b/>
                <w:bCs/>
                <w:sz w:val="20"/>
                <w:lang w:val="en-US"/>
              </w:rPr>
              <w:t>TF</w:t>
            </w:r>
          </w:p>
        </w:tc>
        <w:tc>
          <w:tcPr>
            <w:tcW w:w="8220" w:type="dxa"/>
          </w:tcPr>
          <w:p w:rsidR="00AB2A68" w:rsidRPr="00021E8A" w:rsidRDefault="00AB2A68" w:rsidP="00F9066D">
            <w:pPr>
              <w:spacing w:before="30" w:after="30"/>
              <w:jc w:val="left"/>
              <w:rPr>
                <w:bCs/>
                <w:sz w:val="20"/>
                <w:lang w:val="es-ES_tradnl"/>
              </w:rPr>
            </w:pPr>
            <w:r w:rsidRPr="00021E8A">
              <w:rPr>
                <w:bCs/>
                <w:sz w:val="20"/>
                <w:lang w:val="es-ES_tradnl"/>
              </w:rPr>
              <w:t>Emisiones de frecuencias patrón y señales horarias</w:t>
            </w:r>
          </w:p>
        </w:tc>
      </w:tr>
      <w:tr w:rsidR="00AB2A68" w:rsidRPr="00036EE3" w:rsidTr="00F9066D">
        <w:tc>
          <w:tcPr>
            <w:tcW w:w="1140" w:type="dxa"/>
          </w:tcPr>
          <w:p w:rsidR="00AB2A68" w:rsidRPr="00036EE3" w:rsidRDefault="00AB2A68" w:rsidP="00F9066D">
            <w:pPr>
              <w:spacing w:before="30" w:after="30"/>
              <w:ind w:left="57"/>
              <w:jc w:val="left"/>
              <w:rPr>
                <w:b/>
                <w:bCs/>
                <w:sz w:val="20"/>
                <w:lang w:val="en-US"/>
              </w:rPr>
            </w:pPr>
            <w:r w:rsidRPr="00036EE3">
              <w:rPr>
                <w:b/>
                <w:bCs/>
                <w:sz w:val="20"/>
                <w:lang w:val="en-US"/>
              </w:rPr>
              <w:t>V</w:t>
            </w:r>
          </w:p>
        </w:tc>
        <w:tc>
          <w:tcPr>
            <w:tcW w:w="8220" w:type="dxa"/>
          </w:tcPr>
          <w:p w:rsidR="00AB2A68" w:rsidRPr="00021E8A" w:rsidRDefault="00AB2A68" w:rsidP="00F9066D">
            <w:pPr>
              <w:spacing w:before="30" w:after="140"/>
              <w:jc w:val="left"/>
              <w:rPr>
                <w:bCs/>
                <w:sz w:val="20"/>
                <w:lang w:val="en-US"/>
              </w:rPr>
            </w:pPr>
            <w:r w:rsidRPr="00021E8A">
              <w:rPr>
                <w:bCs/>
                <w:sz w:val="20"/>
              </w:rPr>
              <w:t>Vocabulario y cuestiones afines</w:t>
            </w:r>
          </w:p>
        </w:tc>
      </w:tr>
    </w:tbl>
    <w:p w:rsidR="00AB2A68" w:rsidRPr="00036EE3" w:rsidRDefault="00AB2A68" w:rsidP="00AB2A6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B2A68" w:rsidTr="00F9066D">
        <w:tc>
          <w:tcPr>
            <w:tcW w:w="720" w:type="dxa"/>
          </w:tcPr>
          <w:p w:rsidR="00AB2A68" w:rsidRDefault="00AB2A68" w:rsidP="00F9066D">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B2A68" w:rsidRPr="00CF208B" w:rsidTr="00F9066D">
        <w:tc>
          <w:tcPr>
            <w:tcW w:w="9360" w:type="dxa"/>
          </w:tcPr>
          <w:p w:rsidR="00AB2A68" w:rsidRPr="00763D08" w:rsidRDefault="00AB2A68" w:rsidP="00F9066D">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AB2A68" w:rsidRPr="00763D08" w:rsidRDefault="00AB2A68" w:rsidP="00AB2A68">
      <w:pPr>
        <w:spacing w:before="0"/>
        <w:jc w:val="center"/>
        <w:rPr>
          <w:sz w:val="22"/>
          <w:lang w:val="es-ES_tradnl"/>
        </w:rPr>
      </w:pPr>
    </w:p>
    <w:p w:rsidR="00AB2A68" w:rsidRPr="00763D08" w:rsidRDefault="00AB2A68" w:rsidP="00AB2A68">
      <w:pPr>
        <w:spacing w:before="60"/>
        <w:jc w:val="right"/>
        <w:rPr>
          <w:i/>
          <w:iCs/>
          <w:sz w:val="20"/>
          <w:lang w:val="es-ES_tradnl"/>
        </w:rPr>
      </w:pPr>
      <w:r w:rsidRPr="00763D08">
        <w:rPr>
          <w:i/>
          <w:iCs/>
          <w:sz w:val="20"/>
          <w:lang w:val="es-ES_tradnl"/>
        </w:rPr>
        <w:t>Publicación electrónica</w:t>
      </w:r>
    </w:p>
    <w:p w:rsidR="00AB2A68" w:rsidRPr="00763D08" w:rsidRDefault="00AB2A68" w:rsidP="00AB2A68">
      <w:pPr>
        <w:spacing w:before="0" w:after="40"/>
        <w:jc w:val="right"/>
        <w:rPr>
          <w:sz w:val="20"/>
          <w:lang w:val="es-ES_tradnl"/>
        </w:rPr>
      </w:pPr>
      <w:r w:rsidRPr="00763D08">
        <w:rPr>
          <w:sz w:val="20"/>
          <w:lang w:val="es-ES_tradnl"/>
        </w:rPr>
        <w:t>Ginebra, 20</w:t>
      </w:r>
      <w:r>
        <w:rPr>
          <w:sz w:val="20"/>
          <w:lang w:val="es-ES_tradnl"/>
        </w:rPr>
        <w:t>13</w:t>
      </w:r>
    </w:p>
    <w:p w:rsidR="00AB2A68" w:rsidRPr="00763D08" w:rsidRDefault="00AB2A68" w:rsidP="00AB2A68">
      <w:pPr>
        <w:spacing w:before="0"/>
        <w:jc w:val="center"/>
        <w:rPr>
          <w:sz w:val="22"/>
          <w:lang w:val="es-ES_tradnl"/>
        </w:rPr>
      </w:pPr>
    </w:p>
    <w:p w:rsidR="00AB2A68" w:rsidRPr="00763D08" w:rsidRDefault="00AB2A68" w:rsidP="00AB2A6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13</w:t>
      </w:r>
    </w:p>
    <w:p w:rsidR="00AB2A68" w:rsidRPr="006C718C" w:rsidRDefault="00AB2A68" w:rsidP="00AB2A6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AB2A68" w:rsidRPr="006C718C" w:rsidRDefault="00AB2A68" w:rsidP="00AB2A68">
      <w:pPr>
        <w:spacing w:before="160"/>
        <w:rPr>
          <w:i/>
          <w:sz w:val="20"/>
          <w:highlight w:val="yellow"/>
          <w:lang w:val="es-ES_tradnl"/>
        </w:rPr>
        <w:sectPr w:rsidR="00AB2A68"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AB2A68" w:rsidRPr="0010336F" w:rsidRDefault="00AB2A68" w:rsidP="00AB2A68">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2032</w:t>
      </w:r>
    </w:p>
    <w:p w:rsidR="00AB2A68" w:rsidRPr="00F24532" w:rsidRDefault="00AB2A68" w:rsidP="00AB2A68">
      <w:pPr>
        <w:pStyle w:val="Rectitle"/>
      </w:pPr>
      <w:r w:rsidRPr="00F24532">
        <w:t xml:space="preserve">Sincronización del reloj de muestreo de audio digital </w:t>
      </w:r>
      <w:r>
        <w:br/>
      </w:r>
      <w:r w:rsidRPr="00F24532">
        <w:t>a referencias</w:t>
      </w:r>
      <w:r>
        <w:t xml:space="preserve"> </w:t>
      </w:r>
      <w:r w:rsidRPr="00F24532">
        <w:t>de vídeo</w:t>
      </w:r>
    </w:p>
    <w:p w:rsidR="00AB2A68" w:rsidRPr="00520167" w:rsidRDefault="00AB2A68" w:rsidP="00AB2A68">
      <w:pPr>
        <w:pStyle w:val="Blanc"/>
        <w:rPr>
          <w:lang w:val="es-ES"/>
        </w:rPr>
      </w:pPr>
    </w:p>
    <w:p w:rsidR="00AB2A68" w:rsidRPr="00520167" w:rsidRDefault="00AB2A68" w:rsidP="00AB2A68">
      <w:pPr>
        <w:pStyle w:val="Recdate"/>
      </w:pPr>
      <w:r>
        <w:t>(2013</w:t>
      </w:r>
      <w:r w:rsidRPr="00520167">
        <w:t>)</w:t>
      </w:r>
    </w:p>
    <w:p w:rsidR="00AB2A68" w:rsidRPr="00520167" w:rsidRDefault="00AB2A68" w:rsidP="00AB2A68">
      <w:pPr>
        <w:pStyle w:val="Blanc"/>
        <w:rPr>
          <w:lang w:val="es-ES"/>
        </w:rPr>
      </w:pPr>
    </w:p>
    <w:p w:rsidR="00AB2A68" w:rsidRDefault="00AB2A68" w:rsidP="00AB2A68">
      <w:pPr>
        <w:pStyle w:val="HeadingSum"/>
      </w:pPr>
      <w:r>
        <w:t>Cometido</w:t>
      </w:r>
    </w:p>
    <w:p w:rsidR="00AB2A68" w:rsidRPr="00D03BC8" w:rsidRDefault="00AB2A68" w:rsidP="00AB2A68">
      <w:pPr>
        <w:pStyle w:val="Summary"/>
        <w:spacing w:after="0"/>
        <w:rPr>
          <w:lang w:val="en-US"/>
        </w:rPr>
      </w:pPr>
      <w:r w:rsidRPr="00260A15">
        <w:t>Esta Recomendación proporciona métodos para la sincronización de equipos de audio digital interconectados y aborda la sincronización de los relojes de muestreo de audio con las señales de referencia de vídeo.</w:t>
      </w:r>
    </w:p>
    <w:p w:rsidR="00AB2A68" w:rsidRPr="00D03BC8" w:rsidRDefault="00AB2A68" w:rsidP="00AB2A68">
      <w:pPr>
        <w:pStyle w:val="Summary"/>
        <w:spacing w:after="0"/>
        <w:rPr>
          <w:lang w:val="en-US"/>
        </w:rPr>
      </w:pPr>
      <w:r w:rsidRPr="00260A15">
        <w:t>La sincronización de las señales de audio digitales es una función necesaria para el intercambio de señales entre los equipos. El objetivo de la sincronización es fundamentalmente alinear en el tiempo los relojes de muestreo en las fuentes de señal de audio digital y alinearlos con las tramas/campos de vídeo.</w:t>
      </w:r>
    </w:p>
    <w:p w:rsidR="00AB2A68" w:rsidRPr="00D03BC8" w:rsidRDefault="00AB2A68" w:rsidP="00AB2A68">
      <w:pPr>
        <w:pStyle w:val="Summary"/>
        <w:rPr>
          <w:lang w:val="en-US"/>
        </w:rPr>
      </w:pPr>
      <w:r w:rsidRPr="00260A15">
        <w:t>Las disposiciones utilizan la norma de interfaz de audio digital de dos canales para uso profesional, Recomendación UIT-R BS.647</w:t>
      </w:r>
      <w:r>
        <w:t>.</w:t>
      </w:r>
    </w:p>
    <w:p w:rsidR="00AB2A68" w:rsidRPr="00D53F41" w:rsidRDefault="00AB2A68" w:rsidP="00AB2A68">
      <w:pPr>
        <w:pStyle w:val="Normalaftertitle"/>
      </w:pPr>
      <w:r>
        <w:rPr>
          <w:lang w:val="es-ES_tradnl"/>
        </w:rPr>
        <w:t>La asamblea de Radiocomunicaciones de la UIT,</w:t>
      </w:r>
    </w:p>
    <w:p w:rsidR="00AB2A68" w:rsidRDefault="00AB2A68" w:rsidP="00AB2A68">
      <w:pPr>
        <w:pStyle w:val="Call"/>
        <w:rPr>
          <w:lang w:val="es-ES_tradnl"/>
        </w:rPr>
      </w:pPr>
      <w:r>
        <w:rPr>
          <w:lang w:val="es-ES_tradnl"/>
        </w:rPr>
        <w:t>considerando</w:t>
      </w:r>
    </w:p>
    <w:p w:rsidR="00AB2A68" w:rsidRDefault="00AB2A68" w:rsidP="00AB2A68">
      <w:pPr>
        <w:rPr>
          <w:lang w:val="es-ES_tradnl"/>
        </w:rPr>
      </w:pPr>
      <w:r>
        <w:rPr>
          <w:lang w:val="es-ES_tradnl"/>
        </w:rPr>
        <w:t>a)</w:t>
      </w:r>
      <w:r>
        <w:rPr>
          <w:lang w:val="es-ES_tradnl"/>
        </w:rPr>
        <w:tab/>
        <w:t>que las implementaciones de audio digital se han extendido ampliamente;</w:t>
      </w:r>
    </w:p>
    <w:p w:rsidR="00AB2A68" w:rsidRDefault="00AB2A68" w:rsidP="00AB2A68">
      <w:pPr>
        <w:rPr>
          <w:lang w:val="es-ES_tradnl"/>
        </w:rPr>
      </w:pPr>
      <w:r>
        <w:rPr>
          <w:lang w:val="es-ES_tradnl"/>
        </w:rPr>
        <w:t>b)</w:t>
      </w:r>
      <w:r>
        <w:rPr>
          <w:lang w:val="es-ES_tradnl"/>
        </w:rPr>
        <w:tab/>
        <w:t>que convendría que todos los equipos de audio digital utilicen la misma señal de sincronización;</w:t>
      </w:r>
    </w:p>
    <w:p w:rsidR="00AB2A68" w:rsidRDefault="00AB2A68" w:rsidP="00AB2A68">
      <w:pPr>
        <w:rPr>
          <w:lang w:val="es-ES_tradnl"/>
        </w:rPr>
      </w:pPr>
      <w:r>
        <w:rPr>
          <w:lang w:val="es-ES_tradnl"/>
        </w:rPr>
        <w:t>c)</w:t>
      </w:r>
      <w:r>
        <w:rPr>
          <w:lang w:val="es-ES_tradnl"/>
        </w:rPr>
        <w:tab/>
        <w:t>que la Recomendación UIT-R BS.647 exige la utilización de una señal de sincronización de vídeo;</w:t>
      </w:r>
    </w:p>
    <w:p w:rsidR="00AB2A68" w:rsidRDefault="00AB2A68" w:rsidP="00AB2A68">
      <w:pPr>
        <w:rPr>
          <w:lang w:val="es-ES_tradnl"/>
        </w:rPr>
      </w:pPr>
      <w:r>
        <w:rPr>
          <w:lang w:val="es-ES_tradnl"/>
        </w:rPr>
        <w:t>d)</w:t>
      </w:r>
      <w:r>
        <w:rPr>
          <w:lang w:val="es-ES_tradnl"/>
        </w:rPr>
        <w:tab/>
        <w:t>que debe emplearse una señal de sincronización común para los equipos de audio y vídeo digital;</w:t>
      </w:r>
    </w:p>
    <w:p w:rsidR="00AB2A68" w:rsidRDefault="00AB2A68" w:rsidP="00AB2A68">
      <w:pPr>
        <w:rPr>
          <w:lang w:val="es-ES_tradnl"/>
        </w:rPr>
      </w:pPr>
      <w:r>
        <w:rPr>
          <w:lang w:val="es-ES_tradnl"/>
        </w:rPr>
        <w:t>e)</w:t>
      </w:r>
      <w:r>
        <w:rPr>
          <w:lang w:val="es-ES_tradnl"/>
        </w:rPr>
        <w:tab/>
        <w:t>que para aplicaciones no relacionadas con TV-vídeo, sigue siendo necesaria una señal de referencia para aplicaciones de múltiples fuentes,</w:t>
      </w:r>
    </w:p>
    <w:p w:rsidR="00AB2A68" w:rsidRDefault="00AB2A68" w:rsidP="00AB2A68">
      <w:pPr>
        <w:pStyle w:val="Call"/>
        <w:rPr>
          <w:lang w:val="es-ES_tradnl"/>
        </w:rPr>
      </w:pPr>
      <w:r>
        <w:rPr>
          <w:lang w:val="es-ES_tradnl"/>
        </w:rPr>
        <w:t>recomienda</w:t>
      </w:r>
    </w:p>
    <w:p w:rsidR="00AB2A68" w:rsidRDefault="00AB2A68" w:rsidP="00AB2A68">
      <w:pPr>
        <w:rPr>
          <w:lang w:val="es-ES_tradnl"/>
        </w:rPr>
      </w:pPr>
      <w:r w:rsidRPr="00D53F41">
        <w:rPr>
          <w:b/>
          <w:bCs/>
          <w:lang w:val="es-ES_tradnl"/>
        </w:rPr>
        <w:t>1</w:t>
      </w:r>
      <w:r>
        <w:rPr>
          <w:lang w:val="es-ES_tradnl"/>
        </w:rPr>
        <w:tab/>
        <w:t>que se utilice la sincronización del reloj de muestreo de audio digital a referencias de vídeo definida en el Anexo 1;</w:t>
      </w:r>
    </w:p>
    <w:p w:rsidR="00AB2A68" w:rsidRDefault="00AB2A68" w:rsidP="00AB2A68">
      <w:pPr>
        <w:rPr>
          <w:lang w:val="es-ES_tradnl"/>
        </w:rPr>
      </w:pPr>
      <w:r w:rsidRPr="00D53F41">
        <w:rPr>
          <w:b/>
          <w:bCs/>
          <w:lang w:val="es-ES_tradnl"/>
        </w:rPr>
        <w:t>2</w:t>
      </w:r>
      <w:r>
        <w:rPr>
          <w:lang w:val="es-ES_tradnl"/>
        </w:rPr>
        <w:tab/>
      </w:r>
      <w:r w:rsidRPr="00520167">
        <w:t>que el cumplimiento de lo dispuesto por esta Recomendación sea voluntario. Sin embargo, la Recomendación puede contener ciertas disposiciones obligatorias (por ejemplo, para garantizar la interopera</w:t>
      </w:r>
      <w:r>
        <w:t>bilidad o la aplicabilidad) y su</w:t>
      </w:r>
      <w:r w:rsidRPr="00520167">
        <w:t xml:space="preserve"> cumplimiento se logra cuando estas disposiciones obligatorias se satisfacen. La redacción del texto en el sentido de obligatoriedad y sus equivalentes negativos se emplea para expresar los requisitos.</w:t>
      </w:r>
    </w:p>
    <w:p w:rsidR="00AB2A68" w:rsidRDefault="00AB2A68" w:rsidP="00AB2A68">
      <w:pPr>
        <w:pStyle w:val="AnnexNoTitle"/>
        <w:rPr>
          <w:lang w:val="es-ES_tradnl"/>
        </w:rPr>
      </w:pPr>
      <w:r>
        <w:rPr>
          <w:lang w:val="es-ES_tradnl"/>
        </w:rPr>
        <w:lastRenderedPageBreak/>
        <w:t>Anexo 1</w:t>
      </w:r>
    </w:p>
    <w:p w:rsidR="00AB2A68" w:rsidRDefault="00AB2A68" w:rsidP="00AB2A68">
      <w:pPr>
        <w:pStyle w:val="Normalaftertitle"/>
        <w:keepNext/>
        <w:keepLines/>
        <w:rPr>
          <w:lang w:val="es-ES_tradnl"/>
        </w:rPr>
      </w:pPr>
      <w:r>
        <w:rPr>
          <w:lang w:val="es-ES_tradnl"/>
        </w:rPr>
        <w:t>El área principal de aplicación es la interconexión y la sincronización digital de los equipos de audio digital contenidos en el entorno de producción y adquisición. Otro objetivo importante es la definición de un medio para sincronizar los relojes de muestreo de audio digital a una señal de referencia de vídeo.</w:t>
      </w:r>
    </w:p>
    <w:p w:rsidR="00AB2A68" w:rsidRDefault="00AB2A68" w:rsidP="00AB2A68">
      <w:pPr>
        <w:pStyle w:val="Heading1"/>
        <w:rPr>
          <w:lang w:val="es-ES_tradnl"/>
        </w:rPr>
      </w:pPr>
      <w:r>
        <w:rPr>
          <w:lang w:val="es-ES_tradnl"/>
        </w:rPr>
        <w:t>1</w:t>
      </w:r>
      <w:r>
        <w:rPr>
          <w:lang w:val="es-ES_tradnl"/>
        </w:rPr>
        <w:tab/>
        <w:t>Modos de funcionamiento</w:t>
      </w:r>
    </w:p>
    <w:p w:rsidR="00AB2A68" w:rsidRDefault="00AB2A68" w:rsidP="00AB2A68">
      <w:pPr>
        <w:pStyle w:val="Heading2"/>
        <w:rPr>
          <w:lang w:val="es-ES_tradnl"/>
        </w:rPr>
      </w:pPr>
      <w:r>
        <w:rPr>
          <w:lang w:val="es-ES_tradnl"/>
        </w:rPr>
        <w:t>1.1</w:t>
      </w:r>
      <w:r>
        <w:rPr>
          <w:lang w:val="es-ES_tradnl"/>
        </w:rPr>
        <w:tab/>
        <w:t>Consideraciones generales</w:t>
      </w:r>
    </w:p>
    <w:p w:rsidR="00AB2A68" w:rsidRDefault="00AB2A68" w:rsidP="00EA4045">
      <w:pPr>
        <w:rPr>
          <w:lang w:val="es-ES_tradnl"/>
        </w:rPr>
      </w:pPr>
      <w:r>
        <w:rPr>
          <w:lang w:val="es-ES_tradnl"/>
        </w:rPr>
        <w:t>Los equipos deben proporcionar la capacidad de enganchar un generador de reloj de muestreo interno a una señal de referencia de audio digital (</w:t>
      </w:r>
      <w:r w:rsidRPr="00EA4045">
        <w:rPr>
          <w:i/>
          <w:iCs/>
          <w:lang w:val="es-ES_tradnl"/>
        </w:rPr>
        <w:t xml:space="preserve">Digital </w:t>
      </w:r>
      <w:r w:rsidR="000D0C4B" w:rsidRPr="00EA4045">
        <w:rPr>
          <w:i/>
          <w:iCs/>
          <w:lang w:val="es-ES_tradnl"/>
        </w:rPr>
        <w:t>Audio Reference Signal</w:t>
      </w:r>
      <w:r w:rsidR="00EA4045">
        <w:rPr>
          <w:lang w:val="es-ES_tradnl"/>
        </w:rPr>
        <w:t xml:space="preserve"> </w:t>
      </w:r>
      <w:r>
        <w:rPr>
          <w:lang w:val="es-ES_tradnl"/>
        </w:rPr>
        <w:t>– DARS).</w:t>
      </w:r>
    </w:p>
    <w:p w:rsidR="00AB2A68" w:rsidRDefault="00AB2A68" w:rsidP="00AB2A68">
      <w:pPr>
        <w:pStyle w:val="Heading2"/>
        <w:rPr>
          <w:lang w:val="es-ES_tradnl"/>
        </w:rPr>
      </w:pPr>
      <w:r>
        <w:rPr>
          <w:lang w:val="es-ES_tradnl"/>
        </w:rPr>
        <w:t>1.2</w:t>
      </w:r>
      <w:r>
        <w:rPr>
          <w:lang w:val="es-ES_tradnl"/>
        </w:rPr>
        <w:tab/>
      </w:r>
      <w:r w:rsidR="000526C6" w:rsidRPr="00A1241D">
        <w:rPr>
          <w:lang w:val="es-ES_tradnl"/>
        </w:rPr>
        <w:t>Mé</w:t>
      </w:r>
      <w:r w:rsidR="000526C6">
        <w:rPr>
          <w:lang w:val="es-ES_tradnl"/>
        </w:rPr>
        <w:t xml:space="preserve">todos </w:t>
      </w:r>
      <w:r>
        <w:rPr>
          <w:lang w:val="es-ES_tradnl"/>
        </w:rPr>
        <w:t>de sincronización</w:t>
      </w:r>
    </w:p>
    <w:p w:rsidR="00AB2A68" w:rsidRDefault="00AB2A68" w:rsidP="00AB2A68">
      <w:pPr>
        <w:rPr>
          <w:lang w:val="es-ES_tradnl"/>
        </w:rPr>
      </w:pPr>
      <w:r w:rsidRPr="00A1241D">
        <w:t>Los</w:t>
      </w:r>
      <w:r>
        <w:rPr>
          <w:lang w:val="es-ES_tradnl"/>
        </w:rPr>
        <w:t xml:space="preserve"> equipos deben sincronizarse por uno de los tres métodos.</w:t>
      </w:r>
    </w:p>
    <w:p w:rsidR="00AB2A68" w:rsidRDefault="00AB2A68" w:rsidP="00AB2A68">
      <w:pPr>
        <w:pStyle w:val="Note"/>
        <w:rPr>
          <w:lang w:val="es-ES_tradnl"/>
        </w:rPr>
      </w:pPr>
      <w:r>
        <w:rPr>
          <w:lang w:val="es-ES_tradnl"/>
        </w:rPr>
        <w:t>NOTA – En algunas circunstancias puede usarse un «reloj de la palabra» de forma similar a la DARS. Este reloj de la palabra no forma parte de la presente Recomendación, pero se describe en el Apéndice 2.</w:t>
      </w:r>
    </w:p>
    <w:p w:rsidR="00AB2A68" w:rsidRDefault="00AB2A68" w:rsidP="00AB2A68">
      <w:pPr>
        <w:pStyle w:val="Heading3"/>
        <w:rPr>
          <w:lang w:val="es-ES_tradnl"/>
        </w:rPr>
      </w:pPr>
      <w:r>
        <w:rPr>
          <w:lang w:val="es-ES_tradnl"/>
        </w:rPr>
        <w:t>1.2.1</w:t>
      </w:r>
      <w:r>
        <w:rPr>
          <w:lang w:val="es-ES_tradnl"/>
        </w:rPr>
        <w:tab/>
        <w:t xml:space="preserve">DARS de referencia </w:t>
      </w:r>
    </w:p>
    <w:p w:rsidR="00AB2A68" w:rsidRDefault="00AB2A68" w:rsidP="00AB2A68">
      <w:pPr>
        <w:rPr>
          <w:lang w:val="es-ES_tradnl"/>
        </w:rPr>
      </w:pPr>
      <w:r>
        <w:rPr>
          <w:lang w:val="es-ES_tradnl"/>
        </w:rPr>
        <w:t>El equipo se sincroniza a una DARS que asegura que todos los relojes de muestreo de los equipos de entrada-salida se enganchan a la misma frecuencia de referencia y con la tolerancia de fase especificada en esta Recomendación.</w:t>
      </w:r>
    </w:p>
    <w:p w:rsidR="00AB2A68" w:rsidRDefault="00AB2A68" w:rsidP="000D0C4B">
      <w:pPr>
        <w:rPr>
          <w:lang w:val="es-ES_tradnl"/>
        </w:rPr>
      </w:pPr>
      <w:r>
        <w:rPr>
          <w:lang w:val="es-ES_tradnl"/>
        </w:rPr>
        <w:t>Cuando algunas de las señales de 96</w:t>
      </w:r>
      <w:r w:rsidR="000D0C4B">
        <w:rPr>
          <w:lang w:val="es-ES_tradnl"/>
        </w:rPr>
        <w:t> </w:t>
      </w:r>
      <w:r>
        <w:rPr>
          <w:lang w:val="es-ES_tradnl"/>
        </w:rPr>
        <w:t>kHz se cursan del modo descrito en la Recomendación UIT</w:t>
      </w:r>
      <w:r>
        <w:rPr>
          <w:lang w:val="es-ES_tradnl"/>
        </w:rPr>
        <w:noBreakHyphen/>
        <w:t>R BS.647 como «modo de un solo canal con frecuencia de muestreo doble», es necesario que la señal de referencia de sincronización tenga una componente de frecuencias de 48 kHz o inferior para que dos canales que constituyen un par estereofónico puedan relacionarse correctamente. El Apéndice 1 ilustra las relaciones de fase preferidas.</w:t>
      </w:r>
    </w:p>
    <w:p w:rsidR="00AB2A68" w:rsidRDefault="00AB2A68" w:rsidP="00AB2A68">
      <w:pPr>
        <w:pStyle w:val="Heading3"/>
        <w:rPr>
          <w:lang w:val="es-ES_tradnl"/>
        </w:rPr>
      </w:pPr>
      <w:r>
        <w:rPr>
          <w:lang w:val="es-ES_tradnl"/>
        </w:rPr>
        <w:t>1.2.2</w:t>
      </w:r>
      <w:r>
        <w:rPr>
          <w:lang w:val="es-ES_tradnl"/>
        </w:rPr>
        <w:tab/>
        <w:t>Vídeo de referencia</w:t>
      </w:r>
    </w:p>
    <w:p w:rsidR="00AB2A68" w:rsidRDefault="00AB2A68" w:rsidP="000D0C4B">
      <w:pPr>
        <w:rPr>
          <w:lang w:val="es-ES_tradnl"/>
        </w:rPr>
      </w:pPr>
      <w:r>
        <w:rPr>
          <w:lang w:val="es-ES_tradnl"/>
        </w:rPr>
        <w:t>Se utiliza un vídeo de referencia principal para obtener una DARS que enganche</w:t>
      </w:r>
      <w:r w:rsidR="000D0C4B">
        <w:rPr>
          <w:lang w:val="es-ES_tradnl"/>
        </w:rPr>
        <w:t xml:space="preserve"> </w:t>
      </w:r>
      <w:r>
        <w:rPr>
          <w:lang w:val="es-ES_tradnl"/>
        </w:rPr>
        <w:t>las señales de vídeo y audio al nivel de velocidad de muestreo con los límites de la trama de vídeo.</w:t>
      </w:r>
    </w:p>
    <w:p w:rsidR="00AB2A68" w:rsidRDefault="00AB2A68" w:rsidP="00AB2A68">
      <w:pPr>
        <w:pStyle w:val="Heading3"/>
        <w:rPr>
          <w:lang w:val="es-ES_tradnl"/>
        </w:rPr>
      </w:pPr>
      <w:r>
        <w:rPr>
          <w:lang w:val="es-ES_tradnl"/>
        </w:rPr>
        <w:t>1.2.3</w:t>
      </w:r>
      <w:r>
        <w:rPr>
          <w:lang w:val="es-ES_tradnl"/>
        </w:rPr>
        <w:tab/>
        <w:t>GPS de referencia</w:t>
      </w:r>
    </w:p>
    <w:p w:rsidR="00AB2A68" w:rsidRDefault="00AB2A68" w:rsidP="00AB2A68">
      <w:pPr>
        <w:rPr>
          <w:lang w:val="es-ES_tradnl"/>
        </w:rPr>
      </w:pPr>
      <w:r>
        <w:rPr>
          <w:lang w:val="es-ES_tradnl"/>
        </w:rPr>
        <w:t xml:space="preserve">Se emplea un receptor GPS para referenciar una DARS, proporcionando frecuencia y fase (a partir de impulsos de un segundo) y un código de dirección horaria de la </w:t>
      </w:r>
      <w:r w:rsidR="004169F6">
        <w:rPr>
          <w:lang w:val="es-ES_tradnl"/>
        </w:rPr>
        <w:t>muestra en los by</w:t>
      </w:r>
      <w:r>
        <w:rPr>
          <w:lang w:val="es-ES_tradnl"/>
        </w:rPr>
        <w:t>t</w:t>
      </w:r>
      <w:r w:rsidR="004169F6">
        <w:rPr>
          <w:lang w:val="es-ES_tradnl"/>
        </w:rPr>
        <w:t>e</w:t>
      </w:r>
      <w:r>
        <w:rPr>
          <w:lang w:val="es-ES_tradnl"/>
        </w:rPr>
        <w:t>s 18 a 21 del estado de canal para soportar una referencia de la hora del día en el equipo enganchado.</w:t>
      </w:r>
    </w:p>
    <w:p w:rsidR="00AB2A68" w:rsidRDefault="00AB2A68" w:rsidP="00AB2A68">
      <w:pPr>
        <w:pStyle w:val="Heading2"/>
        <w:rPr>
          <w:lang w:val="es-ES_tradnl"/>
        </w:rPr>
      </w:pPr>
      <w:r>
        <w:rPr>
          <w:lang w:val="es-ES_tradnl"/>
        </w:rPr>
        <w:t>1.3</w:t>
      </w:r>
      <w:r>
        <w:rPr>
          <w:lang w:val="es-ES_tradnl"/>
        </w:rPr>
        <w:tab/>
        <w:t>Distribución de la DARS</w:t>
      </w:r>
    </w:p>
    <w:p w:rsidR="00AB2A68" w:rsidRDefault="00AB2A68" w:rsidP="00AB2A68">
      <w:pPr>
        <w:rPr>
          <w:lang w:val="es-ES_tradnl"/>
        </w:rPr>
      </w:pPr>
      <w:r>
        <w:rPr>
          <w:lang w:val="es-ES_tradnl"/>
        </w:rPr>
        <w:t>La DARS se distribuirá de conformidad con la Recomendación UIT-R BS.647.</w:t>
      </w:r>
    </w:p>
    <w:p w:rsidR="00AB2A68" w:rsidRPr="00780FB4" w:rsidRDefault="00AB2A68" w:rsidP="00AB2A68">
      <w:pPr>
        <w:pStyle w:val="Heading2"/>
        <w:rPr>
          <w:lang w:val="es-ES_tradnl"/>
        </w:rPr>
      </w:pPr>
      <w:r>
        <w:rPr>
          <w:lang w:val="es-ES_tradnl"/>
        </w:rPr>
        <w:t>1.4</w:t>
      </w:r>
      <w:r>
        <w:rPr>
          <w:lang w:val="es-ES_tradnl"/>
        </w:rPr>
        <w:tab/>
      </w:r>
      <w:r w:rsidRPr="00780FB4">
        <w:rPr>
          <w:lang w:val="es-ES_tradnl"/>
        </w:rPr>
        <w:t>Señales externas</w:t>
      </w:r>
    </w:p>
    <w:p w:rsidR="00AB2A68" w:rsidRDefault="00AB2A68" w:rsidP="00AB2A68">
      <w:pPr>
        <w:pStyle w:val="Heading3"/>
        <w:rPr>
          <w:lang w:val="es-ES_tradnl"/>
        </w:rPr>
      </w:pPr>
      <w:r>
        <w:rPr>
          <w:lang w:val="es-ES_tradnl"/>
        </w:rPr>
        <w:t>1.4.1</w:t>
      </w:r>
      <w:r>
        <w:rPr>
          <w:lang w:val="es-ES_tradnl"/>
        </w:rPr>
        <w:tab/>
        <w:t>Consideraciones generales</w:t>
      </w:r>
    </w:p>
    <w:p w:rsidR="00AB2A68" w:rsidRDefault="00AB2A68" w:rsidP="00AB2A68">
      <w:pPr>
        <w:rPr>
          <w:lang w:val="es-ES_tradnl"/>
        </w:rPr>
      </w:pPr>
      <w:r>
        <w:rPr>
          <w:lang w:val="es-ES_tradnl"/>
        </w:rPr>
        <w:t xml:space="preserve">Cuando se conecten señales externas a un estudio de audio digital síncrono o a una instalación de producción se aplicara lo dispuesto en el </w:t>
      </w:r>
      <w:r>
        <w:rPr>
          <w:rFonts w:hint="eastAsia"/>
          <w:lang w:val="es-ES_tradnl"/>
        </w:rPr>
        <w:t>§</w:t>
      </w:r>
      <w:r>
        <w:rPr>
          <w:lang w:val="es-ES_tradnl"/>
        </w:rPr>
        <w:t xml:space="preserve"> 1.4.2.</w:t>
      </w:r>
    </w:p>
    <w:p w:rsidR="00AB2A68" w:rsidRDefault="00AB2A68" w:rsidP="00AB2A68">
      <w:pPr>
        <w:pStyle w:val="Heading3"/>
        <w:rPr>
          <w:lang w:val="es-ES_tradnl"/>
        </w:rPr>
      </w:pPr>
      <w:r>
        <w:rPr>
          <w:lang w:val="es-ES_tradnl"/>
        </w:rPr>
        <w:lastRenderedPageBreak/>
        <w:t>1.4.2</w:t>
      </w:r>
      <w:r>
        <w:rPr>
          <w:lang w:val="es-ES_tradnl"/>
        </w:rPr>
        <w:tab/>
        <w:t>Corrección de fase</w:t>
      </w:r>
    </w:p>
    <w:p w:rsidR="00AB2A68" w:rsidRDefault="00AB2A68" w:rsidP="00AB2A68">
      <w:pPr>
        <w:rPr>
          <w:lang w:val="es-ES_tradnl"/>
        </w:rPr>
      </w:pPr>
      <w:r>
        <w:rPr>
          <w:lang w:val="es-ES_tradnl"/>
        </w:rPr>
        <w:t>Si la señal entrante es idéntica en la frecuencia de muestreo pero está fuera de fase respecto a la DARS, deberá aplicarse lo dispuesto en la Recomendación UIT-R BS.647 en cuanto a alineación de trama.</w:t>
      </w:r>
    </w:p>
    <w:p w:rsidR="00AB2A68" w:rsidRDefault="00AB2A68" w:rsidP="00AB2A68">
      <w:pPr>
        <w:pStyle w:val="Heading2"/>
        <w:rPr>
          <w:lang w:val="es-ES_tradnl"/>
        </w:rPr>
      </w:pPr>
      <w:r>
        <w:rPr>
          <w:lang w:val="es-ES_tradnl"/>
        </w:rPr>
        <w:t>1.5</w:t>
      </w:r>
      <w:r>
        <w:rPr>
          <w:lang w:val="es-ES_tradnl"/>
        </w:rPr>
        <w:tab/>
        <w:t>Referencia de vídeo</w:t>
      </w:r>
    </w:p>
    <w:p w:rsidR="00AB2A68" w:rsidRDefault="00AB2A68" w:rsidP="00AB2A68">
      <w:pPr>
        <w:pStyle w:val="Heading3"/>
        <w:rPr>
          <w:lang w:val="es-ES_tradnl"/>
        </w:rPr>
      </w:pPr>
      <w:r>
        <w:rPr>
          <w:lang w:val="es-ES_tradnl"/>
        </w:rPr>
        <w:t>1.5.1</w:t>
      </w:r>
      <w:r>
        <w:rPr>
          <w:lang w:val="es-ES_tradnl"/>
        </w:rPr>
        <w:tab/>
        <w:t>Consideraciones generales</w:t>
      </w:r>
    </w:p>
    <w:p w:rsidR="00AB2A68" w:rsidRDefault="00AB2A68" w:rsidP="00AB2A68">
      <w:pPr>
        <w:rPr>
          <w:lang w:val="es-ES_tradnl"/>
        </w:rPr>
      </w:pPr>
      <w:r>
        <w:rPr>
          <w:lang w:val="es-ES_tradnl"/>
        </w:rPr>
        <w:t>En el caso de un entorno combinado de vídeo y audio, la fuente de la DARS deberá engancharse a la fuente de vídeo de manera que se obtengan con precisión las relaciones matemáticas que figuran en el Cuadro 1.</w:t>
      </w:r>
    </w:p>
    <w:p w:rsidR="00AB2A68" w:rsidRDefault="00AB2A68" w:rsidP="00AB2A68">
      <w:pPr>
        <w:pStyle w:val="TableNo"/>
      </w:pPr>
      <w:r>
        <w:t>CUADRO 1</w:t>
      </w:r>
    </w:p>
    <w:p w:rsidR="00AB2A68" w:rsidRDefault="00AB2A68" w:rsidP="00AB2A68">
      <w:pPr>
        <w:pStyle w:val="Tabletitle"/>
      </w:pPr>
      <w:r>
        <w:t>Sincronización audio-vídeo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9"/>
        <w:gridCol w:w="1263"/>
        <w:gridCol w:w="1218"/>
        <w:gridCol w:w="1782"/>
        <w:gridCol w:w="1154"/>
        <w:gridCol w:w="1218"/>
        <w:gridCol w:w="1625"/>
      </w:tblGrid>
      <w:tr w:rsidR="00AB2A68" w:rsidRPr="00D7165C" w:rsidTr="00F9066D">
        <w:trPr>
          <w:jc w:val="center"/>
        </w:trPr>
        <w:tc>
          <w:tcPr>
            <w:tcW w:w="1054" w:type="dxa"/>
            <w:vMerge w:val="restart"/>
          </w:tcPr>
          <w:p w:rsidR="00AB2A68" w:rsidRPr="00D7165C" w:rsidRDefault="00AB2A68" w:rsidP="00F9066D">
            <w:pPr>
              <w:pStyle w:val="Tablehead"/>
              <w:rPr>
                <w:lang w:val="en-US"/>
              </w:rPr>
            </w:pPr>
            <w:r>
              <w:rPr>
                <w:lang w:val="en-US"/>
              </w:rPr>
              <w:t>Velocidad de muestreo</w:t>
            </w:r>
            <w:r w:rsidRPr="00D7165C">
              <w:rPr>
                <w:lang w:val="en-US"/>
              </w:rPr>
              <w:br/>
            </w:r>
            <w:r>
              <w:rPr>
                <w:lang w:val="en-US"/>
              </w:rPr>
              <w:t>(</w:t>
            </w:r>
            <w:r w:rsidRPr="00D7165C">
              <w:rPr>
                <w:lang w:val="en-US"/>
              </w:rPr>
              <w:t>kHz</w:t>
            </w:r>
            <w:r>
              <w:rPr>
                <w:lang w:val="en-US"/>
              </w:rPr>
              <w:t>)</w:t>
            </w:r>
          </w:p>
        </w:tc>
        <w:tc>
          <w:tcPr>
            <w:tcW w:w="6319" w:type="dxa"/>
            <w:gridSpan w:val="6"/>
          </w:tcPr>
          <w:p w:rsidR="00AB2A68" w:rsidRPr="00D7165C" w:rsidRDefault="00AB2A68" w:rsidP="00F9066D">
            <w:pPr>
              <w:pStyle w:val="Tablehead"/>
              <w:ind w:left="-90"/>
              <w:rPr>
                <w:lang w:val="en-US"/>
              </w:rPr>
            </w:pPr>
            <w:r>
              <w:rPr>
                <w:lang w:val="en-US"/>
              </w:rPr>
              <w:t>Muestras por trama</w:t>
            </w:r>
          </w:p>
        </w:tc>
      </w:tr>
      <w:tr w:rsidR="00AB2A68" w:rsidRPr="00D7165C" w:rsidTr="00F9066D">
        <w:trPr>
          <w:jc w:val="center"/>
        </w:trPr>
        <w:tc>
          <w:tcPr>
            <w:tcW w:w="1054" w:type="dxa"/>
            <w:vMerge/>
          </w:tcPr>
          <w:p w:rsidR="00AB2A68" w:rsidRPr="00D7165C" w:rsidRDefault="00AB2A68" w:rsidP="00F9066D">
            <w:pPr>
              <w:pStyle w:val="Tablehead"/>
              <w:ind w:left="-90"/>
              <w:rPr>
                <w:lang w:val="en-US"/>
              </w:rPr>
            </w:pPr>
          </w:p>
        </w:tc>
        <w:tc>
          <w:tcPr>
            <w:tcW w:w="966" w:type="dxa"/>
            <w:vAlign w:val="center"/>
          </w:tcPr>
          <w:p w:rsidR="00AB2A68" w:rsidRPr="00D7165C" w:rsidRDefault="00AB2A68" w:rsidP="00F9066D">
            <w:pPr>
              <w:pStyle w:val="Tablehead"/>
              <w:ind w:left="-90"/>
              <w:rPr>
                <w:lang w:val="en-US"/>
              </w:rPr>
            </w:pPr>
            <w:r w:rsidRPr="00D7165C">
              <w:rPr>
                <w:lang w:val="en-US"/>
              </w:rPr>
              <w:t>25 Hz</w:t>
            </w:r>
          </w:p>
        </w:tc>
        <w:tc>
          <w:tcPr>
            <w:tcW w:w="932" w:type="dxa"/>
            <w:vAlign w:val="center"/>
          </w:tcPr>
          <w:p w:rsidR="00AB2A68" w:rsidRPr="00D7165C" w:rsidRDefault="00AB2A68" w:rsidP="00F9066D">
            <w:pPr>
              <w:pStyle w:val="Tablehead"/>
              <w:ind w:left="-90"/>
              <w:rPr>
                <w:lang w:val="en-US"/>
              </w:rPr>
            </w:pPr>
            <w:r w:rsidRPr="00D7165C">
              <w:rPr>
                <w:lang w:val="en-US"/>
              </w:rPr>
              <w:t>30 Hz</w:t>
            </w:r>
          </w:p>
        </w:tc>
        <w:tc>
          <w:tcPr>
            <w:tcW w:w="1363" w:type="dxa"/>
            <w:vAlign w:val="center"/>
          </w:tcPr>
          <w:p w:rsidR="00AB2A68" w:rsidRPr="00D7165C" w:rsidRDefault="00AB2A68" w:rsidP="00F9066D">
            <w:pPr>
              <w:pStyle w:val="Tablehead"/>
              <w:ind w:left="-90"/>
              <w:rPr>
                <w:lang w:val="en-US"/>
              </w:rPr>
            </w:pPr>
            <w:r>
              <w:rPr>
                <w:lang w:val="en-US"/>
              </w:rPr>
              <w:t>29,</w:t>
            </w:r>
            <w:r w:rsidRPr="00D7165C">
              <w:rPr>
                <w:lang w:val="en-US"/>
              </w:rPr>
              <w:t>97 Hz</w:t>
            </w:r>
          </w:p>
        </w:tc>
        <w:tc>
          <w:tcPr>
            <w:tcW w:w="883" w:type="dxa"/>
            <w:vAlign w:val="center"/>
          </w:tcPr>
          <w:p w:rsidR="00AB2A68" w:rsidRPr="00D7165C" w:rsidRDefault="00AB2A68" w:rsidP="00F9066D">
            <w:pPr>
              <w:pStyle w:val="Tablehead"/>
              <w:ind w:left="-90"/>
              <w:rPr>
                <w:lang w:val="en-US"/>
              </w:rPr>
            </w:pPr>
            <w:r w:rsidRPr="00D7165C">
              <w:rPr>
                <w:lang w:val="en-US"/>
              </w:rPr>
              <w:t>50 Hz</w:t>
            </w:r>
          </w:p>
        </w:tc>
        <w:tc>
          <w:tcPr>
            <w:tcW w:w="932" w:type="dxa"/>
            <w:vAlign w:val="center"/>
          </w:tcPr>
          <w:p w:rsidR="00AB2A68" w:rsidRPr="00D7165C" w:rsidRDefault="00AB2A68" w:rsidP="00F9066D">
            <w:pPr>
              <w:pStyle w:val="Tablehead"/>
              <w:ind w:left="-90"/>
              <w:rPr>
                <w:lang w:val="en-US"/>
              </w:rPr>
            </w:pPr>
            <w:r w:rsidRPr="00D7165C">
              <w:rPr>
                <w:lang w:val="en-US"/>
              </w:rPr>
              <w:t>60 Hz</w:t>
            </w:r>
          </w:p>
        </w:tc>
        <w:tc>
          <w:tcPr>
            <w:tcW w:w="1243" w:type="dxa"/>
            <w:vAlign w:val="center"/>
          </w:tcPr>
          <w:p w:rsidR="00AB2A68" w:rsidRPr="00D7165C" w:rsidRDefault="00AB2A68" w:rsidP="00F9066D">
            <w:pPr>
              <w:pStyle w:val="Tablehead"/>
              <w:ind w:left="-90"/>
              <w:rPr>
                <w:lang w:val="en-US"/>
              </w:rPr>
            </w:pPr>
            <w:r>
              <w:rPr>
                <w:lang w:val="en-US"/>
              </w:rPr>
              <w:t>59,</w:t>
            </w:r>
            <w:r w:rsidRPr="00D7165C">
              <w:rPr>
                <w:lang w:val="en-US"/>
              </w:rPr>
              <w:t>94 Hz</w:t>
            </w:r>
          </w:p>
        </w:tc>
      </w:tr>
      <w:tr w:rsidR="00AB2A68" w:rsidRPr="00D7165C" w:rsidTr="00F9066D">
        <w:trPr>
          <w:jc w:val="center"/>
        </w:trPr>
        <w:tc>
          <w:tcPr>
            <w:tcW w:w="1054" w:type="dxa"/>
          </w:tcPr>
          <w:p w:rsidR="00AB2A68" w:rsidRPr="00D7165C" w:rsidRDefault="00AB2A68" w:rsidP="00F9066D">
            <w:pPr>
              <w:pStyle w:val="Tabletext"/>
              <w:ind w:left="-90"/>
              <w:jc w:val="center"/>
              <w:rPr>
                <w:lang w:val="en-US"/>
              </w:rPr>
            </w:pPr>
            <w:r w:rsidRPr="00D7165C">
              <w:rPr>
                <w:lang w:val="en-US"/>
              </w:rPr>
              <w:t>48</w:t>
            </w:r>
          </w:p>
        </w:tc>
        <w:tc>
          <w:tcPr>
            <w:tcW w:w="966" w:type="dxa"/>
          </w:tcPr>
          <w:p w:rsidR="00AB2A68" w:rsidRPr="00D7165C" w:rsidRDefault="00AB2A68" w:rsidP="00F9066D">
            <w:pPr>
              <w:pStyle w:val="Tabletext"/>
              <w:ind w:left="-90"/>
              <w:jc w:val="center"/>
              <w:rPr>
                <w:lang w:val="en-US"/>
              </w:rPr>
            </w:pPr>
            <w:r w:rsidRPr="00D7165C">
              <w:rPr>
                <w:lang w:val="en-US"/>
              </w:rPr>
              <w:t>1920</w:t>
            </w:r>
          </w:p>
        </w:tc>
        <w:tc>
          <w:tcPr>
            <w:tcW w:w="932" w:type="dxa"/>
          </w:tcPr>
          <w:p w:rsidR="00AB2A68" w:rsidRPr="00D7165C" w:rsidRDefault="00AB2A68" w:rsidP="00F9066D">
            <w:pPr>
              <w:pStyle w:val="Tabletext"/>
              <w:ind w:left="-90"/>
              <w:jc w:val="center"/>
              <w:rPr>
                <w:lang w:val="en-US"/>
              </w:rPr>
            </w:pPr>
            <w:r w:rsidRPr="00D7165C">
              <w:rPr>
                <w:lang w:val="en-US"/>
              </w:rPr>
              <w:t>1600</w:t>
            </w:r>
          </w:p>
        </w:tc>
        <w:tc>
          <w:tcPr>
            <w:tcW w:w="1363" w:type="dxa"/>
          </w:tcPr>
          <w:p w:rsidR="00AB2A68" w:rsidRPr="00D7165C" w:rsidRDefault="00AB2A68" w:rsidP="00F9066D">
            <w:pPr>
              <w:pStyle w:val="Tabletext"/>
              <w:ind w:left="-90"/>
              <w:jc w:val="center"/>
              <w:rPr>
                <w:lang w:val="en-US"/>
              </w:rPr>
            </w:pPr>
            <w:r w:rsidRPr="00D7165C">
              <w:rPr>
                <w:lang w:val="en-US"/>
              </w:rPr>
              <w:t>8008/5</w:t>
            </w:r>
          </w:p>
        </w:tc>
        <w:tc>
          <w:tcPr>
            <w:tcW w:w="883" w:type="dxa"/>
          </w:tcPr>
          <w:p w:rsidR="00AB2A68" w:rsidRPr="00D7165C" w:rsidRDefault="00AB2A68" w:rsidP="00F9066D">
            <w:pPr>
              <w:pStyle w:val="Tabletext"/>
              <w:ind w:left="-90"/>
              <w:jc w:val="center"/>
              <w:rPr>
                <w:lang w:val="en-US"/>
              </w:rPr>
            </w:pPr>
            <w:r w:rsidRPr="00D7165C">
              <w:rPr>
                <w:lang w:val="en-US"/>
              </w:rPr>
              <w:t>960</w:t>
            </w:r>
          </w:p>
        </w:tc>
        <w:tc>
          <w:tcPr>
            <w:tcW w:w="932" w:type="dxa"/>
          </w:tcPr>
          <w:p w:rsidR="00AB2A68" w:rsidRPr="00D7165C" w:rsidRDefault="00AB2A68" w:rsidP="00F9066D">
            <w:pPr>
              <w:pStyle w:val="Tabletext"/>
              <w:ind w:left="-90"/>
              <w:jc w:val="center"/>
              <w:rPr>
                <w:lang w:val="en-US"/>
              </w:rPr>
            </w:pPr>
            <w:r w:rsidRPr="00D7165C">
              <w:rPr>
                <w:lang w:val="en-US"/>
              </w:rPr>
              <w:t>800</w:t>
            </w:r>
          </w:p>
        </w:tc>
        <w:tc>
          <w:tcPr>
            <w:tcW w:w="1243" w:type="dxa"/>
          </w:tcPr>
          <w:p w:rsidR="00AB2A68" w:rsidRPr="00D7165C" w:rsidRDefault="00AB2A68" w:rsidP="00F9066D">
            <w:pPr>
              <w:pStyle w:val="Tabletext"/>
              <w:ind w:left="-90"/>
              <w:jc w:val="center"/>
              <w:rPr>
                <w:lang w:val="en-US"/>
              </w:rPr>
            </w:pPr>
            <w:r w:rsidRPr="00D7165C">
              <w:rPr>
                <w:lang w:val="en-US"/>
              </w:rPr>
              <w:t>4004/5</w:t>
            </w:r>
          </w:p>
        </w:tc>
      </w:tr>
      <w:tr w:rsidR="00AB2A68" w:rsidTr="00F9066D">
        <w:trPr>
          <w:jc w:val="center"/>
        </w:trPr>
        <w:tc>
          <w:tcPr>
            <w:tcW w:w="1054" w:type="dxa"/>
          </w:tcPr>
          <w:p w:rsidR="00AB2A68" w:rsidRPr="00D7165C" w:rsidRDefault="00AB2A68" w:rsidP="00F9066D">
            <w:pPr>
              <w:pStyle w:val="Tabletext"/>
              <w:ind w:left="-90"/>
              <w:jc w:val="center"/>
              <w:rPr>
                <w:lang w:val="en-US"/>
              </w:rPr>
            </w:pPr>
            <w:r w:rsidRPr="00D7165C">
              <w:rPr>
                <w:lang w:val="en-US"/>
              </w:rPr>
              <w:t>96</w:t>
            </w:r>
          </w:p>
        </w:tc>
        <w:tc>
          <w:tcPr>
            <w:tcW w:w="966" w:type="dxa"/>
          </w:tcPr>
          <w:p w:rsidR="00AB2A68" w:rsidRPr="00D7165C" w:rsidRDefault="00AB2A68" w:rsidP="00F9066D">
            <w:pPr>
              <w:pStyle w:val="Tabletext"/>
              <w:ind w:left="-90"/>
              <w:jc w:val="center"/>
              <w:rPr>
                <w:lang w:val="en-US"/>
              </w:rPr>
            </w:pPr>
            <w:r w:rsidRPr="00D7165C">
              <w:rPr>
                <w:lang w:val="en-US"/>
              </w:rPr>
              <w:t>3840</w:t>
            </w:r>
          </w:p>
        </w:tc>
        <w:tc>
          <w:tcPr>
            <w:tcW w:w="932" w:type="dxa"/>
          </w:tcPr>
          <w:p w:rsidR="00AB2A68" w:rsidRPr="00D7165C" w:rsidRDefault="00AB2A68" w:rsidP="00F9066D">
            <w:pPr>
              <w:pStyle w:val="Tabletext"/>
              <w:ind w:left="-90"/>
              <w:jc w:val="center"/>
              <w:rPr>
                <w:lang w:val="en-US"/>
              </w:rPr>
            </w:pPr>
            <w:r w:rsidRPr="00D7165C">
              <w:rPr>
                <w:lang w:val="en-US"/>
              </w:rPr>
              <w:t>3200</w:t>
            </w:r>
          </w:p>
        </w:tc>
        <w:tc>
          <w:tcPr>
            <w:tcW w:w="1363" w:type="dxa"/>
          </w:tcPr>
          <w:p w:rsidR="00AB2A68" w:rsidRPr="00D7165C" w:rsidRDefault="00AB2A68" w:rsidP="00F9066D">
            <w:pPr>
              <w:pStyle w:val="Tabletext"/>
              <w:ind w:left="-90"/>
              <w:jc w:val="center"/>
              <w:rPr>
                <w:lang w:val="en-US"/>
              </w:rPr>
            </w:pPr>
            <w:r w:rsidRPr="00D7165C">
              <w:rPr>
                <w:lang w:val="en-US"/>
              </w:rPr>
              <w:t>16016/5</w:t>
            </w:r>
          </w:p>
        </w:tc>
        <w:tc>
          <w:tcPr>
            <w:tcW w:w="883" w:type="dxa"/>
          </w:tcPr>
          <w:p w:rsidR="00AB2A68" w:rsidRPr="00D7165C" w:rsidRDefault="00AB2A68" w:rsidP="00F9066D">
            <w:pPr>
              <w:pStyle w:val="Tabletext"/>
              <w:ind w:left="-90"/>
              <w:jc w:val="center"/>
              <w:rPr>
                <w:lang w:val="en-US"/>
              </w:rPr>
            </w:pPr>
            <w:r w:rsidRPr="00D7165C">
              <w:rPr>
                <w:lang w:val="en-US"/>
              </w:rPr>
              <w:t>1920</w:t>
            </w:r>
          </w:p>
        </w:tc>
        <w:tc>
          <w:tcPr>
            <w:tcW w:w="932" w:type="dxa"/>
          </w:tcPr>
          <w:p w:rsidR="00AB2A68" w:rsidRDefault="00AB2A68" w:rsidP="00F9066D">
            <w:pPr>
              <w:pStyle w:val="Tabletext"/>
              <w:ind w:left="-90"/>
              <w:jc w:val="center"/>
            </w:pPr>
            <w:r w:rsidRPr="00D7165C">
              <w:rPr>
                <w:lang w:val="en-US"/>
              </w:rPr>
              <w:t>16</w:t>
            </w:r>
            <w:r>
              <w:t>00</w:t>
            </w:r>
          </w:p>
        </w:tc>
        <w:tc>
          <w:tcPr>
            <w:tcW w:w="1243" w:type="dxa"/>
          </w:tcPr>
          <w:p w:rsidR="00AB2A68" w:rsidRDefault="00AB2A68" w:rsidP="00F9066D">
            <w:pPr>
              <w:pStyle w:val="Tabletext"/>
              <w:ind w:left="-90"/>
              <w:jc w:val="center"/>
            </w:pPr>
            <w:r>
              <w:t>8008/5</w:t>
            </w:r>
          </w:p>
        </w:tc>
      </w:tr>
    </w:tbl>
    <w:p w:rsidR="00AB2A68" w:rsidRDefault="00AB2A68" w:rsidP="00AB2A68">
      <w:pPr>
        <w:pStyle w:val="Tablefin"/>
      </w:pPr>
      <w:bookmarkStart w:id="5" w:name="_Toc87091708"/>
    </w:p>
    <w:p w:rsidR="00AB2A68" w:rsidRDefault="00AB2A68" w:rsidP="00AB2A68">
      <w:pPr>
        <w:pStyle w:val="Heading3"/>
      </w:pPr>
      <w:r>
        <w:t>1.5.2</w:t>
      </w:r>
      <w:r>
        <w:tab/>
      </w:r>
      <w:bookmarkEnd w:id="5"/>
      <w:r>
        <w:t>Relaciones enteras</w:t>
      </w:r>
    </w:p>
    <w:p w:rsidR="00AB2A68" w:rsidRDefault="00AB2A68" w:rsidP="00AB2A68">
      <w:pPr>
        <w:rPr>
          <w:lang w:val="es-ES_tradnl"/>
        </w:rPr>
      </w:pPr>
      <w:r>
        <w:rPr>
          <w:lang w:val="es-ES_tradnl"/>
        </w:rPr>
        <w:t>En los sistemas de vídeo con un número entero de tramas de la Recomendación UIT-R BS.647 en una trama de vídeo, el audio de dicha Recomendación puede engancharse de forma síncrona al vídeo.</w:t>
      </w:r>
    </w:p>
    <w:p w:rsidR="00AB2A68" w:rsidRPr="009D635F" w:rsidRDefault="00AB2A68" w:rsidP="00AB2A68">
      <w:pPr>
        <w:pStyle w:val="Heading3"/>
      </w:pPr>
      <w:r>
        <w:t>1.5.3</w:t>
      </w:r>
      <w:r>
        <w:tab/>
      </w:r>
      <w:r w:rsidRPr="009D635F">
        <w:t>Relaciones no enteras – enganche de 5 tramas</w:t>
      </w:r>
    </w:p>
    <w:p w:rsidR="00AB2A68" w:rsidRDefault="00AB2A68" w:rsidP="000D0C4B">
      <w:pPr>
        <w:rPr>
          <w:lang w:val="es-ES_tradnl"/>
        </w:rPr>
      </w:pPr>
      <w:r>
        <w:rPr>
          <w:lang w:val="es-ES_tradnl"/>
        </w:rPr>
        <w:t>En los sistemas de vídeo con fracciones de las tramas de la Recomendación UIT-R</w:t>
      </w:r>
      <w:r w:rsidR="000D0C4B">
        <w:rPr>
          <w:lang w:val="es-ES_tradnl"/>
        </w:rPr>
        <w:t> </w:t>
      </w:r>
      <w:r>
        <w:rPr>
          <w:lang w:val="es-ES_tradnl"/>
        </w:rPr>
        <w:t>BS.647 en una trama de vídeo, pueden engancharse los relojes de muestreo de audio de dicha Recomendación utilizando la señal de referencia de vídeo definida en el Apéndice</w:t>
      </w:r>
      <w:r w:rsidR="000D0C4B">
        <w:rPr>
          <w:lang w:val="es-ES_tradnl"/>
        </w:rPr>
        <w:t> </w:t>
      </w:r>
      <w:r>
        <w:rPr>
          <w:lang w:val="es-ES_tradnl"/>
        </w:rPr>
        <w:t>3. En este caso, se trata de un ciclo de enganche de 5 tramas.</w:t>
      </w:r>
    </w:p>
    <w:p w:rsidR="00AB2A68" w:rsidRDefault="00AB2A68" w:rsidP="00AB2A68">
      <w:pPr>
        <w:pStyle w:val="Heading3"/>
        <w:rPr>
          <w:lang w:val="es-ES_tradnl"/>
        </w:rPr>
      </w:pPr>
      <w:r>
        <w:rPr>
          <w:lang w:val="es-ES_tradnl"/>
        </w:rPr>
        <w:t>1.5.4</w:t>
      </w:r>
      <w:r>
        <w:rPr>
          <w:lang w:val="es-ES_tradnl"/>
        </w:rPr>
        <w:tab/>
        <w:t>Relaciones no enteras – enganche aleatorio</w:t>
      </w:r>
    </w:p>
    <w:p w:rsidR="00AB2A68" w:rsidRDefault="00AB2A68" w:rsidP="00AB2A68">
      <w:pPr>
        <w:rPr>
          <w:lang w:val="es-ES_tradnl"/>
        </w:rPr>
      </w:pPr>
      <w:r>
        <w:rPr>
          <w:lang w:val="es-ES_tradnl"/>
        </w:rPr>
        <w:t>Habitualmente, el reloj de muestreo de audio se sincroniza a una trama de vídeo aleatoriamente. Si bien la frecuencia del</w:t>
      </w:r>
      <w:r w:rsidR="001C079C">
        <w:rPr>
          <w:lang w:val="es-ES_tradnl"/>
        </w:rPr>
        <w:t xml:space="preserve"> reloj de muestreo se enganchará</w:t>
      </w:r>
      <w:r>
        <w:rPr>
          <w:lang w:val="es-ES_tradnl"/>
        </w:rPr>
        <w:t>, la puesta en fase absoluta no se mantendrá. Los sistemas que emplean este método de enganche necesitan memoria intermedias para garantizar el sincronismo de fase de todos los equipos.</w:t>
      </w:r>
    </w:p>
    <w:p w:rsidR="00AB2A68" w:rsidRDefault="00AB2A68" w:rsidP="00AB2A68">
      <w:pPr>
        <w:pStyle w:val="Note"/>
        <w:rPr>
          <w:lang w:val="es-ES_tradnl"/>
        </w:rPr>
      </w:pPr>
      <w:r>
        <w:rPr>
          <w:lang w:val="es-ES_tradnl"/>
        </w:rPr>
        <w:t>NOTA – Aunque se hacen todos los esfuerzos posibles para mantener una secuencia de 5 tramas, no es inhabitual tener un numero de muestras mayor o menor en la secuencia de 5 tramas. Estas discrepancias se producen cuando se edita o se conmuta el material.</w:t>
      </w:r>
    </w:p>
    <w:p w:rsidR="00AB2A68" w:rsidRDefault="00AB2A68" w:rsidP="0023227A">
      <w:pPr>
        <w:pStyle w:val="Heading1"/>
        <w:rPr>
          <w:lang w:val="es-ES_tradnl"/>
        </w:rPr>
      </w:pPr>
      <w:r>
        <w:rPr>
          <w:lang w:val="es-ES_tradnl"/>
        </w:rPr>
        <w:lastRenderedPageBreak/>
        <w:t>2</w:t>
      </w:r>
      <w:r>
        <w:rPr>
          <w:lang w:val="es-ES_tradnl"/>
        </w:rPr>
        <w:tab/>
        <w:t>Pr</w:t>
      </w:r>
      <w:r w:rsidR="0023227A">
        <w:rPr>
          <w:lang w:val="es-ES_tradnl"/>
        </w:rPr>
        <w:t>á</w:t>
      </w:r>
      <w:r>
        <w:rPr>
          <w:lang w:val="es-ES_tradnl"/>
        </w:rPr>
        <w:t>ctica recomendada para la sincronización de los equipos</w:t>
      </w:r>
    </w:p>
    <w:p w:rsidR="00AB2A68" w:rsidRDefault="00AB2A68" w:rsidP="00AB2A68">
      <w:pPr>
        <w:pStyle w:val="Heading2"/>
        <w:rPr>
          <w:lang w:val="es-ES_tradnl"/>
        </w:rPr>
      </w:pPr>
      <w:r>
        <w:rPr>
          <w:lang w:val="es-ES_tradnl"/>
        </w:rPr>
        <w:t>2.1</w:t>
      </w:r>
      <w:r>
        <w:rPr>
          <w:lang w:val="es-ES_tradnl"/>
        </w:rPr>
        <w:tab/>
        <w:t>Requisitos de la DARS</w:t>
      </w:r>
    </w:p>
    <w:p w:rsidR="00AB2A68" w:rsidRDefault="00AB2A68" w:rsidP="00AB2A68">
      <w:pPr>
        <w:pStyle w:val="Heading3"/>
        <w:rPr>
          <w:lang w:val="es-ES_tradnl"/>
        </w:rPr>
      </w:pPr>
      <w:r>
        <w:rPr>
          <w:lang w:val="es-ES_tradnl"/>
        </w:rPr>
        <w:t>2.1.1</w:t>
      </w:r>
      <w:r>
        <w:rPr>
          <w:lang w:val="es-ES_tradnl"/>
        </w:rPr>
        <w:tab/>
        <w:t>Formato de la DARS</w:t>
      </w:r>
    </w:p>
    <w:p w:rsidR="00AB2A68" w:rsidRDefault="00AB2A68" w:rsidP="00AB2A68">
      <w:pPr>
        <w:rPr>
          <w:lang w:val="es-ES_tradnl"/>
        </w:rPr>
      </w:pPr>
      <w:r>
        <w:rPr>
          <w:lang w:val="es-ES_tradnl"/>
        </w:rPr>
        <w:t>La DARS tendrá el formato y la configuración eléctrica de la interfaz de audio digital de dos canales y utilizará el mismo conector indicado en la Recomendación UIT-R BS.647. Sin embargo, la estructura básica del formato de la interfaz de audio digital, donde sólo es activo el preámbulo, será aceptable como una señal de sincronización de audio digital.</w:t>
      </w:r>
    </w:p>
    <w:p w:rsidR="00AB2A68" w:rsidRDefault="00AB2A68" w:rsidP="00AB2A68">
      <w:pPr>
        <w:pStyle w:val="Heading3"/>
      </w:pPr>
      <w:r>
        <w:t>2.1.2</w:t>
      </w:r>
      <w:r>
        <w:tab/>
        <w:t>Grado de la DARS</w:t>
      </w:r>
    </w:p>
    <w:p w:rsidR="00AB2A68" w:rsidRDefault="00AB2A68" w:rsidP="00AB2A68">
      <w:pPr>
        <w:rPr>
          <w:lang w:val="es-ES_tradnl"/>
        </w:rPr>
      </w:pPr>
      <w:r>
        <w:rPr>
          <w:lang w:val="es-ES_tradnl"/>
        </w:rPr>
        <w:t>Una DARS puede clasificarse como de grado 1 o grado 2. Véase también el § 2.2.</w:t>
      </w:r>
    </w:p>
    <w:p w:rsidR="00AB2A68" w:rsidRDefault="00AB2A68" w:rsidP="00AB2A68">
      <w:pPr>
        <w:rPr>
          <w:lang w:val="es-ES_tradnl"/>
        </w:rPr>
      </w:pPr>
      <w:r>
        <w:rPr>
          <w:lang w:val="es-ES_tradnl"/>
        </w:rPr>
        <w:t xml:space="preserve">Para satisfacer lo dispuesto en </w:t>
      </w:r>
      <w:r w:rsidR="002A4970">
        <w:rPr>
          <w:lang w:val="es-ES_tradnl"/>
        </w:rPr>
        <w:t>esta Recomendación só</w:t>
      </w:r>
      <w:r>
        <w:rPr>
          <w:lang w:val="es-ES_tradnl"/>
        </w:rPr>
        <w:t>lo se permite una DARS de grado 1.</w:t>
      </w:r>
    </w:p>
    <w:p w:rsidR="00AB2A68" w:rsidRDefault="00AB2A68" w:rsidP="00AB2A68">
      <w:pPr>
        <w:pStyle w:val="Heading4"/>
        <w:rPr>
          <w:lang w:val="es-ES_tradnl"/>
        </w:rPr>
      </w:pPr>
      <w:r>
        <w:rPr>
          <w:lang w:val="es-ES_tradnl"/>
        </w:rPr>
        <w:t>2.1.2.1</w:t>
      </w:r>
      <w:r>
        <w:rPr>
          <w:lang w:val="es-ES_tradnl"/>
        </w:rPr>
        <w:tab/>
        <w:t>Grado 1</w:t>
      </w:r>
    </w:p>
    <w:p w:rsidR="00AB2A68" w:rsidRDefault="00AB2A68" w:rsidP="000D0C4B">
      <w:pPr>
        <w:rPr>
          <w:lang w:val="es-ES_tradnl"/>
        </w:rPr>
      </w:pPr>
      <w:r>
        <w:rPr>
          <w:lang w:val="es-ES_tradnl"/>
        </w:rPr>
        <w:t>Una DARS de grado</w:t>
      </w:r>
      <w:r w:rsidR="000D0C4B">
        <w:rPr>
          <w:lang w:val="es-ES_tradnl"/>
        </w:rPr>
        <w:t> </w:t>
      </w:r>
      <w:r>
        <w:rPr>
          <w:lang w:val="es-ES_tradnl"/>
        </w:rPr>
        <w:t>1 es una señal de alta precisión destinada a sincronizar sistemáticamente un complejo de múltiples estudios y también puede utilizarse para un estudio autónomo.</w:t>
      </w:r>
    </w:p>
    <w:p w:rsidR="00AB2A68" w:rsidRDefault="00AB2A68" w:rsidP="00AB2A68">
      <w:pPr>
        <w:pStyle w:val="Heading3"/>
        <w:rPr>
          <w:lang w:val="es-ES_tradnl"/>
        </w:rPr>
      </w:pPr>
      <w:r>
        <w:rPr>
          <w:lang w:val="es-ES_tradnl"/>
        </w:rPr>
        <w:t>2.1.3</w:t>
      </w:r>
      <w:r>
        <w:rPr>
          <w:lang w:val="es-ES_tradnl"/>
        </w:rPr>
        <w:tab/>
        <w:t>Identificación de la DARS</w:t>
      </w:r>
    </w:p>
    <w:p w:rsidR="00AB2A68" w:rsidRDefault="00AB2A68" w:rsidP="00AB2A68">
      <w:pPr>
        <w:rPr>
          <w:lang w:val="es-ES_tradnl"/>
        </w:rPr>
      </w:pPr>
      <w:r>
        <w:rPr>
          <w:lang w:val="es-ES_tradnl"/>
        </w:rPr>
        <w:t>Una DARS, cuyo objetivo principal es la sincronización del estudio, deberá identificar su uso pretendido mediante el byte 4, bits 0 y 1, del estado de canal de la Recomendación UIT-R BS.647.</w:t>
      </w:r>
    </w:p>
    <w:p w:rsidR="00AB2A68" w:rsidRPr="00F42C3C" w:rsidRDefault="00AB2A68" w:rsidP="00AB2A68">
      <w:pPr>
        <w:pStyle w:val="TableNo"/>
        <w:rPr>
          <w:lang w:val="en-US" w:eastAsia="ja-JP"/>
        </w:rPr>
      </w:pPr>
      <w:r>
        <w:rPr>
          <w:lang w:val="en-US" w:eastAsia="ja-JP"/>
        </w:rPr>
        <w:t xml:space="preserve">CUADRO </w:t>
      </w:r>
      <w:r w:rsidRPr="00F42C3C">
        <w:rPr>
          <w:lang w:val="en-US" w:eastAsia="ja-JP"/>
        </w:rPr>
        <w:t>2</w:t>
      </w:r>
    </w:p>
    <w:p w:rsidR="00AB2A68" w:rsidRDefault="00AB2A68" w:rsidP="00AB2A68">
      <w:pPr>
        <w:pStyle w:val="Tabletitle"/>
        <w:rPr>
          <w:lang w:val="en-US" w:eastAsia="ja-JP"/>
        </w:rPr>
      </w:pPr>
      <w:r w:rsidRPr="00D7081C">
        <w:rPr>
          <w:lang w:val="en-US" w:eastAsia="ja-JP"/>
        </w:rPr>
        <w:t xml:space="preserve">Byte 4, </w:t>
      </w:r>
      <w:r w:rsidRPr="00D7081C">
        <w:t xml:space="preserve">bits </w:t>
      </w:r>
      <w:r w:rsidRPr="00D7081C">
        <w:rPr>
          <w:lang w:eastAsia="ja-JP"/>
        </w:rPr>
        <w:t>0</w:t>
      </w:r>
      <w:r>
        <w:t xml:space="preserve"> y</w:t>
      </w:r>
      <w:r w:rsidRPr="00D7081C">
        <w:t xml:space="preserve"> </w:t>
      </w:r>
      <w:r w:rsidRPr="00D7081C">
        <w:rPr>
          <w:lang w:eastAsia="ja-JP"/>
        </w:rPr>
        <w:t>1</w:t>
      </w:r>
      <w:r w:rsidRPr="00D7081C">
        <w:rPr>
          <w:lang w:val="en-US" w:eastAsia="ja-JP"/>
        </w:rPr>
        <w:t>: DARS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AB2A68" w:rsidRPr="00290BBA" w:rsidTr="00F9066D">
        <w:trPr>
          <w:jc w:val="center"/>
        </w:trPr>
        <w:tc>
          <w:tcPr>
            <w:tcW w:w="1307" w:type="dxa"/>
          </w:tcPr>
          <w:p w:rsidR="00AB2A68" w:rsidRPr="00290BBA" w:rsidRDefault="00AB2A68" w:rsidP="00F9066D">
            <w:pPr>
              <w:pStyle w:val="Tablehead"/>
            </w:pPr>
            <w:r w:rsidRPr="00290BBA">
              <w:t>Bits</w:t>
            </w:r>
          </w:p>
        </w:tc>
        <w:tc>
          <w:tcPr>
            <w:tcW w:w="1143" w:type="dxa"/>
          </w:tcPr>
          <w:p w:rsidR="00AB2A68" w:rsidRPr="00290BBA" w:rsidRDefault="00AB2A68" w:rsidP="00F9066D">
            <w:pPr>
              <w:pStyle w:val="Tablehead"/>
            </w:pPr>
            <w:r w:rsidRPr="00290BBA">
              <w:t>1 0</w:t>
            </w:r>
          </w:p>
        </w:tc>
        <w:tc>
          <w:tcPr>
            <w:tcW w:w="7189" w:type="dxa"/>
          </w:tcPr>
          <w:p w:rsidR="00AB2A68" w:rsidRPr="00290BBA" w:rsidRDefault="00AB2A68" w:rsidP="00F9066D">
            <w:pPr>
              <w:pStyle w:val="Tablehead"/>
            </w:pPr>
            <w:r>
              <w:t>Señal de referencia de audio digital</w:t>
            </w:r>
          </w:p>
        </w:tc>
      </w:tr>
      <w:tr w:rsidR="00AB2A68" w:rsidRPr="008B1CF9" w:rsidTr="00F9066D">
        <w:trPr>
          <w:jc w:val="center"/>
        </w:trPr>
        <w:tc>
          <w:tcPr>
            <w:tcW w:w="1307" w:type="dxa"/>
            <w:vMerge w:val="restart"/>
            <w:vAlign w:val="center"/>
          </w:tcPr>
          <w:p w:rsidR="00AB2A68" w:rsidRPr="00290BBA" w:rsidRDefault="00AB2A68" w:rsidP="00F9066D">
            <w:pPr>
              <w:pStyle w:val="Tabletext"/>
              <w:jc w:val="center"/>
            </w:pPr>
            <w:r>
              <w:t>Estados</w:t>
            </w:r>
          </w:p>
        </w:tc>
        <w:tc>
          <w:tcPr>
            <w:tcW w:w="1143" w:type="dxa"/>
          </w:tcPr>
          <w:p w:rsidR="00AB2A68" w:rsidRPr="000E2045" w:rsidRDefault="00AB2A68" w:rsidP="00F9066D">
            <w:pPr>
              <w:pStyle w:val="Tabletext"/>
              <w:keepNext/>
              <w:keepLines/>
              <w:tabs>
                <w:tab w:val="left" w:leader="dot" w:pos="7938"/>
                <w:tab w:val="center" w:pos="9526"/>
              </w:tabs>
              <w:ind w:left="567" w:hanging="567"/>
              <w:jc w:val="center"/>
              <w:rPr>
                <w:rStyle w:val="code-courier"/>
              </w:rPr>
            </w:pPr>
            <w:r w:rsidRPr="00112334">
              <w:rPr>
                <w:rStyle w:val="code-courier"/>
              </w:rPr>
              <w:t>0 0</w:t>
            </w:r>
          </w:p>
        </w:tc>
        <w:tc>
          <w:tcPr>
            <w:tcW w:w="7189" w:type="dxa"/>
          </w:tcPr>
          <w:p w:rsidR="00AB2A68" w:rsidRPr="008B1CF9" w:rsidRDefault="00AB2A68" w:rsidP="00F9066D">
            <w:pPr>
              <w:pStyle w:val="Tabletext"/>
              <w:rPr>
                <w:lang w:val="es-ES_tradnl"/>
              </w:rPr>
            </w:pPr>
            <w:r w:rsidRPr="008B1CF9">
              <w:rPr>
                <w:lang w:val="es-ES_tradnl"/>
              </w:rPr>
              <w:t>No es una señal de referencia (</w:t>
            </w:r>
            <w:r>
              <w:rPr>
                <w:lang w:val="es-ES_tradnl"/>
              </w:rPr>
              <w:t>por defecto</w:t>
            </w:r>
            <w:r w:rsidRPr="008B1CF9">
              <w:rPr>
                <w:lang w:val="es-ES_tradnl"/>
              </w:rPr>
              <w:t>)</w:t>
            </w:r>
          </w:p>
        </w:tc>
      </w:tr>
      <w:tr w:rsidR="00AB2A68" w:rsidRPr="00290BBA" w:rsidTr="00F9066D">
        <w:trPr>
          <w:jc w:val="center"/>
        </w:trPr>
        <w:tc>
          <w:tcPr>
            <w:tcW w:w="1307" w:type="dxa"/>
            <w:vMerge/>
          </w:tcPr>
          <w:p w:rsidR="00AB2A68" w:rsidRPr="008B1CF9" w:rsidRDefault="00AB2A68" w:rsidP="00F9066D">
            <w:pPr>
              <w:pStyle w:val="Tabletext"/>
              <w:rPr>
                <w:lang w:val="es-ES_tradnl"/>
              </w:rPr>
            </w:pPr>
          </w:p>
        </w:tc>
        <w:tc>
          <w:tcPr>
            <w:tcW w:w="1143" w:type="dxa"/>
          </w:tcPr>
          <w:p w:rsidR="00AB2A68" w:rsidRPr="00EA1813" w:rsidRDefault="00AB2A68" w:rsidP="00F9066D">
            <w:pPr>
              <w:pStyle w:val="Tabletext"/>
              <w:keepNext/>
              <w:jc w:val="center"/>
              <w:rPr>
                <w:rStyle w:val="code-courier"/>
              </w:rPr>
            </w:pPr>
            <w:r w:rsidRPr="00112334">
              <w:rPr>
                <w:rStyle w:val="code-courier"/>
              </w:rPr>
              <w:t>1 0</w:t>
            </w:r>
          </w:p>
        </w:tc>
        <w:tc>
          <w:tcPr>
            <w:tcW w:w="7189" w:type="dxa"/>
          </w:tcPr>
          <w:p w:rsidR="00AB2A68" w:rsidRPr="00290BBA" w:rsidRDefault="00AB2A68" w:rsidP="00F9066D">
            <w:pPr>
              <w:pStyle w:val="Tabletext"/>
            </w:pPr>
            <w:r>
              <w:t xml:space="preserve">Señal de referencia de grado </w:t>
            </w:r>
            <w:r w:rsidRPr="00290BBA">
              <w:t xml:space="preserve">1 </w:t>
            </w:r>
          </w:p>
        </w:tc>
      </w:tr>
      <w:tr w:rsidR="00AB2A68" w:rsidRPr="00290BBA" w:rsidTr="00F9066D">
        <w:trPr>
          <w:jc w:val="center"/>
        </w:trPr>
        <w:tc>
          <w:tcPr>
            <w:tcW w:w="1307" w:type="dxa"/>
            <w:vMerge/>
          </w:tcPr>
          <w:p w:rsidR="00AB2A68" w:rsidRPr="00290BBA" w:rsidRDefault="00AB2A68" w:rsidP="00F9066D">
            <w:pPr>
              <w:pStyle w:val="Tabletext"/>
            </w:pPr>
          </w:p>
        </w:tc>
        <w:tc>
          <w:tcPr>
            <w:tcW w:w="1143" w:type="dxa"/>
          </w:tcPr>
          <w:p w:rsidR="00AB2A68" w:rsidRPr="00EA1813" w:rsidRDefault="00AB2A68" w:rsidP="00F9066D">
            <w:pPr>
              <w:pStyle w:val="Tabletext"/>
              <w:keepNext/>
              <w:jc w:val="center"/>
              <w:rPr>
                <w:rStyle w:val="code-courier"/>
              </w:rPr>
            </w:pPr>
            <w:r w:rsidRPr="00112334">
              <w:rPr>
                <w:rStyle w:val="code-courier"/>
              </w:rPr>
              <w:t>0 1</w:t>
            </w:r>
          </w:p>
        </w:tc>
        <w:tc>
          <w:tcPr>
            <w:tcW w:w="7189" w:type="dxa"/>
          </w:tcPr>
          <w:p w:rsidR="00AB2A68" w:rsidRPr="00290BBA" w:rsidRDefault="00AB2A68" w:rsidP="00F9066D">
            <w:pPr>
              <w:pStyle w:val="Tabletext"/>
              <w:rPr>
                <w:lang w:eastAsia="ja-JP"/>
              </w:rPr>
            </w:pPr>
            <w:r>
              <w:t>Señal de referencia de grado 2</w:t>
            </w:r>
            <w:r>
              <w:rPr>
                <w:lang w:eastAsia="ja-JP"/>
              </w:rPr>
              <w:t>*</w:t>
            </w:r>
          </w:p>
        </w:tc>
      </w:tr>
      <w:tr w:rsidR="00AB2A68" w:rsidRPr="00E10D88" w:rsidTr="00F9066D">
        <w:trPr>
          <w:jc w:val="center"/>
        </w:trPr>
        <w:tc>
          <w:tcPr>
            <w:tcW w:w="1307" w:type="dxa"/>
            <w:vMerge/>
            <w:tcBorders>
              <w:bottom w:val="single" w:sz="4" w:space="0" w:color="auto"/>
            </w:tcBorders>
          </w:tcPr>
          <w:p w:rsidR="00AB2A68" w:rsidRPr="00290BBA" w:rsidRDefault="00AB2A68" w:rsidP="00F9066D">
            <w:pPr>
              <w:pStyle w:val="Tabletext"/>
            </w:pPr>
          </w:p>
        </w:tc>
        <w:tc>
          <w:tcPr>
            <w:tcW w:w="1143" w:type="dxa"/>
            <w:tcBorders>
              <w:bottom w:val="single" w:sz="4" w:space="0" w:color="auto"/>
            </w:tcBorders>
          </w:tcPr>
          <w:p w:rsidR="00AB2A68" w:rsidRPr="00EA1813" w:rsidRDefault="00AB2A68" w:rsidP="00F9066D">
            <w:pPr>
              <w:pStyle w:val="Tabletext"/>
              <w:keepNext/>
              <w:jc w:val="center"/>
              <w:rPr>
                <w:rStyle w:val="code-courier"/>
              </w:rPr>
            </w:pPr>
            <w:r w:rsidRPr="00112334">
              <w:rPr>
                <w:rStyle w:val="code-courier"/>
              </w:rPr>
              <w:t>1 1</w:t>
            </w:r>
          </w:p>
        </w:tc>
        <w:tc>
          <w:tcPr>
            <w:tcW w:w="7189" w:type="dxa"/>
            <w:tcBorders>
              <w:bottom w:val="single" w:sz="4" w:space="0" w:color="auto"/>
            </w:tcBorders>
          </w:tcPr>
          <w:p w:rsidR="00AB2A68" w:rsidRPr="00E10D88" w:rsidRDefault="00AB2A68" w:rsidP="00F9066D">
            <w:pPr>
              <w:pStyle w:val="Tabletext"/>
              <w:rPr>
                <w:lang w:val="es-ES_tradnl"/>
              </w:rPr>
            </w:pPr>
            <w:r w:rsidRPr="00E10D88">
              <w:rPr>
                <w:lang w:val="es-ES_tradnl"/>
              </w:rPr>
              <w:t>Reservado y no se utilizar</w:t>
            </w:r>
            <w:r>
              <w:rPr>
                <w:lang w:val="es-ES_tradnl"/>
              </w:rPr>
              <w:t>á hasta que se defina</w:t>
            </w:r>
          </w:p>
        </w:tc>
      </w:tr>
      <w:tr w:rsidR="00AB2A68" w:rsidRPr="00E10D88" w:rsidTr="00F9066D">
        <w:trPr>
          <w:jc w:val="center"/>
        </w:trPr>
        <w:tc>
          <w:tcPr>
            <w:tcW w:w="9639" w:type="dxa"/>
            <w:gridSpan w:val="3"/>
            <w:tcBorders>
              <w:left w:val="nil"/>
              <w:bottom w:val="nil"/>
            </w:tcBorders>
          </w:tcPr>
          <w:p w:rsidR="00AB2A68" w:rsidRPr="00E10D88" w:rsidRDefault="00AB2A68" w:rsidP="00F9066D">
            <w:pPr>
              <w:pStyle w:val="Tablelegend"/>
              <w:rPr>
                <w:lang w:val="es-ES_tradnl"/>
              </w:rPr>
            </w:pPr>
            <w:r w:rsidRPr="00E10D88">
              <w:rPr>
                <w:lang w:val="es-ES_tradnl" w:eastAsia="ja-JP"/>
              </w:rPr>
              <w:t>*</w:t>
            </w:r>
            <w:r w:rsidRPr="00E10D88">
              <w:rPr>
                <w:lang w:val="es-ES_tradnl" w:eastAsia="ja-JP"/>
              </w:rPr>
              <w:tab/>
              <w:t>No se usa en esta Recomendación</w:t>
            </w:r>
            <w:r w:rsidRPr="00E10D88">
              <w:rPr>
                <w:lang w:val="es-ES_tradnl"/>
              </w:rPr>
              <w:t>.</w:t>
            </w:r>
          </w:p>
        </w:tc>
      </w:tr>
    </w:tbl>
    <w:p w:rsidR="00AB2A68" w:rsidRPr="00E10D88" w:rsidRDefault="00AB2A68" w:rsidP="00AB2A68">
      <w:pPr>
        <w:pStyle w:val="Tablefin"/>
        <w:rPr>
          <w:lang w:val="es-ES_tradnl"/>
        </w:rPr>
      </w:pPr>
    </w:p>
    <w:p w:rsidR="00AB2A68" w:rsidRDefault="00AB2A68" w:rsidP="00AB2A68">
      <w:pPr>
        <w:pStyle w:val="Heading3"/>
        <w:rPr>
          <w:lang w:val="es-ES_tradnl"/>
        </w:rPr>
      </w:pPr>
      <w:r>
        <w:rPr>
          <w:lang w:val="es-ES_tradnl"/>
        </w:rPr>
        <w:t>2.1.4</w:t>
      </w:r>
      <w:r>
        <w:rPr>
          <w:lang w:val="es-ES_tradnl"/>
        </w:rPr>
        <w:tab/>
        <w:t>Contenido distinto de audio de la DARS</w:t>
      </w:r>
    </w:p>
    <w:p w:rsidR="00AB2A68" w:rsidRDefault="00AB2A68" w:rsidP="00AB2A68">
      <w:pPr>
        <w:rPr>
          <w:lang w:val="es-ES_tradnl"/>
        </w:rPr>
      </w:pPr>
      <w:r>
        <w:rPr>
          <w:lang w:val="es-ES_tradnl"/>
        </w:rPr>
        <w:t>Una DARS se identificará en el estado de canal como «MIC no lineal» cuando contenga otros datos que no hagan posible su utilización como una señal de audio normal. Véase la Recomendación UIT</w:t>
      </w:r>
      <w:r>
        <w:rPr>
          <w:lang w:val="es-ES_tradnl"/>
        </w:rPr>
        <w:noBreakHyphen/>
        <w:t>R SB.647, estado de canal.</w:t>
      </w:r>
    </w:p>
    <w:p w:rsidR="00AB2A68" w:rsidRDefault="00AB2A68" w:rsidP="00AB2A68">
      <w:pPr>
        <w:pStyle w:val="Note"/>
        <w:rPr>
          <w:lang w:val="es-ES_tradnl"/>
        </w:rPr>
      </w:pPr>
      <w:r>
        <w:rPr>
          <w:lang w:val="es-ES_tradnl"/>
        </w:rPr>
        <w:t>NOTA – Una DARS puede cursar un tono de alineamiento en forma MIC lineal.</w:t>
      </w:r>
    </w:p>
    <w:p w:rsidR="00AB2A68" w:rsidRDefault="00AB2A68" w:rsidP="00AB2A68">
      <w:pPr>
        <w:pStyle w:val="Heading3"/>
        <w:rPr>
          <w:lang w:val="es-ES_tradnl"/>
        </w:rPr>
      </w:pPr>
      <w:r>
        <w:rPr>
          <w:lang w:val="es-ES_tradnl"/>
        </w:rPr>
        <w:t>2.1.5</w:t>
      </w:r>
      <w:r>
        <w:rPr>
          <w:lang w:val="es-ES_tradnl"/>
        </w:rPr>
        <w:tab/>
        <w:t>Fecha y hora en la DARS</w:t>
      </w:r>
    </w:p>
    <w:p w:rsidR="00AB2A68" w:rsidRDefault="00AB2A68" w:rsidP="00AB2A68">
      <w:pPr>
        <w:rPr>
          <w:lang w:val="es-ES_tradnl"/>
        </w:rPr>
      </w:pPr>
      <w:r>
        <w:rPr>
          <w:lang w:val="es-ES_tradnl"/>
        </w:rPr>
        <w:t xml:space="preserve">Cuando una DARS se emplea para cursar información sobre la fecha y la hora en el canal de usuario, deberá señalizarse en el estado de canal utilizando los bits especificados en la Recomendación UIT-R </w:t>
      </w:r>
      <w:r w:rsidRPr="000A2968">
        <w:rPr>
          <w:lang w:val="es-ES_tradnl"/>
        </w:rPr>
        <w:t>BS.647</w:t>
      </w:r>
      <w:r>
        <w:rPr>
          <w:rStyle w:val="FootnoteReference"/>
        </w:rPr>
        <w:footnoteReference w:id="1"/>
      </w:r>
      <w:r>
        <w:rPr>
          <w:lang w:val="es-ES_tradnl"/>
        </w:rPr>
        <w:t xml:space="preserve"> para el transporte de metadatos en el canal de usuario.</w:t>
      </w:r>
    </w:p>
    <w:p w:rsidR="00AB2A68" w:rsidRDefault="00AB2A68" w:rsidP="00AB2A68">
      <w:pPr>
        <w:pStyle w:val="Heading3"/>
        <w:rPr>
          <w:lang w:val="es-ES_tradnl"/>
        </w:rPr>
      </w:pPr>
      <w:r>
        <w:rPr>
          <w:lang w:val="es-ES_tradnl"/>
        </w:rPr>
        <w:lastRenderedPageBreak/>
        <w:t>2.1.6</w:t>
      </w:r>
      <w:r>
        <w:rPr>
          <w:lang w:val="es-ES_tradnl"/>
        </w:rPr>
        <w:tab/>
        <w:t>Frecuencia de muestreo de la DARS</w:t>
      </w:r>
    </w:p>
    <w:p w:rsidR="00AB2A68" w:rsidRDefault="00AB2A68" w:rsidP="00AB2A68">
      <w:pPr>
        <w:rPr>
          <w:lang w:val="es-ES_tradnl"/>
        </w:rPr>
      </w:pPr>
      <w:r>
        <w:rPr>
          <w:lang w:val="es-ES_tradnl"/>
        </w:rPr>
        <w:t>Las frecuencias de muestreo distribuidas por una DARS serán de 48 kHz o 96 kHz (véase el § 2.2.2).</w:t>
      </w:r>
    </w:p>
    <w:p w:rsidR="00AB2A68" w:rsidRDefault="00AB2A68" w:rsidP="00AB2A68">
      <w:pPr>
        <w:pStyle w:val="Heading2"/>
        <w:rPr>
          <w:lang w:val="es-ES_tradnl"/>
        </w:rPr>
      </w:pPr>
      <w:r>
        <w:rPr>
          <w:lang w:val="es-ES_tradnl"/>
        </w:rPr>
        <w:t>2.2</w:t>
      </w:r>
      <w:r>
        <w:rPr>
          <w:lang w:val="es-ES_tradnl"/>
        </w:rPr>
        <w:tab/>
        <w:t>Tolerancia de las frecuencias de muestreo en los equipos</w:t>
      </w:r>
    </w:p>
    <w:p w:rsidR="00AB2A68" w:rsidRDefault="00AB2A68" w:rsidP="00AB2A68">
      <w:pPr>
        <w:pStyle w:val="Heading3"/>
        <w:rPr>
          <w:lang w:val="es-ES_tradnl"/>
        </w:rPr>
      </w:pPr>
      <w:r>
        <w:rPr>
          <w:lang w:val="es-ES_tradnl"/>
        </w:rPr>
        <w:t>2.2.1</w:t>
      </w:r>
      <w:r>
        <w:rPr>
          <w:lang w:val="es-ES_tradnl"/>
        </w:rPr>
        <w:tab/>
        <w:t>Precisión de frecuencia a largo plazo</w:t>
      </w:r>
    </w:p>
    <w:p w:rsidR="00AB2A68" w:rsidRDefault="00AB2A68" w:rsidP="00AB2A68">
      <w:pPr>
        <w:rPr>
          <w:lang w:val="es-ES_tradnl"/>
        </w:rPr>
      </w:pPr>
      <w:r>
        <w:rPr>
          <w:lang w:val="es-ES_tradnl"/>
        </w:rPr>
        <w:t xml:space="preserve">Una DARS de grado 1 mantendrá una precisión de frecuencia a largo plazo de </w:t>
      </w:r>
      <w:r w:rsidRPr="000A2968">
        <w:rPr>
          <w:lang w:val="es-ES_tradnl"/>
        </w:rPr>
        <w:t>±1</w:t>
      </w:r>
      <w:r>
        <w:rPr>
          <w:lang w:val="es-ES_tradnl"/>
        </w:rPr>
        <w:t xml:space="preserve"> parte por millón (ppm) con respecto a su frecuencia nominal. A los equipos diseñados para proporcionar señales de referencia de grado 1 sólo se les exigirá engancharse a otras señales de referencia de grado 1.</w:t>
      </w:r>
    </w:p>
    <w:p w:rsidR="00AB2A68" w:rsidRDefault="00AB2A68" w:rsidP="00AB2A68">
      <w:pPr>
        <w:pStyle w:val="Heading3"/>
        <w:rPr>
          <w:lang w:val="es-ES_tradnl"/>
        </w:rPr>
      </w:pPr>
      <w:r>
        <w:rPr>
          <w:lang w:val="es-ES_tradnl"/>
        </w:rPr>
        <w:t>2.2.2</w:t>
      </w:r>
      <w:r>
        <w:rPr>
          <w:lang w:val="es-ES_tradnl"/>
        </w:rPr>
        <w:tab/>
        <w:t>Gama de captura</w:t>
      </w:r>
    </w:p>
    <w:p w:rsidR="00AB2A68" w:rsidRDefault="00AB2A68" w:rsidP="00AB2A68">
      <w:pPr>
        <w:rPr>
          <w:lang w:val="es-ES_tradnl"/>
        </w:rPr>
      </w:pPr>
      <w:r>
        <w:rPr>
          <w:lang w:val="es-ES_tradnl"/>
        </w:rPr>
        <w:t xml:space="preserve">La mínima gama de captura de los osciladores de los equipos diseñados para engancharse a entradas externas debe ser de </w:t>
      </w:r>
      <w:r w:rsidRPr="00237E4F">
        <w:rPr>
          <w:lang w:val="es-ES_tradnl"/>
        </w:rPr>
        <w:t>±</w:t>
      </w:r>
      <w:r>
        <w:rPr>
          <w:lang w:val="es-ES_tradnl"/>
        </w:rPr>
        <w:t xml:space="preserve"> 2 ppm en los equipos de grado 1.</w:t>
      </w:r>
    </w:p>
    <w:p w:rsidR="00AB2A68" w:rsidRDefault="00AB2A68" w:rsidP="00AB2A68">
      <w:pPr>
        <w:pStyle w:val="Heading2"/>
        <w:rPr>
          <w:lang w:val="es-ES_tradnl"/>
        </w:rPr>
      </w:pPr>
      <w:r>
        <w:rPr>
          <w:lang w:val="es-ES_tradnl"/>
        </w:rPr>
        <w:t>2.3</w:t>
      </w:r>
      <w:r>
        <w:rPr>
          <w:lang w:val="es-ES_tradnl"/>
        </w:rPr>
        <w:tab/>
        <w:t>Relaciones de temporización de los equipos</w:t>
      </w:r>
    </w:p>
    <w:p w:rsidR="00AB2A68" w:rsidRDefault="00AB2A68" w:rsidP="00AB2A68">
      <w:pPr>
        <w:pStyle w:val="Heading3"/>
        <w:rPr>
          <w:lang w:val="es-ES_tradnl"/>
        </w:rPr>
      </w:pPr>
      <w:r>
        <w:rPr>
          <w:lang w:val="es-ES_tradnl"/>
        </w:rPr>
        <w:t>2.3.1</w:t>
      </w:r>
      <w:r>
        <w:rPr>
          <w:lang w:val="es-ES_tradnl"/>
        </w:rPr>
        <w:tab/>
        <w:t>consideraciones generales</w:t>
      </w:r>
    </w:p>
    <w:p w:rsidR="00AB2A68" w:rsidRDefault="00AB2A68" w:rsidP="00AB2A68">
      <w:pPr>
        <w:rPr>
          <w:lang w:val="es-ES_tradnl"/>
        </w:rPr>
      </w:pPr>
      <w:r>
        <w:rPr>
          <w:lang w:val="es-ES_tradnl"/>
        </w:rPr>
        <w:t>El punto de temporización de referencia se utiliza para definir la relación de temporización entre la DARS y las señales de entrada y salida de audio digital.</w:t>
      </w:r>
    </w:p>
    <w:p w:rsidR="00AB2A68" w:rsidRDefault="00AB2A68" w:rsidP="00AB2A68">
      <w:pPr>
        <w:pStyle w:val="Heading4"/>
        <w:rPr>
          <w:lang w:val="es-ES_tradnl"/>
        </w:rPr>
      </w:pPr>
      <w:r>
        <w:rPr>
          <w:lang w:val="es-ES_tradnl"/>
        </w:rPr>
        <w:t>2.3.1.1</w:t>
      </w:r>
      <w:r>
        <w:rPr>
          <w:lang w:val="es-ES_tradnl"/>
        </w:rPr>
        <w:tab/>
        <w:t xml:space="preserve">Fase de </w:t>
      </w:r>
      <w:r w:rsidR="002B3320">
        <w:rPr>
          <w:lang w:val="es-ES_tradnl"/>
        </w:rPr>
        <w:t xml:space="preserve">la </w:t>
      </w:r>
      <w:r>
        <w:rPr>
          <w:lang w:val="es-ES_tradnl"/>
        </w:rPr>
        <w:t>temporización de la salida</w:t>
      </w:r>
    </w:p>
    <w:p w:rsidR="00AB2A68" w:rsidRDefault="00AB2A68" w:rsidP="00AB2A68">
      <w:pPr>
        <w:rPr>
          <w:lang w:val="es-ES_tradnl"/>
        </w:rPr>
      </w:pPr>
      <w:r>
        <w:rPr>
          <w:lang w:val="es-ES_tradnl"/>
        </w:rPr>
        <w:t xml:space="preserve">La diferencia entre los puntos de temporización de referencia de la DARS y todas las señales de salida, en los puntos del conector del equipo, deberá ser inferior al </w:t>
      </w:r>
      <w:r w:rsidRPr="000A2968">
        <w:rPr>
          <w:lang w:val="es-ES_tradnl"/>
        </w:rPr>
        <w:t>±</w:t>
      </w:r>
      <w:r>
        <w:rPr>
          <w:lang w:val="es-ES_tradnl"/>
        </w:rPr>
        <w:t> 5% del periodo de trama de la Recomendación UIT-R BS.647.</w:t>
      </w:r>
    </w:p>
    <w:p w:rsidR="00AB2A68" w:rsidRDefault="00AB2A68" w:rsidP="00AB2A68">
      <w:pPr>
        <w:rPr>
          <w:lang w:val="es-ES_tradnl"/>
        </w:rPr>
      </w:pPr>
      <w:r>
        <w:rPr>
          <w:lang w:val="es-ES_tradnl"/>
        </w:rPr>
        <w:t>El punto de temporización de referencia de una señal de salida con frecuencia de muestreo de doble velocidad o superior deberá encontrarse dentro de los márgenes de tolerancia indicados en su propia velocidad de trama de la Recomendación UIT-R BS.647.</w:t>
      </w:r>
    </w:p>
    <w:p w:rsidR="00AB2A68" w:rsidRDefault="00AB2A68" w:rsidP="000A7409">
      <w:pPr>
        <w:pStyle w:val="Heading4"/>
        <w:rPr>
          <w:lang w:val="es-ES_tradnl"/>
        </w:rPr>
      </w:pPr>
      <w:r>
        <w:rPr>
          <w:lang w:val="es-ES_tradnl"/>
        </w:rPr>
        <w:t>2.3.1.</w:t>
      </w:r>
      <w:r w:rsidR="000A7409">
        <w:rPr>
          <w:lang w:val="es-ES_tradnl"/>
        </w:rPr>
        <w:t>2</w:t>
      </w:r>
      <w:r>
        <w:rPr>
          <w:lang w:val="es-ES_tradnl"/>
        </w:rPr>
        <w:tab/>
        <w:t>Retard</w:t>
      </w:r>
      <w:r w:rsidR="000A7409">
        <w:rPr>
          <w:lang w:val="es-ES_tradnl"/>
        </w:rPr>
        <w:t>o</w:t>
      </w:r>
      <w:r>
        <w:rPr>
          <w:lang w:val="es-ES_tradnl"/>
        </w:rPr>
        <w:t xml:space="preserve"> del dispositivo</w:t>
      </w:r>
    </w:p>
    <w:p w:rsidR="00AB2A68" w:rsidRDefault="00AB2A68" w:rsidP="00AB2A68">
      <w:pPr>
        <w:rPr>
          <w:lang w:val="es-ES_tradnl"/>
        </w:rPr>
      </w:pPr>
      <w:r>
        <w:rPr>
          <w:lang w:val="es-ES_tradnl"/>
        </w:rPr>
        <w:t xml:space="preserve">Los receptores deberán diseñarse de manera que el número de muestras de retardo a través de un dispositivo permanezca constante y conocido mientras que la diferencia entre los puntos de temporización de referencia de la DARS y todas las señales de entrada sea inferior al </w:t>
      </w:r>
      <w:r w:rsidR="002C3A5F">
        <w:rPr>
          <w:lang w:val="es-ES_tradnl"/>
        </w:rPr>
        <w:t>±</w:t>
      </w:r>
      <w:r>
        <w:rPr>
          <w:lang w:val="es-ES_tradnl"/>
        </w:rPr>
        <w:t>25% del periodo de trama de la Recomendación UIT-R BS.647.</w:t>
      </w:r>
    </w:p>
    <w:p w:rsidR="00AB2A68" w:rsidRDefault="00AB2A68" w:rsidP="00AB2A68">
      <w:pPr>
        <w:pStyle w:val="Heading3"/>
        <w:rPr>
          <w:lang w:val="es-ES_tradnl"/>
        </w:rPr>
      </w:pPr>
      <w:r>
        <w:rPr>
          <w:lang w:val="es-ES_tradnl"/>
        </w:rPr>
        <w:t>2.3.2</w:t>
      </w:r>
      <w:r>
        <w:rPr>
          <w:lang w:val="es-ES_tradnl"/>
        </w:rPr>
        <w:tab/>
        <w:t>Límites de la temporización</w:t>
      </w:r>
    </w:p>
    <w:p w:rsidR="00AB2A68" w:rsidRDefault="00AB2A68" w:rsidP="00AB2A68">
      <w:pPr>
        <w:rPr>
          <w:lang w:val="es-ES_tradnl"/>
        </w:rPr>
      </w:pPr>
      <w:r>
        <w:rPr>
          <w:lang w:val="es-ES_tradnl"/>
        </w:rPr>
        <w:t>El Cuadro 3 especifica los valores de tolerancia para las frecuencia de muestreo que se emplean en esta Recomendación.</w:t>
      </w:r>
    </w:p>
    <w:p w:rsidR="00AB2A68" w:rsidRPr="007E584C" w:rsidRDefault="00AB2A68" w:rsidP="00AB2A68">
      <w:pPr>
        <w:pStyle w:val="TableNo"/>
        <w:rPr>
          <w:lang w:val="es-ES_tradnl"/>
        </w:rPr>
      </w:pPr>
      <w:r w:rsidRPr="007E584C">
        <w:rPr>
          <w:lang w:val="es-ES_tradnl"/>
        </w:rPr>
        <w:t xml:space="preserve">CUADRO </w:t>
      </w:r>
      <w:r w:rsidRPr="007E584C">
        <w:rPr>
          <w:lang w:val="es-ES_tradnl" w:eastAsia="ja-JP"/>
        </w:rPr>
        <w:t>3</w:t>
      </w:r>
    </w:p>
    <w:p w:rsidR="00AB2A68" w:rsidRPr="00330215" w:rsidRDefault="00AB2A68" w:rsidP="00AB2A68">
      <w:pPr>
        <w:pStyle w:val="Tabletitle"/>
        <w:rPr>
          <w:lang w:val="es-ES_tradnl"/>
        </w:rPr>
      </w:pPr>
      <w:r w:rsidRPr="00330215">
        <w:rPr>
          <w:lang w:val="es-ES_tradnl"/>
        </w:rPr>
        <w:t>Sincronización del ángulo digital: limites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417"/>
        <w:gridCol w:w="2268"/>
        <w:gridCol w:w="2268"/>
      </w:tblGrid>
      <w:tr w:rsidR="00AB2A68" w:rsidTr="00F9066D">
        <w:trPr>
          <w:jc w:val="center"/>
        </w:trPr>
        <w:tc>
          <w:tcPr>
            <w:tcW w:w="2835" w:type="dxa"/>
            <w:vMerge w:val="restart"/>
            <w:vAlign w:val="center"/>
          </w:tcPr>
          <w:p w:rsidR="00AB2A68" w:rsidRDefault="00AB2A68" w:rsidP="00AB2A68">
            <w:pPr>
              <w:pStyle w:val="Tablehead"/>
              <w:keepLines/>
            </w:pPr>
            <w:r>
              <w:t>Frecuencia de muestreo profesional</w:t>
            </w:r>
            <w:r>
              <w:br/>
              <w:t>(kHz)</w:t>
            </w:r>
          </w:p>
        </w:tc>
        <w:tc>
          <w:tcPr>
            <w:tcW w:w="5953" w:type="dxa"/>
            <w:gridSpan w:val="3"/>
          </w:tcPr>
          <w:p w:rsidR="00AB2A68" w:rsidRPr="00DB56B1" w:rsidRDefault="00AB2A68" w:rsidP="00AB2A68">
            <w:pPr>
              <w:pStyle w:val="Tablehead"/>
              <w:keepLines/>
            </w:pPr>
            <w:r>
              <w:t>Ventana de sincronización µs</w:t>
            </w:r>
          </w:p>
        </w:tc>
      </w:tr>
      <w:tr w:rsidR="00AB2A68" w:rsidTr="00F9066D">
        <w:trPr>
          <w:jc w:val="center"/>
        </w:trPr>
        <w:tc>
          <w:tcPr>
            <w:tcW w:w="2835" w:type="dxa"/>
            <w:vMerge/>
          </w:tcPr>
          <w:p w:rsidR="00AB2A68" w:rsidRDefault="00AB2A68" w:rsidP="00AB2A68">
            <w:pPr>
              <w:pStyle w:val="Tablehead"/>
              <w:keepLines/>
            </w:pPr>
          </w:p>
        </w:tc>
        <w:tc>
          <w:tcPr>
            <w:tcW w:w="1417" w:type="dxa"/>
            <w:vAlign w:val="center"/>
          </w:tcPr>
          <w:p w:rsidR="00AB2A68" w:rsidRDefault="00AB2A68" w:rsidP="00AB2A68">
            <w:pPr>
              <w:pStyle w:val="Tablehead"/>
              <w:keepLines/>
            </w:pPr>
            <w:r>
              <w:t>1/</w:t>
            </w:r>
            <w:r w:rsidRPr="00797EC2">
              <w:rPr>
                <w:i/>
                <w:iCs/>
              </w:rPr>
              <w:t>f</w:t>
            </w:r>
            <w:r w:rsidRPr="00797EC2">
              <w:rPr>
                <w:rFonts w:cs="Times New Roman Bold"/>
                <w:i/>
                <w:iCs/>
                <w:vertAlign w:val="subscript"/>
              </w:rPr>
              <w:t>s</w:t>
            </w:r>
          </w:p>
        </w:tc>
        <w:tc>
          <w:tcPr>
            <w:tcW w:w="2268" w:type="dxa"/>
          </w:tcPr>
          <w:p w:rsidR="00AB2A68" w:rsidRPr="00DB56B1" w:rsidRDefault="00AB2A68" w:rsidP="00AB2A68">
            <w:pPr>
              <w:pStyle w:val="Tablehead"/>
              <w:keepLines/>
            </w:pPr>
            <w:r>
              <w:t>Variación permitida</w:t>
            </w:r>
            <w:r w:rsidRPr="00DB56B1">
              <w:t>,</w:t>
            </w:r>
            <w:r w:rsidRPr="00DB56B1">
              <w:br/>
            </w:r>
            <w:r>
              <w:t xml:space="preserve">entrada </w:t>
            </w:r>
            <w:r>
              <w:rPr>
                <w:rFonts w:hint="eastAsia"/>
                <w:lang w:eastAsia="ja-JP"/>
              </w:rPr>
              <w:t>(</w:t>
            </w:r>
            <w:r w:rsidRPr="000E2045">
              <w:rPr>
                <w:rFonts w:hint="eastAsia"/>
                <w:lang w:eastAsia="ja-JP"/>
              </w:rPr>
              <w:t>§</w:t>
            </w:r>
            <w:r>
              <w:rPr>
                <w:rFonts w:hint="eastAsia"/>
                <w:lang w:eastAsia="ja-JP"/>
              </w:rPr>
              <w:t xml:space="preserve"> 2.3.1.2)</w:t>
            </w:r>
          </w:p>
        </w:tc>
        <w:tc>
          <w:tcPr>
            <w:tcW w:w="2268" w:type="dxa"/>
          </w:tcPr>
          <w:p w:rsidR="00AB2A68" w:rsidRPr="00DB56B1" w:rsidRDefault="00AB2A68" w:rsidP="00AB2A68">
            <w:pPr>
              <w:pStyle w:val="Tablehead"/>
              <w:keepLines/>
            </w:pPr>
            <w:r>
              <w:t>Variación permitida</w:t>
            </w:r>
            <w:r w:rsidRPr="00DB56B1">
              <w:t>,</w:t>
            </w:r>
            <w:r w:rsidRPr="00DB56B1">
              <w:br/>
            </w:r>
            <w:r>
              <w:t xml:space="preserve">salida </w:t>
            </w:r>
            <w:r>
              <w:rPr>
                <w:rFonts w:hint="eastAsia"/>
                <w:lang w:eastAsia="ja-JP"/>
              </w:rPr>
              <w:t>(</w:t>
            </w:r>
            <w:r w:rsidRPr="00112334">
              <w:rPr>
                <w:lang w:eastAsia="ja-JP"/>
              </w:rPr>
              <w:t>§</w:t>
            </w:r>
            <w:r>
              <w:rPr>
                <w:rFonts w:hint="eastAsia"/>
                <w:lang w:eastAsia="ja-JP"/>
              </w:rPr>
              <w:t xml:space="preserve"> 2.3.1.1)</w:t>
            </w:r>
          </w:p>
        </w:tc>
      </w:tr>
      <w:tr w:rsidR="00AB2A68" w:rsidTr="00F9066D">
        <w:trPr>
          <w:jc w:val="center"/>
        </w:trPr>
        <w:tc>
          <w:tcPr>
            <w:tcW w:w="2835" w:type="dxa"/>
          </w:tcPr>
          <w:p w:rsidR="00AB2A68" w:rsidRDefault="00AB2A68" w:rsidP="00AB2A68">
            <w:pPr>
              <w:pStyle w:val="Tabletext"/>
              <w:keepNext/>
              <w:keepLines/>
              <w:jc w:val="center"/>
            </w:pPr>
            <w:r>
              <w:t>48</w:t>
            </w:r>
          </w:p>
        </w:tc>
        <w:tc>
          <w:tcPr>
            <w:tcW w:w="1417" w:type="dxa"/>
          </w:tcPr>
          <w:p w:rsidR="00AB2A68" w:rsidRDefault="00AB2A68" w:rsidP="00AB2A68">
            <w:pPr>
              <w:pStyle w:val="Tabletext"/>
              <w:keepNext/>
              <w:keepLines/>
              <w:jc w:val="center"/>
            </w:pPr>
            <w:r>
              <w:t>20,83</w:t>
            </w:r>
          </w:p>
        </w:tc>
        <w:tc>
          <w:tcPr>
            <w:tcW w:w="2268" w:type="dxa"/>
          </w:tcPr>
          <w:p w:rsidR="00AB2A68" w:rsidRDefault="00AB2A68" w:rsidP="00AB2A68">
            <w:pPr>
              <w:pStyle w:val="Tabletext"/>
              <w:keepNext/>
              <w:keepLines/>
              <w:jc w:val="center"/>
            </w:pPr>
            <w:r>
              <w:t>±5</w:t>
            </w:r>
            <w:r>
              <w:rPr>
                <w:lang w:eastAsia="ja-JP"/>
              </w:rPr>
              <w:t>,</w:t>
            </w:r>
            <w:r>
              <w:t>2</w:t>
            </w:r>
          </w:p>
        </w:tc>
        <w:tc>
          <w:tcPr>
            <w:tcW w:w="2268" w:type="dxa"/>
          </w:tcPr>
          <w:p w:rsidR="00AB2A68" w:rsidRDefault="00AB2A68" w:rsidP="00AB2A68">
            <w:pPr>
              <w:pStyle w:val="Tabletext"/>
              <w:keepNext/>
              <w:keepLines/>
              <w:jc w:val="center"/>
            </w:pPr>
            <w:r>
              <w:t>±1</w:t>
            </w:r>
            <w:r>
              <w:rPr>
                <w:lang w:eastAsia="ja-JP"/>
              </w:rPr>
              <w:t>,</w:t>
            </w:r>
            <w:r>
              <w:t>0</w:t>
            </w:r>
          </w:p>
        </w:tc>
      </w:tr>
      <w:tr w:rsidR="00AB2A68" w:rsidTr="00F9066D">
        <w:trPr>
          <w:jc w:val="center"/>
        </w:trPr>
        <w:tc>
          <w:tcPr>
            <w:tcW w:w="2835" w:type="dxa"/>
          </w:tcPr>
          <w:p w:rsidR="00AB2A68" w:rsidRDefault="00AB2A68" w:rsidP="00F9066D">
            <w:pPr>
              <w:pStyle w:val="Tabletext"/>
              <w:jc w:val="center"/>
            </w:pPr>
            <w:r>
              <w:t>96</w:t>
            </w:r>
          </w:p>
        </w:tc>
        <w:tc>
          <w:tcPr>
            <w:tcW w:w="1417" w:type="dxa"/>
          </w:tcPr>
          <w:p w:rsidR="00AB2A68" w:rsidRDefault="00AB2A68" w:rsidP="00F9066D">
            <w:pPr>
              <w:pStyle w:val="Tabletext"/>
              <w:jc w:val="center"/>
            </w:pPr>
            <w:r>
              <w:t>10,41</w:t>
            </w:r>
          </w:p>
        </w:tc>
        <w:tc>
          <w:tcPr>
            <w:tcW w:w="2268" w:type="dxa"/>
          </w:tcPr>
          <w:p w:rsidR="00AB2A68" w:rsidRDefault="00AB2A68" w:rsidP="00F9066D">
            <w:pPr>
              <w:pStyle w:val="Tabletext"/>
              <w:jc w:val="center"/>
            </w:pPr>
            <w:r>
              <w:t>±2</w:t>
            </w:r>
            <w:r>
              <w:rPr>
                <w:lang w:eastAsia="ja-JP"/>
              </w:rPr>
              <w:t>,</w:t>
            </w:r>
            <w:r>
              <w:t>6</w:t>
            </w:r>
          </w:p>
        </w:tc>
        <w:tc>
          <w:tcPr>
            <w:tcW w:w="2268" w:type="dxa"/>
          </w:tcPr>
          <w:p w:rsidR="00AB2A68" w:rsidRDefault="00AB2A68" w:rsidP="00F9066D">
            <w:pPr>
              <w:pStyle w:val="Tabletext"/>
              <w:jc w:val="center"/>
            </w:pPr>
            <w:r>
              <w:t>±0</w:t>
            </w:r>
            <w:r>
              <w:rPr>
                <w:lang w:eastAsia="ja-JP"/>
              </w:rPr>
              <w:t>,</w:t>
            </w:r>
            <w:r>
              <w:t>5</w:t>
            </w:r>
          </w:p>
        </w:tc>
      </w:tr>
    </w:tbl>
    <w:p w:rsidR="00AB2A68" w:rsidRDefault="00AB2A68" w:rsidP="00AB2A68">
      <w:pPr>
        <w:pStyle w:val="Tablefin"/>
      </w:pPr>
    </w:p>
    <w:p w:rsidR="00AB2A68" w:rsidRDefault="00AB2A68" w:rsidP="00AB2A68">
      <w:pPr>
        <w:pStyle w:val="Heading2"/>
        <w:rPr>
          <w:lang w:val="es-ES_tradnl"/>
        </w:rPr>
      </w:pPr>
      <w:r>
        <w:rPr>
          <w:lang w:val="es-ES_tradnl"/>
        </w:rPr>
        <w:lastRenderedPageBreak/>
        <w:t>2.4</w:t>
      </w:r>
      <w:r>
        <w:rPr>
          <w:lang w:val="es-ES_tradnl"/>
        </w:rPr>
        <w:tab/>
        <w:t>Referencia de vídeo</w:t>
      </w:r>
      <w:r w:rsidRPr="00995402">
        <w:rPr>
          <w:rStyle w:val="FootnoteReference"/>
          <w:b w:val="0"/>
          <w:bCs/>
        </w:rPr>
        <w:footnoteReference w:id="2"/>
      </w:r>
    </w:p>
    <w:p w:rsidR="00AB2A68" w:rsidRDefault="00AB2A68" w:rsidP="00AB2A68">
      <w:pPr>
        <w:rPr>
          <w:lang w:val="es-ES_tradnl"/>
        </w:rPr>
      </w:pPr>
      <w:r>
        <w:rPr>
          <w:lang w:val="es-ES_tradnl"/>
        </w:rPr>
        <w:t>Uno de los objetivos de la presente Recomendación es definir el inicio del preámbulo X o Z de la DARS a un punto conocido en la señal de referencia de vídeo.</w:t>
      </w:r>
    </w:p>
    <w:p w:rsidR="00AB2A68" w:rsidRDefault="00AB2A68" w:rsidP="00AB2A68">
      <w:pPr>
        <w:pStyle w:val="Heading3"/>
        <w:rPr>
          <w:lang w:val="es-ES_tradnl"/>
        </w:rPr>
      </w:pPr>
      <w:r>
        <w:rPr>
          <w:lang w:val="es-ES_tradnl"/>
        </w:rPr>
        <w:t>2.4.1</w:t>
      </w:r>
      <w:r>
        <w:rPr>
          <w:lang w:val="es-ES_tradnl"/>
        </w:rPr>
        <w:tab/>
        <w:t>Referencia de 25 Hz o 50 Hz</w:t>
      </w:r>
    </w:p>
    <w:p w:rsidR="00AB2A68" w:rsidRDefault="00AB2A68" w:rsidP="00AB2A68">
      <w:pPr>
        <w:rPr>
          <w:lang w:val="es-ES_tradnl"/>
        </w:rPr>
      </w:pPr>
      <w:r>
        <w:rPr>
          <w:lang w:val="es-ES_tradnl"/>
        </w:rPr>
        <w:t>Es práctica habitual en los sistemas de TV de 25 Hz o 50 Hz utilizar una señal PAL analógica de color negro. La forma de onda de la señal PAL se define en la Recomendación UIT-R BT.1700.</w:t>
      </w:r>
    </w:p>
    <w:p w:rsidR="00AB2A68" w:rsidRDefault="00AB2A68" w:rsidP="00AB2A68">
      <w:pPr>
        <w:pStyle w:val="Heading4"/>
        <w:rPr>
          <w:lang w:val="es-ES_tradnl"/>
        </w:rPr>
      </w:pPr>
      <w:r>
        <w:rPr>
          <w:lang w:val="es-ES_tradnl"/>
        </w:rPr>
        <w:t>2.4.1.1</w:t>
      </w:r>
      <w:r>
        <w:rPr>
          <w:lang w:val="es-ES_tradnl"/>
        </w:rPr>
        <w:tab/>
        <w:t>Temporización del formato de la interfaz de vídeo</w:t>
      </w:r>
    </w:p>
    <w:p w:rsidR="00AB2A68" w:rsidRDefault="00AB2A68" w:rsidP="000D0C4B">
      <w:pPr>
        <w:rPr>
          <w:lang w:val="es-ES_tradnl"/>
        </w:rPr>
      </w:pPr>
      <w:r>
        <w:rPr>
          <w:lang w:val="es-ES_tradnl"/>
        </w:rPr>
        <w:t>En la Fig</w:t>
      </w:r>
      <w:r w:rsidR="000D0C4B">
        <w:rPr>
          <w:lang w:val="es-ES_tradnl"/>
        </w:rPr>
        <w:t>. </w:t>
      </w:r>
      <w:r>
        <w:rPr>
          <w:lang w:val="es-ES_tradnl"/>
        </w:rPr>
        <w:t>1 se muestra la relación de fase de sincronismo V y H entre el sincronismo de tres niveles 1125/50/I y 1125/25/P y el sincronismo analógico 625/50/I.</w:t>
      </w:r>
    </w:p>
    <w:p w:rsidR="00AB2A68" w:rsidRPr="00B71FDF" w:rsidRDefault="00AB2A68" w:rsidP="00AB2A68">
      <w:pPr>
        <w:pStyle w:val="FigureNo"/>
        <w:rPr>
          <w:lang w:val="es-ES_tradnl"/>
        </w:rPr>
      </w:pPr>
      <w:r w:rsidRPr="00B71FDF">
        <w:rPr>
          <w:lang w:val="es-ES_tradnl"/>
        </w:rPr>
        <w:t>FIGURA 1</w:t>
      </w:r>
    </w:p>
    <w:p w:rsidR="00AB2A68" w:rsidRDefault="00AB2A68" w:rsidP="00AB2A68">
      <w:pPr>
        <w:pStyle w:val="Figuretitle"/>
        <w:rPr>
          <w:lang w:val="es-ES_tradnl" w:eastAsia="ja-JP"/>
        </w:rPr>
      </w:pPr>
      <w:r w:rsidRPr="00B71FDF">
        <w:rPr>
          <w:lang w:val="es-ES_tradnl" w:eastAsia="ja-JP"/>
        </w:rPr>
        <w:t xml:space="preserve">Numeración de línea de los formatos </w:t>
      </w:r>
      <w:r w:rsidRPr="00B71FDF">
        <w:rPr>
          <w:rFonts w:hint="eastAsia"/>
          <w:lang w:val="es-ES_tradnl" w:eastAsia="ja-JP"/>
        </w:rPr>
        <w:t>1125/50/I, 1125/25/PsF, 1125/25/P</w:t>
      </w:r>
      <w:r>
        <w:rPr>
          <w:lang w:val="es-ES_tradnl" w:eastAsia="ja-JP"/>
        </w:rPr>
        <w:t xml:space="preserve"> y </w:t>
      </w:r>
      <w:r w:rsidRPr="00B71FDF">
        <w:rPr>
          <w:rFonts w:hint="eastAsia"/>
          <w:lang w:val="es-ES_tradnl" w:eastAsia="ja-JP"/>
        </w:rPr>
        <w:t xml:space="preserve">625/50/I </w:t>
      </w:r>
    </w:p>
    <w:p w:rsidR="00AB2A68" w:rsidRPr="00AB2A68" w:rsidRDefault="00AB2A68" w:rsidP="00AB2A68">
      <w:pPr>
        <w:pStyle w:val="Blanc"/>
        <w:rPr>
          <w:lang w:eastAsia="ja-JP"/>
        </w:rPr>
      </w:pPr>
    </w:p>
    <w:p w:rsidR="00AB2A68" w:rsidRPr="00E56E63" w:rsidRDefault="00AB2A68" w:rsidP="00AB2A68">
      <w:pPr>
        <w:pStyle w:val="Figure"/>
      </w:pPr>
      <w:r>
        <w:object w:dxaOrig="7309" w:dyaOrig="4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pt;height:275.45pt" o:ole="">
            <v:imagedata r:id="rId14" o:title=""/>
          </v:shape>
          <o:OLEObject Type="Embed" ProgID="CorelDRAW.Graphic.14" ShapeID="_x0000_i1025" DrawAspect="Content" ObjectID="_1444456296" r:id="rId15"/>
        </w:object>
      </w:r>
    </w:p>
    <w:p w:rsidR="00AB2A68" w:rsidRPr="00DD2344" w:rsidRDefault="00AB2A68" w:rsidP="000D0C4B">
      <w:pPr>
        <w:pStyle w:val="FigureNo"/>
      </w:pPr>
      <w:r w:rsidRPr="00DD2344">
        <w:lastRenderedPageBreak/>
        <w:t>Figur</w:t>
      </w:r>
      <w:r w:rsidR="000D0C4B">
        <w:t>A</w:t>
      </w:r>
      <w:r w:rsidRPr="00DD2344">
        <w:t xml:space="preserve"> 2</w:t>
      </w:r>
    </w:p>
    <w:p w:rsidR="00AB2A68" w:rsidRDefault="00AB2A68" w:rsidP="00AB2A68">
      <w:pPr>
        <w:pStyle w:val="Figuretitle"/>
      </w:pPr>
      <w:r>
        <w:t>Preámbulo de referencia DARS X</w:t>
      </w:r>
    </w:p>
    <w:p w:rsidR="00B6329B" w:rsidRPr="00AB2A68" w:rsidRDefault="00B6329B" w:rsidP="00B6329B">
      <w:pPr>
        <w:pStyle w:val="Blanc"/>
        <w:rPr>
          <w:lang w:eastAsia="ja-JP"/>
        </w:rPr>
      </w:pPr>
    </w:p>
    <w:p w:rsidR="00AB2A68" w:rsidRPr="00DD2344" w:rsidRDefault="00110F12" w:rsidP="00AB2A68">
      <w:pPr>
        <w:pStyle w:val="Figure"/>
        <w:rPr>
          <w:noProof/>
          <w:lang w:eastAsia="zh-CN"/>
        </w:rPr>
      </w:pPr>
      <w:r w:rsidRPr="00DD2344">
        <w:rPr>
          <w:noProof/>
          <w:lang w:eastAsia="zh-CN"/>
        </w:rPr>
        <w:object w:dxaOrig="4362" w:dyaOrig="3010">
          <v:shape id="_x0000_i1026" type="#_x0000_t75" style="width:255.25pt;height:176.2pt" o:ole="">
            <v:imagedata r:id="rId16" o:title=""/>
          </v:shape>
          <o:OLEObject Type="Embed" ProgID="CorelDRAW.Graphic.14" ShapeID="_x0000_i1026" DrawAspect="Content" ObjectID="_1444456297" r:id="rId17"/>
        </w:object>
      </w:r>
    </w:p>
    <w:p w:rsidR="00AB2A68" w:rsidRPr="00DD2344" w:rsidRDefault="00AB2A68" w:rsidP="00AB2A68">
      <w:r w:rsidRPr="00DD2344">
        <w:t>El preámbulo DARS X se referenciará respecto al punto de amplitud mitad del flanco de ataque de impulso de sincronización de la línea 1 de la señal de televisión en cada trama de vídeo.</w:t>
      </w:r>
    </w:p>
    <w:p w:rsidR="00AB2A68" w:rsidRPr="00DD2344" w:rsidRDefault="00AB2A68" w:rsidP="00AB2A68">
      <w:pPr>
        <w:pStyle w:val="Heading3"/>
      </w:pPr>
      <w:r w:rsidRPr="00DD2344">
        <w:t>2.4.2</w:t>
      </w:r>
      <w:r w:rsidRPr="00DD2344">
        <w:tab/>
        <w:t>Referencia de 30 Hz o 60 Hz</w:t>
      </w:r>
      <w:r w:rsidRPr="00DD2344">
        <w:rPr>
          <w:rStyle w:val="FootnoteReference"/>
          <w:b w:val="0"/>
          <w:bCs/>
        </w:rPr>
        <w:footnoteReference w:id="3"/>
      </w:r>
    </w:p>
    <w:p w:rsidR="00AB2A68" w:rsidRPr="00DD2344" w:rsidRDefault="00AB2A68" w:rsidP="00AB2A68">
      <w:r w:rsidRPr="00DD2344">
        <w:t>En la Fig</w:t>
      </w:r>
      <w:r>
        <w:t>.</w:t>
      </w:r>
      <w:r w:rsidRPr="00DD2344">
        <w:t xml:space="preserve"> 3 aparece la relación de fase de sincronismo V y H entre el sincronismo de tres niveles 1125/59,94/I y 1125/29,97/P y el sincronismo analógico 525/60/I.</w:t>
      </w:r>
    </w:p>
    <w:p w:rsidR="00AB2A68" w:rsidRPr="00DD2344" w:rsidRDefault="00AB2A68" w:rsidP="00AB2A68">
      <w:pPr>
        <w:pStyle w:val="Heading4"/>
      </w:pPr>
      <w:r w:rsidRPr="00DD2344">
        <w:t>2.4.1.2</w:t>
      </w:r>
      <w:r w:rsidRPr="00DD2344">
        <w:tab/>
        <w:t>Temporización del formato de la interfaz de vídeo</w:t>
      </w:r>
    </w:p>
    <w:p w:rsidR="00AB2A68" w:rsidRPr="00DD2344" w:rsidRDefault="00AB2A68" w:rsidP="00AB2A68">
      <w:pPr>
        <w:pStyle w:val="FigureNo"/>
      </w:pPr>
      <w:r w:rsidRPr="00DD2344">
        <w:t>FIGURA 3</w:t>
      </w:r>
    </w:p>
    <w:p w:rsidR="00AB2A68" w:rsidRDefault="00AB2A68" w:rsidP="00AB2A68">
      <w:pPr>
        <w:pStyle w:val="Figuretitle"/>
        <w:rPr>
          <w:lang w:eastAsia="ja-JP"/>
        </w:rPr>
      </w:pPr>
      <w:r w:rsidRPr="00DD2344">
        <w:rPr>
          <w:lang w:eastAsia="ja-JP"/>
        </w:rPr>
        <w:t xml:space="preserve">Numeración de línea de los formatos </w:t>
      </w:r>
      <w:r>
        <w:rPr>
          <w:lang w:eastAsia="ja-JP"/>
        </w:rPr>
        <w:t>1125/59,</w:t>
      </w:r>
      <w:r w:rsidRPr="00DD2344">
        <w:rPr>
          <w:lang w:eastAsia="ja-JP"/>
        </w:rPr>
        <w:t>94/I, 1125/29</w:t>
      </w:r>
      <w:r>
        <w:rPr>
          <w:lang w:eastAsia="ja-JP"/>
        </w:rPr>
        <w:t>,</w:t>
      </w:r>
      <w:r w:rsidRPr="00DD2344">
        <w:rPr>
          <w:lang w:eastAsia="ja-JP"/>
        </w:rPr>
        <w:t>97/PsF, 1125/29</w:t>
      </w:r>
      <w:r>
        <w:rPr>
          <w:lang w:eastAsia="ja-JP"/>
        </w:rPr>
        <w:t>,</w:t>
      </w:r>
      <w:r w:rsidRPr="00DD2344">
        <w:rPr>
          <w:lang w:eastAsia="ja-JP"/>
        </w:rPr>
        <w:t>97/P y 525/59</w:t>
      </w:r>
      <w:r>
        <w:rPr>
          <w:lang w:eastAsia="ja-JP"/>
        </w:rPr>
        <w:t>,</w:t>
      </w:r>
      <w:r w:rsidRPr="00DD2344">
        <w:rPr>
          <w:lang w:eastAsia="ja-JP"/>
        </w:rPr>
        <w:t>94/I</w:t>
      </w:r>
    </w:p>
    <w:p w:rsidR="00B6329B" w:rsidRPr="00AB2A68" w:rsidRDefault="00B6329B" w:rsidP="00B6329B">
      <w:pPr>
        <w:pStyle w:val="Blanc"/>
        <w:rPr>
          <w:lang w:eastAsia="ja-JP"/>
        </w:rPr>
      </w:pPr>
    </w:p>
    <w:p w:rsidR="00AB2A68" w:rsidRPr="00DD2344" w:rsidRDefault="00AB2A68" w:rsidP="00AB2A68">
      <w:pPr>
        <w:pStyle w:val="Figure"/>
        <w:rPr>
          <w:noProof/>
          <w:lang w:eastAsia="zh-CN"/>
        </w:rPr>
      </w:pPr>
      <w:r w:rsidRPr="00DD2344">
        <w:rPr>
          <w:noProof/>
          <w:lang w:eastAsia="zh-CN"/>
        </w:rPr>
        <w:object w:dxaOrig="7061" w:dyaOrig="4101">
          <v:shape id="_x0000_i1027" type="#_x0000_t75" style="width:424.9pt;height:247.1pt" o:ole="">
            <v:imagedata r:id="rId18" o:title=""/>
          </v:shape>
          <o:OLEObject Type="Embed" ProgID="CorelDRAW.Graphic.14" ShapeID="_x0000_i1027" DrawAspect="Content" ObjectID="_1444456298" r:id="rId19"/>
        </w:object>
      </w:r>
    </w:p>
    <w:p w:rsidR="00AB2A68" w:rsidRPr="00DD2344" w:rsidRDefault="00AB2A68" w:rsidP="00AB2A68">
      <w:pPr>
        <w:pStyle w:val="FigureNo"/>
      </w:pPr>
      <w:r w:rsidRPr="00DD2344">
        <w:lastRenderedPageBreak/>
        <w:t>Figura 4</w:t>
      </w:r>
    </w:p>
    <w:p w:rsidR="00AB2A68" w:rsidRDefault="00AB2A68" w:rsidP="00AB2A68">
      <w:pPr>
        <w:pStyle w:val="Figuretitle"/>
      </w:pPr>
      <w:r w:rsidRPr="00DD2344">
        <w:t xml:space="preserve">Preámbulo de referencia </w:t>
      </w:r>
      <w:r w:rsidR="00B6329B">
        <w:t>DARS X</w:t>
      </w:r>
    </w:p>
    <w:p w:rsidR="00B6329B" w:rsidRPr="00AB2A68" w:rsidRDefault="00B6329B" w:rsidP="00B6329B">
      <w:pPr>
        <w:pStyle w:val="Blanc"/>
        <w:rPr>
          <w:lang w:eastAsia="ja-JP"/>
        </w:rPr>
      </w:pPr>
    </w:p>
    <w:p w:rsidR="00AB2A68" w:rsidRPr="00DD2344" w:rsidRDefault="000526C6" w:rsidP="00AB2A68">
      <w:pPr>
        <w:pStyle w:val="Figure"/>
        <w:rPr>
          <w:noProof/>
          <w:lang w:eastAsia="zh-CN"/>
        </w:rPr>
      </w:pPr>
      <w:r w:rsidRPr="00DD2344">
        <w:rPr>
          <w:noProof/>
          <w:lang w:eastAsia="zh-CN"/>
        </w:rPr>
        <w:object w:dxaOrig="4815" w:dyaOrig="3463">
          <v:shape id="_x0000_i1028" type="#_x0000_t75" style="width:283.1pt;height:204pt" o:ole="">
            <v:imagedata r:id="rId20" o:title=""/>
          </v:shape>
          <o:OLEObject Type="Embed" ProgID="CorelDRAW.Graphic.14" ShapeID="_x0000_i1028" DrawAspect="Content" ObjectID="_1444456299" r:id="rId21"/>
        </w:object>
      </w:r>
    </w:p>
    <w:p w:rsidR="00AB2A68" w:rsidRPr="00DD2344" w:rsidRDefault="00AB2A68" w:rsidP="00AB2A68"/>
    <w:p w:rsidR="00AB2A68" w:rsidRPr="00DD2344" w:rsidRDefault="00AB2A68" w:rsidP="000526C6">
      <w:r w:rsidRPr="00DD2344">
        <w:t xml:space="preserve">El </w:t>
      </w:r>
      <w:r w:rsidR="00B6329B" w:rsidRPr="00DD2344">
        <w:t xml:space="preserve">preámbulo </w:t>
      </w:r>
      <w:r w:rsidRPr="00DD2344">
        <w:t>DARS X se referenciará respecto al punto de amplitud mitad del flanco de ataque del impulso de sincronización de la línea</w:t>
      </w:r>
      <w:r w:rsidR="000526C6">
        <w:t> </w:t>
      </w:r>
      <w:r w:rsidRPr="00DD2344">
        <w:t>1 en los sistemas 1080 líneas y de la línea</w:t>
      </w:r>
      <w:r w:rsidR="000526C6">
        <w:t> </w:t>
      </w:r>
      <w:r w:rsidRPr="00DD2344">
        <w:t>4 en los sistemas de 525</w:t>
      </w:r>
      <w:r w:rsidR="00B6329B">
        <w:t> </w:t>
      </w:r>
      <w:r w:rsidRPr="00DD2344">
        <w:t>líneas. El alineamiento del preámbulo DARS X debe temporizarse cada 5</w:t>
      </w:r>
      <w:r w:rsidR="00B6329B">
        <w:t> </w:t>
      </w:r>
      <w:r w:rsidRPr="00DD2344">
        <w:t>tramas. Existe la posibilidad de que se produzca un desplazamiento de ±1 muestra. En el Apéndice</w:t>
      </w:r>
      <w:r w:rsidR="00B6329B">
        <w:t> </w:t>
      </w:r>
      <w:r w:rsidRPr="00DD2344">
        <w:t>3 se indica la señal de referencia de un sistema de 525 líneas con identificación de trama.</w:t>
      </w:r>
    </w:p>
    <w:p w:rsidR="00AB2A68" w:rsidRPr="00DD2344" w:rsidRDefault="00AB2A68" w:rsidP="00AB2A68">
      <w:pPr>
        <w:pStyle w:val="Heading3"/>
      </w:pPr>
      <w:r w:rsidRPr="00DD2344">
        <w:t>2.4.3</w:t>
      </w:r>
      <w:r w:rsidRPr="00DD2344">
        <w:tab/>
        <w:t>Tolerancia global de fase</w:t>
      </w:r>
    </w:p>
    <w:p w:rsidR="00AB2A68" w:rsidRPr="00DD2344" w:rsidRDefault="00AB2A68" w:rsidP="0023227A">
      <w:r w:rsidRPr="00DD2344">
        <w:t>Para facilitar las implementaciones pr</w:t>
      </w:r>
      <w:r w:rsidR="0023227A">
        <w:t>á</w:t>
      </w:r>
      <w:r w:rsidRPr="00DD2344">
        <w:t>cticas habrá una tolerancia de fase del ±5% del periodo de trama de la Recomendación UIT-R BS.647 entre las DARS y la referencia de vídeo, además de la tolerancia del ±5% definida para la sincronización de audio digital a las salidas del sistema indicadas en el § 2.3.1.1.</w:t>
      </w:r>
    </w:p>
    <w:p w:rsidR="00AB2A68" w:rsidRPr="00DD2344" w:rsidRDefault="00AB2A68" w:rsidP="0023227A">
      <w:pPr>
        <w:pStyle w:val="Heading2"/>
      </w:pPr>
      <w:r w:rsidRPr="00DD2344">
        <w:t>2.5</w:t>
      </w:r>
      <w:r w:rsidRPr="00DD2344">
        <w:tab/>
      </w:r>
      <w:r w:rsidR="0023227A" w:rsidRPr="00DD2344">
        <w:t>Pr</w:t>
      </w:r>
      <w:r w:rsidR="0023227A">
        <w:t>á</w:t>
      </w:r>
      <w:r w:rsidR="0023227A" w:rsidRPr="00DD2344">
        <w:t>ctica</w:t>
      </w:r>
      <w:r w:rsidRPr="00DD2344">
        <w:t xml:space="preserve"> en el sistema</w:t>
      </w:r>
    </w:p>
    <w:p w:rsidR="00AB2A68" w:rsidRPr="00DD2344" w:rsidRDefault="00AB2A68" w:rsidP="00AB2A68">
      <w:r w:rsidRPr="00DD2344">
        <w:t>La buena práctica en ingeniería exige minimizar las diferencias de temporización entre los trayectos de la señal a fin de evitar los errores de temporización acumulados, con el riesgo de pérdida de la sincronización.</w:t>
      </w:r>
    </w:p>
    <w:p w:rsidR="00AB2A68" w:rsidRPr="00DD2344" w:rsidRDefault="00AB2A68" w:rsidP="00AB2A68">
      <w:pPr>
        <w:pStyle w:val="Heading2"/>
      </w:pPr>
      <w:r w:rsidRPr="00DD2344">
        <w:t>2.6</w:t>
      </w:r>
      <w:r w:rsidRPr="00DD2344">
        <w:tab/>
        <w:t>Fluctuación de reloj</w:t>
      </w:r>
    </w:p>
    <w:p w:rsidR="00AB2A68" w:rsidRPr="00DD2344" w:rsidRDefault="00AB2A68" w:rsidP="00AB2A68">
      <w:r w:rsidRPr="00DD2344">
        <w:t>El ruido de fluctuación puede ser aleatorio o en forma de modulación, que en frecuencias inferiores a la velocidad de muestreo causará la acumulación de errores de temporización de acuerdo con la amplitud y la frecuencia de la forma de onda de la modulación.</w:t>
      </w:r>
    </w:p>
    <w:p w:rsidR="00AB2A68" w:rsidRPr="00DD2344" w:rsidRDefault="00AB2A68" w:rsidP="00AB2A68">
      <w:pPr>
        <w:pStyle w:val="Note"/>
      </w:pPr>
      <w:r w:rsidRPr="00DD2344">
        <w:t>NOTA – La Recomendación UIT-R BS.647 define límites para la fluctuación en la interfaz de audio digital.</w:t>
      </w:r>
    </w:p>
    <w:p w:rsidR="00AB2A68" w:rsidRPr="00DD2344" w:rsidRDefault="00AB2A68" w:rsidP="00AB2A68">
      <w:pPr>
        <w:pStyle w:val="Heading1"/>
      </w:pPr>
      <w:r w:rsidRPr="00DD2344">
        <w:t>3</w:t>
      </w:r>
      <w:r w:rsidRPr="00DD2344">
        <w:tab/>
        <w:t>Fecha y hora</w:t>
      </w:r>
    </w:p>
    <w:p w:rsidR="00AB2A68" w:rsidRPr="00DD2344" w:rsidRDefault="00AB2A68" w:rsidP="00AB2A68">
      <w:r w:rsidRPr="00DD2344">
        <w:t>La señalización de la fecha y la hora en el estado de canal se especifica en el §</w:t>
      </w:r>
      <w:r>
        <w:t> </w:t>
      </w:r>
      <w:r w:rsidRPr="00DD2344">
        <w:t>2.1.5. Puede tomar una forma conveniente para su transferencia al tren de metadatos de la Recomendación UIT</w:t>
      </w:r>
      <w:r w:rsidRPr="00DD2344">
        <w:noBreakHyphen/>
        <w:t>R BS.647.</w:t>
      </w:r>
    </w:p>
    <w:p w:rsidR="00AB2A68" w:rsidRPr="00DD2344" w:rsidRDefault="00AB2A68" w:rsidP="00AB2A68">
      <w:pPr>
        <w:pStyle w:val="AppendixNoTitle"/>
      </w:pPr>
      <w:r w:rsidRPr="00DD2344">
        <w:lastRenderedPageBreak/>
        <w:t>Apéndice 1</w:t>
      </w:r>
      <w:r w:rsidRPr="00DD2344">
        <w:br/>
      </w:r>
      <w:bookmarkStart w:id="6" w:name="_Toc77582395"/>
      <w:bookmarkStart w:id="7" w:name="_Toc77587556"/>
      <w:bookmarkStart w:id="8" w:name="_Toc87091734"/>
      <w:r w:rsidRPr="00DD2344">
        <w:rPr>
          <w:b w:val="0"/>
          <w:bCs/>
        </w:rPr>
        <w:t>(Informativo)</w:t>
      </w:r>
      <w:bookmarkStart w:id="9" w:name="_Toc87091735"/>
      <w:bookmarkEnd w:id="6"/>
      <w:bookmarkEnd w:id="7"/>
      <w:bookmarkEnd w:id="8"/>
      <w:r w:rsidRPr="00DD2344">
        <w:rPr>
          <w:b w:val="0"/>
          <w:bCs/>
        </w:rPr>
        <w:br/>
      </w:r>
      <w:r w:rsidRPr="00DD2344">
        <w:br/>
      </w:r>
      <w:bookmarkEnd w:id="9"/>
      <w:r w:rsidRPr="00DD2344">
        <w:t>Relaciones de temporización</w:t>
      </w:r>
    </w:p>
    <w:p w:rsidR="00AB2A68" w:rsidRPr="00DD2344" w:rsidRDefault="00AB2A68" w:rsidP="00AB2A68">
      <w:pPr>
        <w:pStyle w:val="FigureNo"/>
      </w:pPr>
      <w:r w:rsidRPr="00DD2344">
        <w:t>FigurA 5</w:t>
      </w:r>
    </w:p>
    <w:p w:rsidR="00AB2A68" w:rsidRDefault="00AB2A68" w:rsidP="00AB2A68">
      <w:pPr>
        <w:pStyle w:val="Figuretitle"/>
      </w:pPr>
      <w:r w:rsidRPr="00DD2344">
        <w:t>Relaciones de fase preferidas y utilización de canal</w:t>
      </w:r>
    </w:p>
    <w:p w:rsidR="000D0C4B" w:rsidRPr="000D0C4B" w:rsidRDefault="000D0C4B" w:rsidP="000D0C4B">
      <w:pPr>
        <w:pStyle w:val="Blanc"/>
      </w:pPr>
    </w:p>
    <w:p w:rsidR="00AB2A68" w:rsidRPr="00DD2344" w:rsidRDefault="0023227A" w:rsidP="00AB2A68">
      <w:pPr>
        <w:pStyle w:val="Figure"/>
        <w:rPr>
          <w:noProof/>
          <w:lang w:eastAsia="zh-CN"/>
        </w:rPr>
      </w:pPr>
      <w:r w:rsidRPr="00DD2344">
        <w:rPr>
          <w:noProof/>
          <w:lang w:eastAsia="zh-CN"/>
        </w:rPr>
        <w:object w:dxaOrig="5383" w:dyaOrig="4747">
          <v:shape id="_x0000_i1029" type="#_x0000_t75" style="width:316.35pt;height:278.2pt" o:ole="">
            <v:imagedata r:id="rId22" o:title=""/>
          </v:shape>
          <o:OLEObject Type="Embed" ProgID="CorelDRAW.Graphic.14" ShapeID="_x0000_i1029" DrawAspect="Content" ObjectID="_1444456300" r:id="rId23"/>
        </w:object>
      </w:r>
    </w:p>
    <w:p w:rsidR="00AB2A68" w:rsidRPr="00DD2344" w:rsidRDefault="00AB2A68" w:rsidP="00AB2A68"/>
    <w:p w:rsidR="00AB2A68" w:rsidRPr="00DD2344" w:rsidRDefault="00AB2A68" w:rsidP="00AB2A6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180"/>
      </w:tblGrid>
      <w:tr w:rsidR="00AB2A68" w:rsidRPr="00DD2344" w:rsidTr="00B6329B">
        <w:trPr>
          <w:jc w:val="center"/>
        </w:trPr>
        <w:tc>
          <w:tcPr>
            <w:tcW w:w="567" w:type="dxa"/>
          </w:tcPr>
          <w:p w:rsidR="00AB2A68" w:rsidRPr="00DD2344" w:rsidRDefault="00AB2A68" w:rsidP="00B6329B">
            <w:pPr>
              <w:pStyle w:val="Tablehead"/>
            </w:pPr>
          </w:p>
        </w:tc>
        <w:tc>
          <w:tcPr>
            <w:tcW w:w="6180" w:type="dxa"/>
          </w:tcPr>
          <w:p w:rsidR="00AB2A68" w:rsidRPr="00DD2344" w:rsidRDefault="00AB2A68" w:rsidP="00F9066D">
            <w:pPr>
              <w:pStyle w:val="Tablehead"/>
            </w:pPr>
            <w:r w:rsidRPr="00DD2344">
              <w:t>Valores de la temporización</w:t>
            </w:r>
          </w:p>
        </w:tc>
      </w:tr>
      <w:tr w:rsidR="00AB2A68" w:rsidRPr="00DD2344" w:rsidTr="00B6329B">
        <w:trPr>
          <w:jc w:val="center"/>
        </w:trPr>
        <w:tc>
          <w:tcPr>
            <w:tcW w:w="567" w:type="dxa"/>
          </w:tcPr>
          <w:p w:rsidR="00AB2A68" w:rsidRPr="00DD2344" w:rsidRDefault="00AB2A68" w:rsidP="00B6329B">
            <w:pPr>
              <w:pStyle w:val="Tabletext"/>
              <w:jc w:val="center"/>
            </w:pPr>
            <w:r w:rsidRPr="00DD2344">
              <w:t>A</w:t>
            </w:r>
          </w:p>
        </w:tc>
        <w:tc>
          <w:tcPr>
            <w:tcW w:w="6180" w:type="dxa"/>
          </w:tcPr>
          <w:p w:rsidR="00AB2A68" w:rsidRPr="00DD2344" w:rsidRDefault="00AB2A68" w:rsidP="00446D28">
            <w:pPr>
              <w:pStyle w:val="Tabletext"/>
            </w:pPr>
            <w:r w:rsidRPr="00DD2344">
              <w:t>20</w:t>
            </w:r>
            <w:r w:rsidR="00446D28">
              <w:t>,</w:t>
            </w:r>
            <w:r w:rsidRPr="00DD2344">
              <w:t>5 </w:t>
            </w:r>
            <w:r w:rsidRPr="00DD2344">
              <w:rPr>
                <w:rFonts w:ascii="Symbol" w:hAnsi="Symbol"/>
              </w:rPr>
              <w:t></w:t>
            </w:r>
            <w:r w:rsidRPr="00DD2344">
              <w:t>s – periodo de trama a un frecuencia de muestreo de 48 kHz</w:t>
            </w:r>
          </w:p>
        </w:tc>
      </w:tr>
      <w:tr w:rsidR="00AB2A68" w:rsidRPr="00DD2344" w:rsidTr="00B6329B">
        <w:trPr>
          <w:jc w:val="center"/>
        </w:trPr>
        <w:tc>
          <w:tcPr>
            <w:tcW w:w="567" w:type="dxa"/>
          </w:tcPr>
          <w:p w:rsidR="00AB2A68" w:rsidRPr="00DD2344" w:rsidRDefault="00AB2A68" w:rsidP="00B6329B">
            <w:pPr>
              <w:pStyle w:val="Tabletext"/>
              <w:jc w:val="center"/>
            </w:pPr>
            <w:r w:rsidRPr="00DD2344">
              <w:t>B</w:t>
            </w:r>
          </w:p>
        </w:tc>
        <w:tc>
          <w:tcPr>
            <w:tcW w:w="6180" w:type="dxa"/>
          </w:tcPr>
          <w:p w:rsidR="00AB2A68" w:rsidRPr="00DD2344" w:rsidRDefault="00AB2A68" w:rsidP="00F9066D">
            <w:pPr>
              <w:pStyle w:val="Tabletext"/>
            </w:pPr>
            <w:r w:rsidRPr="00DD2344">
              <w:t xml:space="preserve">Tolerancia </w:t>
            </w:r>
            <w:r w:rsidR="0023227A">
              <w:t xml:space="preserve">de </w:t>
            </w:r>
            <w:r w:rsidRPr="00DD2344">
              <w:t>±1 </w:t>
            </w:r>
            <w:r w:rsidRPr="00DD2344">
              <w:rPr>
                <w:rFonts w:ascii="Symbol" w:hAnsi="Symbol"/>
              </w:rPr>
              <w:t></w:t>
            </w:r>
            <w:r w:rsidRPr="00DD2344">
              <w:t>s</w:t>
            </w:r>
          </w:p>
        </w:tc>
      </w:tr>
      <w:tr w:rsidR="00AB2A68" w:rsidRPr="00DD2344" w:rsidTr="00B6329B">
        <w:trPr>
          <w:jc w:val="center"/>
        </w:trPr>
        <w:tc>
          <w:tcPr>
            <w:tcW w:w="567" w:type="dxa"/>
          </w:tcPr>
          <w:p w:rsidR="00AB2A68" w:rsidRPr="00DD2344" w:rsidRDefault="00AB2A68" w:rsidP="00B6329B">
            <w:pPr>
              <w:pStyle w:val="Tabletext"/>
              <w:jc w:val="center"/>
            </w:pPr>
            <w:r w:rsidRPr="00DD2344">
              <w:t>C</w:t>
            </w:r>
          </w:p>
        </w:tc>
        <w:tc>
          <w:tcPr>
            <w:tcW w:w="6180" w:type="dxa"/>
          </w:tcPr>
          <w:p w:rsidR="00AB2A68" w:rsidRPr="00DD2344" w:rsidRDefault="00AB2A68" w:rsidP="00F9066D">
            <w:pPr>
              <w:pStyle w:val="Tabletext"/>
            </w:pPr>
            <w:r w:rsidRPr="00DD2344">
              <w:t>Tolerancia</w:t>
            </w:r>
            <w:r w:rsidR="0023227A">
              <w:t xml:space="preserve"> de</w:t>
            </w:r>
            <w:r w:rsidRPr="00DD2344">
              <w:t xml:space="preserve"> ±0,5 </w:t>
            </w:r>
            <w:r w:rsidRPr="00DD2344">
              <w:rPr>
                <w:rFonts w:ascii="Symbol" w:hAnsi="Symbol"/>
              </w:rPr>
              <w:t></w:t>
            </w:r>
            <w:r w:rsidRPr="00DD2344">
              <w:t>s</w:t>
            </w:r>
          </w:p>
        </w:tc>
      </w:tr>
    </w:tbl>
    <w:p w:rsidR="00AB2A68" w:rsidRPr="00DD2344" w:rsidRDefault="00AB2A68" w:rsidP="00B6329B">
      <w:pPr>
        <w:pStyle w:val="Tablefin"/>
        <w:rPr>
          <w:lang w:eastAsia="zh-CN"/>
        </w:rPr>
      </w:pPr>
    </w:p>
    <w:p w:rsidR="00AB2A68" w:rsidRPr="00DD2344" w:rsidRDefault="00AB2A68" w:rsidP="00AB2A68">
      <w:pPr>
        <w:pStyle w:val="AppendixNoTitle"/>
      </w:pPr>
      <w:r w:rsidRPr="00DD2344">
        <w:lastRenderedPageBreak/>
        <w:t>Apéndice 2</w:t>
      </w:r>
      <w:r w:rsidRPr="00DD2344">
        <w:br/>
      </w:r>
      <w:r w:rsidRPr="00DD2344">
        <w:rPr>
          <w:b w:val="0"/>
          <w:bCs/>
        </w:rPr>
        <w:t>(Informativo)</w:t>
      </w:r>
      <w:r w:rsidRPr="00DD2344">
        <w:rPr>
          <w:b w:val="0"/>
          <w:bCs/>
        </w:rPr>
        <w:br/>
      </w:r>
      <w:r w:rsidRPr="00DD2344">
        <w:br/>
        <w:t>Reloj de la palabra</w:t>
      </w:r>
    </w:p>
    <w:p w:rsidR="00AB2A68" w:rsidRPr="00DD2344" w:rsidRDefault="00AB2A68" w:rsidP="00AB2A68">
      <w:pPr>
        <w:pStyle w:val="Normalaftertitle"/>
        <w:keepNext/>
        <w:keepLines/>
      </w:pPr>
      <w:r w:rsidRPr="00DD2344">
        <w:t>Es posible satisfacer todos los requisitos de temporización de la presente Recomendación mediante una onda cuadrada a la velocidad básica de la frecuencia de muestreo, denominada normalmente reloj de la palabra. Se utiliza entre distintas piezas del equipo para proporcionar el enganche de la frecuencia de muestreo de varias fuentes.</w:t>
      </w:r>
    </w:p>
    <w:p w:rsidR="00AB2A68" w:rsidRPr="00DD2344" w:rsidRDefault="00AB2A68" w:rsidP="00B6329B">
      <w:r w:rsidRPr="00DD2344">
        <w:t>Esta señal no está normalizada y los parámetros indicados son simples ejemplos. La señal la transporta generalmente un cable coaxial de manera que una sola salida puede sincronizar varios equipos receptores mediante la puesta en bucle de la señal a través de cada uno de ellos sucesivamente y posiblemente terminando el cable con una resistencia de 75</w:t>
      </w:r>
      <w:r w:rsidR="00B6329B">
        <w:t> </w:t>
      </w:r>
      <w:r w:rsidRPr="00DD2344">
        <w:t>ohmios en el extremo lejano.</w:t>
      </w:r>
    </w:p>
    <w:p w:rsidR="00AB2A68" w:rsidRPr="00DD2344" w:rsidRDefault="00AB2A68" w:rsidP="00AB2A68">
      <w:r w:rsidRPr="00DD2344">
        <w:t>La señal transmitida puede variar en amplitud cresta a cresta desde 1 V hasta 5 V y puede estar acoplada en alterna o en continua.</w:t>
      </w:r>
    </w:p>
    <w:p w:rsidR="00AB2A68" w:rsidRPr="00DD2344" w:rsidRDefault="00AB2A68" w:rsidP="00AB2A68">
      <w:r w:rsidRPr="00DD2344">
        <w:t>El nivel del excitador que probablemente facilitará la funcionalidad requerida es de 5 V acoplado en continua y capaz de excitar una carga de 75 ohmios.</w:t>
      </w:r>
    </w:p>
    <w:p w:rsidR="00AB2A68" w:rsidRPr="00DD2344" w:rsidRDefault="00AB2A68" w:rsidP="002914A7">
      <w:r w:rsidRPr="00DD2344">
        <w:t>Cuando se diseñan nuevos equipos para utilizar un</w:t>
      </w:r>
      <w:r w:rsidR="002914A7">
        <w:t xml:space="preserve">a señal del </w:t>
      </w:r>
      <w:r w:rsidRPr="00DD2344">
        <w:t xml:space="preserve">reloj de la palabra se recomienda que el flanco de subida se considere el </w:t>
      </w:r>
      <w:r w:rsidR="002914A7" w:rsidRPr="00DD2344">
        <w:t xml:space="preserve">punto </w:t>
      </w:r>
      <w:r w:rsidRPr="00DD2344">
        <w:t>de temporización de referencia indicado en el § 2.3.</w:t>
      </w:r>
    </w:p>
    <w:p w:rsidR="00AB2A68" w:rsidRPr="00DD2344" w:rsidRDefault="00AB2A68" w:rsidP="00AB2A68">
      <w:r w:rsidRPr="00DD2344">
        <w:t>La expresión «reloj de la palabra» se utiliza también a nivel de circuito de placas para describir varias señales lógicas a la frecuencia de muestreo.</w:t>
      </w:r>
    </w:p>
    <w:p w:rsidR="00AB2A68" w:rsidRPr="00DD2344" w:rsidRDefault="00AB2A68" w:rsidP="00AB2A68">
      <w:r w:rsidRPr="00DD2344">
        <w:t>El reloj de la palabra se emplea normalmente con señales de audio digital distintas a las de la Recomendación UIT-R BS.647.</w:t>
      </w:r>
    </w:p>
    <w:p w:rsidR="00AB2A68" w:rsidRDefault="00AB2A68" w:rsidP="00AB2A68">
      <w:pPr>
        <w:pStyle w:val="AppendixNoTitle"/>
      </w:pPr>
      <w:r w:rsidRPr="00DD2344">
        <w:lastRenderedPageBreak/>
        <w:t>Apéndice 3</w:t>
      </w:r>
      <w:r w:rsidRPr="00DD2344">
        <w:br/>
      </w:r>
      <w:r w:rsidRPr="00DD2344">
        <w:rPr>
          <w:b w:val="0"/>
          <w:bCs/>
        </w:rPr>
        <w:t>(Informativo)</w:t>
      </w:r>
      <w:r w:rsidRPr="00DD2344">
        <w:rPr>
          <w:b w:val="0"/>
          <w:bCs/>
        </w:rPr>
        <w:br/>
      </w:r>
      <w:r w:rsidRPr="00DD2344">
        <w:br/>
        <w:t>Seña</w:t>
      </w:r>
      <w:r w:rsidR="002914A7">
        <w:t>l</w:t>
      </w:r>
      <w:r w:rsidRPr="00DD2344">
        <w:t xml:space="preserve"> de referencia de 525 líneas con 5 identificaciones de trama</w:t>
      </w:r>
    </w:p>
    <w:p w:rsidR="00AB2A68" w:rsidRPr="00DD2344" w:rsidRDefault="00AB2A68" w:rsidP="00AB2A68">
      <w:pPr>
        <w:pStyle w:val="FigureNo"/>
      </w:pPr>
      <w:r w:rsidRPr="00DD2344">
        <w:t>FigurA 6</w:t>
      </w:r>
    </w:p>
    <w:p w:rsidR="00AB2A68" w:rsidRDefault="00AB2A68" w:rsidP="00AB2A68">
      <w:pPr>
        <w:pStyle w:val="Figuretitle"/>
      </w:pPr>
      <w:r w:rsidRPr="00DD2344">
        <w:t>Señal de referencia de 525 líneas con 5 identificaciones de trama</w:t>
      </w:r>
    </w:p>
    <w:p w:rsidR="00B6329B" w:rsidRPr="00B6329B" w:rsidRDefault="00B6329B" w:rsidP="00B6329B">
      <w:pPr>
        <w:pStyle w:val="Blanc"/>
      </w:pPr>
    </w:p>
    <w:p w:rsidR="00AB2A68" w:rsidRPr="00DD2344" w:rsidRDefault="00AB2A68" w:rsidP="00AB2A68">
      <w:pPr>
        <w:pStyle w:val="Figure"/>
      </w:pPr>
      <w:r w:rsidRPr="00DD2344">
        <w:rPr>
          <w:noProof/>
          <w:lang w:eastAsia="zh-CN"/>
        </w:rPr>
        <w:object w:dxaOrig="4948" w:dyaOrig="3585">
          <v:shape id="_x0000_i1030" type="#_x0000_t75" style="width:311.45pt;height:226.9pt" o:ole="">
            <v:imagedata r:id="rId24" o:title=""/>
          </v:shape>
          <o:OLEObject Type="Embed" ProgID="CorelDRAW.Graphic.14" ShapeID="_x0000_i1030" DrawAspect="Content" ObjectID="_1444456301" r:id="rId25"/>
        </w:object>
      </w:r>
    </w:p>
    <w:p w:rsidR="00AB2A68" w:rsidRPr="00DD2344" w:rsidRDefault="00AB2A68" w:rsidP="00AB2A68">
      <w:pPr>
        <w:pStyle w:val="Normalaftertitle"/>
      </w:pPr>
      <w:r w:rsidRPr="00DD2344">
        <w:t>La identificación de la secuencia de diez campos (cinco tramas) se codifica como sigue:</w:t>
      </w:r>
    </w:p>
    <w:p w:rsidR="00AB2A68" w:rsidRPr="00DD2344" w:rsidRDefault="00AB2A68" w:rsidP="00AB2A68">
      <w:pPr>
        <w:pStyle w:val="enumlev1"/>
      </w:pPr>
      <w:r w:rsidRPr="00DD2344">
        <w:t>–</w:t>
      </w:r>
      <w:r w:rsidRPr="00DD2344">
        <w:tab/>
        <w:t>La señal de identificación se inserta en las líneas 15 y 278.</w:t>
      </w:r>
    </w:p>
    <w:p w:rsidR="00AB2A68" w:rsidRPr="00DD2344" w:rsidRDefault="00AB2A68" w:rsidP="00AB2A68">
      <w:pPr>
        <w:pStyle w:val="enumlev1"/>
      </w:pPr>
      <w:r w:rsidRPr="00DD2344">
        <w:t>–</w:t>
      </w:r>
      <w:r w:rsidRPr="00DD2344">
        <w:tab/>
        <w:t>El primer impulso siempre está presente y actúa como impulso de inicio.</w:t>
      </w:r>
    </w:p>
    <w:p w:rsidR="00AB2A68" w:rsidRPr="00DD2344" w:rsidRDefault="00AB2A68" w:rsidP="00AB2A68">
      <w:pPr>
        <w:pStyle w:val="enumlev1"/>
      </w:pPr>
      <w:r w:rsidRPr="00DD2344">
        <w:t>–</w:t>
      </w:r>
      <w:r w:rsidRPr="00DD2344">
        <w:tab/>
        <w:t>A continuación sigue una cadena de entre cero y cuatro impulsos de computo de trama que se incrementa en una unidad en la línea 15 (cada campo impar). El sexto impulso está presente en la línea 278 (campo par) únicamente. Los impulsos están separados pos espacios de igual duración que los propios impulsos.</w:t>
      </w:r>
    </w:p>
    <w:p w:rsidR="00AB2A68" w:rsidRPr="00DD2344" w:rsidRDefault="00AB2A68" w:rsidP="00AB2A68">
      <w:r w:rsidRPr="00DD2344">
        <w:t>El inicio de la secuencia de diez campos no se especifica y no está alineado con ningún instante o valor del código de tiempo. En el Apéndice 4 aparecen más detalles al respecto.</w:t>
      </w:r>
    </w:p>
    <w:p w:rsidR="00AB2A68" w:rsidRPr="00DD2344" w:rsidRDefault="00AB2A68" w:rsidP="00AB2A68"/>
    <w:p w:rsidR="00AB2A68" w:rsidRPr="00DD2344" w:rsidRDefault="00AB2A68" w:rsidP="00AB2A68"/>
    <w:p w:rsidR="00AB2A68" w:rsidRPr="00DD2344" w:rsidRDefault="00AB2A68" w:rsidP="00AB2A68">
      <w:pPr>
        <w:pStyle w:val="AppendixNoTitle"/>
      </w:pPr>
      <w:r w:rsidRPr="00DD2344">
        <w:lastRenderedPageBreak/>
        <w:t>Apéndice 4</w:t>
      </w:r>
      <w:r w:rsidRPr="00DD2344">
        <w:br/>
      </w:r>
      <w:r w:rsidRPr="00DD2344">
        <w:rPr>
          <w:b w:val="0"/>
          <w:bCs/>
        </w:rPr>
        <w:t>(Informativo)</w:t>
      </w:r>
      <w:r w:rsidRPr="00DD2344">
        <w:rPr>
          <w:b w:val="0"/>
          <w:bCs/>
        </w:rPr>
        <w:br/>
      </w:r>
      <w:r w:rsidRPr="00DD2344">
        <w:br/>
        <w:t>Referencias informativas</w:t>
      </w:r>
    </w:p>
    <w:p w:rsidR="00AB2A68" w:rsidRPr="00DD2344" w:rsidRDefault="00AB2A68" w:rsidP="00AB2A68">
      <w:pPr>
        <w:pStyle w:val="Blanc"/>
        <w:rPr>
          <w:lang w:val="es-ES"/>
        </w:rPr>
      </w:pPr>
    </w:p>
    <w:p w:rsidR="00AB2A68" w:rsidRPr="00DD2344" w:rsidRDefault="00AB2A68" w:rsidP="00AB2A68">
      <w:pPr>
        <w:pStyle w:val="Reftext"/>
        <w:keepNext/>
        <w:keepLines/>
      </w:pPr>
      <w:r w:rsidRPr="00DD2344">
        <w:t xml:space="preserve">SMPTE 318M-1999, </w:t>
      </w:r>
      <w:r w:rsidRPr="00DD2344">
        <w:rPr>
          <w:i/>
          <w:iCs/>
        </w:rPr>
        <w:t>Synchronization of 59.94 or 50 Hertz related video and audio systems in analogue and digital areas</w:t>
      </w:r>
      <w:r w:rsidRPr="00DD2344">
        <w:t>: Society of Motion Picture and Television Engineers, White Plains, NY., EE.UU.</w:t>
      </w:r>
    </w:p>
    <w:p w:rsidR="00AB2A68" w:rsidRPr="00DD2344" w:rsidRDefault="00AB2A68" w:rsidP="00AB2A68">
      <w:pPr>
        <w:keepNext/>
        <w:keepLines/>
      </w:pPr>
    </w:p>
    <w:p w:rsidR="00AB2A68" w:rsidRPr="00DD2344" w:rsidRDefault="00AB2A68" w:rsidP="00AB2A68">
      <w:pPr>
        <w:keepNext/>
        <w:keepLines/>
        <w:spacing w:before="0"/>
        <w:jc w:val="center"/>
      </w:pPr>
      <w:r w:rsidRPr="00DD2344">
        <w:object w:dxaOrig="1539" w:dyaOrig="996">
          <v:shape id="_x0000_i1031" type="#_x0000_t75" style="width:77.45pt;height:49.65pt" o:ole="">
            <v:imagedata r:id="rId26" o:title=""/>
          </v:shape>
          <o:OLEObject Type="Embed" ProgID="AcroExch.Document.7" ShapeID="_x0000_i1031" DrawAspect="Icon" ObjectID="_1444456302" r:id="rId27"/>
        </w:object>
      </w:r>
    </w:p>
    <w:p w:rsidR="00AB2A68" w:rsidRPr="00DD2344" w:rsidRDefault="00AB2A68" w:rsidP="00AB2A68"/>
    <w:p w:rsidR="00AB2A68" w:rsidRPr="00DD2344" w:rsidRDefault="00AB2A68" w:rsidP="00AB2A68"/>
    <w:p w:rsidR="00AB2A68" w:rsidRPr="00DD2344" w:rsidRDefault="00AB2A68" w:rsidP="00AB2A68">
      <w:pPr>
        <w:jc w:val="center"/>
      </w:pPr>
      <w:r w:rsidRPr="00DD2344">
        <w:t>______________</w:t>
      </w:r>
    </w:p>
    <w:p w:rsidR="00AB2A68" w:rsidRPr="00AB2A68" w:rsidRDefault="00AB2A68" w:rsidP="00AB2A68">
      <w:pPr>
        <w:rPr>
          <w:lang w:val="es-ES_tradnl"/>
        </w:rPr>
      </w:pPr>
    </w:p>
    <w:sectPr w:rsidR="00AB2A68" w:rsidRPr="00AB2A68" w:rsidSect="00AB2A68">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A68" w:rsidRDefault="00AB2A68">
      <w:r>
        <w:separator/>
      </w:r>
    </w:p>
  </w:endnote>
  <w:endnote w:type="continuationSeparator" w:id="0">
    <w:p w:rsidR="00AB2A68" w:rsidRDefault="00AB2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A68" w:rsidRDefault="00AB2A68">
      <w:r>
        <w:separator/>
      </w:r>
    </w:p>
  </w:footnote>
  <w:footnote w:type="continuationSeparator" w:id="0">
    <w:p w:rsidR="00AB2A68" w:rsidRDefault="00AB2A68">
      <w:r>
        <w:continuationSeparator/>
      </w:r>
    </w:p>
  </w:footnote>
  <w:footnote w:id="1">
    <w:p w:rsidR="00AB2A68" w:rsidRPr="000A2968" w:rsidRDefault="00AB2A68" w:rsidP="00AB2A68">
      <w:pPr>
        <w:pStyle w:val="FootnoteText"/>
        <w:rPr>
          <w:lang w:val="es-ES_tradnl" w:eastAsia="ja-JP"/>
        </w:rPr>
      </w:pPr>
      <w:r>
        <w:rPr>
          <w:rStyle w:val="FootnoteReference"/>
        </w:rPr>
        <w:footnoteRef/>
      </w:r>
      <w:r w:rsidRPr="000A2968">
        <w:rPr>
          <w:lang w:val="es-ES_tradnl"/>
        </w:rPr>
        <w:tab/>
        <w:t>Recomendación UIT-R BS.647</w:t>
      </w:r>
      <w:r w:rsidRPr="000A2968">
        <w:rPr>
          <w:lang w:val="es-ES_tradnl"/>
        </w:rPr>
        <w:noBreakHyphen/>
        <w:t>3</w:t>
      </w:r>
      <w:r w:rsidRPr="000A2968">
        <w:rPr>
          <w:rFonts w:hint="eastAsia"/>
          <w:lang w:val="es-ES_tradnl" w:eastAsia="ja-JP"/>
        </w:rPr>
        <w:t xml:space="preserve"> (</w:t>
      </w:r>
      <w:r w:rsidRPr="000A2968">
        <w:rPr>
          <w:lang w:val="es-ES_tradnl"/>
        </w:rPr>
        <w:t>2011</w:t>
      </w:r>
      <w:r w:rsidRPr="000A2968">
        <w:rPr>
          <w:rFonts w:hint="eastAsia"/>
          <w:lang w:val="es-ES_tradnl" w:eastAsia="ja-JP"/>
        </w:rPr>
        <w:t>)</w:t>
      </w:r>
      <w:r w:rsidRPr="000A2968">
        <w:rPr>
          <w:lang w:val="es-ES_tradnl"/>
        </w:rPr>
        <w:t>, Parte 3 § 3.3</w:t>
      </w:r>
      <w:r w:rsidRPr="000A2968">
        <w:rPr>
          <w:rFonts w:hint="eastAsia"/>
          <w:lang w:val="es-ES_tradnl" w:eastAsia="ja-JP"/>
        </w:rPr>
        <w:t>.</w:t>
      </w:r>
    </w:p>
  </w:footnote>
  <w:footnote w:id="2">
    <w:p w:rsidR="00AB2A68" w:rsidRPr="007E584C" w:rsidRDefault="00AB2A68" w:rsidP="00AB2A68">
      <w:pPr>
        <w:pStyle w:val="FootnoteText"/>
        <w:rPr>
          <w:lang w:val="es-ES_tradnl" w:eastAsia="ja-JP"/>
        </w:rPr>
      </w:pPr>
      <w:r>
        <w:rPr>
          <w:rStyle w:val="FootnoteReference"/>
        </w:rPr>
        <w:footnoteRef/>
      </w:r>
      <w:r w:rsidRPr="007E584C">
        <w:rPr>
          <w:lang w:val="es-ES_tradnl"/>
        </w:rPr>
        <w:t xml:space="preserve"> </w:t>
      </w:r>
      <w:r w:rsidRPr="007E584C">
        <w:rPr>
          <w:lang w:val="es-ES_tradnl"/>
        </w:rPr>
        <w:tab/>
        <w:t>En esta Recomendación se utilizan los número</w:t>
      </w:r>
      <w:r w:rsidR="00422827">
        <w:rPr>
          <w:lang w:val="es-ES_tradnl"/>
        </w:rPr>
        <w:t>s</w:t>
      </w:r>
      <w:r w:rsidRPr="007E584C">
        <w:rPr>
          <w:lang w:val="es-ES_tradnl"/>
        </w:rPr>
        <w:t xml:space="preserve"> de línea de la interfaz para establecer las temporizaciones de referencia.</w:t>
      </w:r>
    </w:p>
  </w:footnote>
  <w:footnote w:id="3">
    <w:p w:rsidR="00AB2A68" w:rsidRDefault="00AB2A68" w:rsidP="00AB2A68">
      <w:pPr>
        <w:pStyle w:val="FootnoteText"/>
      </w:pPr>
      <w:r>
        <w:rPr>
          <w:rStyle w:val="FootnoteReference"/>
        </w:rPr>
        <w:footnoteRef/>
      </w:r>
      <w:r>
        <w:tab/>
      </w:r>
      <w:r w:rsidRPr="00B71FDF">
        <w:rPr>
          <w:lang w:val="es-ES_tradnl"/>
        </w:rPr>
        <w:t xml:space="preserve">Los valores precisos son 30/1,001 </w:t>
      </w:r>
      <w:r>
        <w:rPr>
          <w:lang w:val="es-ES_tradnl"/>
        </w:rPr>
        <w:t xml:space="preserve">y </w:t>
      </w:r>
      <w:r w:rsidR="00110F12">
        <w:rPr>
          <w:lang w:val="es-ES_tradnl"/>
        </w:rPr>
        <w:t>60/1,</w:t>
      </w:r>
      <w:r w:rsidRPr="00B71FDF">
        <w:rPr>
          <w:lang w:val="es-ES_tradnl"/>
        </w:rPr>
        <w:t>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A68" w:rsidRDefault="00AB2A6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A68" w:rsidRDefault="00AB2A68" w:rsidP="00D62884">
    <w:pPr>
      <w:pStyle w:val="Header"/>
      <w:ind w:right="360" w:firstLine="360"/>
    </w:pPr>
    <w:r>
      <w:rPr>
        <w:noProof/>
        <w:lang w:val="en-US" w:eastAsia="zh-CN"/>
      </w:rPr>
      <w:drawing>
        <wp:anchor distT="0" distB="0" distL="114300" distR="114300" simplePos="0" relativeHeight="251659264" behindDoc="1" locked="0" layoutInCell="1" allowOverlap="1" wp14:anchorId="78B255B9" wp14:editId="6C8F8B7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A68" w:rsidRDefault="00AB2A68"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46D28">
      <w:rPr>
        <w:rStyle w:val="PageNumber"/>
        <w:b/>
        <w:bCs/>
        <w:noProof/>
      </w:rPr>
      <w:t>ii</w:t>
    </w:r>
    <w:r>
      <w:rPr>
        <w:rStyle w:val="PageNumber"/>
        <w:b/>
        <w:bCs/>
      </w:rPr>
      <w:fldChar w:fldCharType="end"/>
    </w:r>
    <w:r>
      <w:tab/>
    </w:r>
    <w:r w:rsidR="00446D28">
      <w:fldChar w:fldCharType="begin"/>
    </w:r>
    <w:r w:rsidR="00446D28">
      <w:instrText xml:space="preserve"> DOCPROPERTY "Header" \* MERGEFORMAT </w:instrText>
    </w:r>
    <w:r w:rsidR="00446D28">
      <w:fldChar w:fldCharType="separate"/>
    </w:r>
    <w:r w:rsidR="00C3234A" w:rsidRPr="00C3234A">
      <w:rPr>
        <w:b/>
        <w:bCs/>
        <w:lang w:val="en-US"/>
      </w:rPr>
      <w:t xml:space="preserve">Rec. </w:t>
    </w:r>
    <w:r w:rsidR="00446D28">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446D28">
      <w:rPr>
        <w:b/>
        <w:bCs/>
        <w:noProof/>
      </w:rPr>
      <w:t>UIT-R  BS.2032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A68" w:rsidRDefault="00AB2A68">
    <w:pPr>
      <w:pStyle w:val="Header"/>
    </w:pPr>
    <w:r>
      <w:tab/>
    </w:r>
    <w:r w:rsidR="00446D28">
      <w:fldChar w:fldCharType="begin"/>
    </w:r>
    <w:r w:rsidR="00446D28">
      <w:instrText xml:space="preserve"> DOCPROPERTY "Header" \* MERGEFORMAT </w:instrText>
    </w:r>
    <w:r w:rsidR="00446D28">
      <w:fldChar w:fldCharType="separate"/>
    </w:r>
    <w:r w:rsidR="00C3234A" w:rsidRPr="00C3234A">
      <w:rPr>
        <w:lang w:val="en-US"/>
      </w:rPr>
      <w:t xml:space="preserve">Rec. </w:t>
    </w:r>
    <w:r w:rsidR="00446D28">
      <w:rPr>
        <w:lang w:val="en-US"/>
      </w:rPr>
      <w:fldChar w:fldCharType="end"/>
    </w:r>
    <w:r>
      <w:rPr>
        <w:b/>
        <w:bCs/>
      </w:rPr>
      <w:t xml:space="preserve">  </w:t>
    </w:r>
    <w:r>
      <w:rPr>
        <w:b/>
        <w:bCs/>
      </w:rPr>
      <w:fldChar w:fldCharType="begin"/>
    </w:r>
    <w:r>
      <w:rPr>
        <w:b/>
        <w:bCs/>
      </w:rPr>
      <w:instrText>styleref href</w:instrText>
    </w:r>
    <w:r>
      <w:rPr>
        <w:b/>
        <w:bCs/>
      </w:rPr>
      <w:fldChar w:fldCharType="separate"/>
    </w:r>
    <w:r w:rsidR="00C3234A">
      <w:rPr>
        <w:b/>
        <w:bCs/>
        <w:noProof/>
      </w:rPr>
      <w:t>UIT-R  BS.2032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46D28">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3234A" w:rsidRPr="00C3234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46D28">
      <w:rPr>
        <w:b/>
        <w:bCs/>
        <w:noProof/>
      </w:rPr>
      <w:t>UIT-R  BS.2032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446D28">
      <w:fldChar w:fldCharType="begin"/>
    </w:r>
    <w:r w:rsidR="00446D28">
      <w:instrText xml:space="preserve"> DOCPROPERTY "Header" \* MERGEFORMAT </w:instrText>
    </w:r>
    <w:r w:rsidR="00446D28">
      <w:fldChar w:fldCharType="separate"/>
    </w:r>
    <w:r w:rsidR="00C3234A" w:rsidRPr="00C3234A">
      <w:rPr>
        <w:b/>
        <w:bCs/>
      </w:rPr>
      <w:t xml:space="preserve">Rec. </w:t>
    </w:r>
    <w:r w:rsidR="00446D28">
      <w:rPr>
        <w:b/>
        <w:bCs/>
      </w:rPr>
      <w:fldChar w:fldCharType="end"/>
    </w:r>
    <w:r>
      <w:rPr>
        <w:b/>
        <w:bCs/>
      </w:rPr>
      <w:t xml:space="preserve"> </w:t>
    </w:r>
    <w:r>
      <w:rPr>
        <w:b/>
        <w:bCs/>
      </w:rPr>
      <w:fldChar w:fldCharType="begin"/>
    </w:r>
    <w:r>
      <w:rPr>
        <w:b/>
        <w:bCs/>
      </w:rPr>
      <w:instrText>styleref href</w:instrText>
    </w:r>
    <w:r>
      <w:rPr>
        <w:b/>
        <w:bCs/>
      </w:rPr>
      <w:fldChar w:fldCharType="separate"/>
    </w:r>
    <w:r w:rsidR="00446D28">
      <w:rPr>
        <w:b/>
        <w:bCs/>
        <w:noProof/>
      </w:rPr>
      <w:t>UIT-R  BS.2032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46D28">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2881606"/>
    <w:lvl w:ilvl="0">
      <w:start w:val="1"/>
      <w:numFmt w:val="decimal"/>
      <w:lvlText w:val="%1."/>
      <w:lvlJc w:val="left"/>
      <w:pPr>
        <w:tabs>
          <w:tab w:val="num" w:pos="1492"/>
        </w:tabs>
        <w:ind w:left="1492" w:hanging="360"/>
      </w:pPr>
    </w:lvl>
  </w:abstractNum>
  <w:abstractNum w:abstractNumId="1">
    <w:nsid w:val="FFFFFF7D"/>
    <w:multiLevelType w:val="singleLevel"/>
    <w:tmpl w:val="C916FA14"/>
    <w:lvl w:ilvl="0">
      <w:start w:val="1"/>
      <w:numFmt w:val="decimal"/>
      <w:lvlText w:val="%1."/>
      <w:lvlJc w:val="left"/>
      <w:pPr>
        <w:tabs>
          <w:tab w:val="num" w:pos="1209"/>
        </w:tabs>
        <w:ind w:left="1209" w:hanging="360"/>
      </w:pPr>
    </w:lvl>
  </w:abstractNum>
  <w:abstractNum w:abstractNumId="2">
    <w:nsid w:val="FFFFFF7E"/>
    <w:multiLevelType w:val="singleLevel"/>
    <w:tmpl w:val="FACCFF74"/>
    <w:lvl w:ilvl="0">
      <w:start w:val="1"/>
      <w:numFmt w:val="decimal"/>
      <w:lvlText w:val="%1."/>
      <w:lvlJc w:val="left"/>
      <w:pPr>
        <w:tabs>
          <w:tab w:val="num" w:pos="926"/>
        </w:tabs>
        <w:ind w:left="926" w:hanging="360"/>
      </w:pPr>
    </w:lvl>
  </w:abstractNum>
  <w:abstractNum w:abstractNumId="3">
    <w:nsid w:val="FFFFFF7F"/>
    <w:multiLevelType w:val="singleLevel"/>
    <w:tmpl w:val="5A96A538"/>
    <w:lvl w:ilvl="0">
      <w:start w:val="1"/>
      <w:numFmt w:val="decimal"/>
      <w:lvlText w:val="%1."/>
      <w:lvlJc w:val="left"/>
      <w:pPr>
        <w:tabs>
          <w:tab w:val="num" w:pos="643"/>
        </w:tabs>
        <w:ind w:left="643" w:hanging="360"/>
      </w:pPr>
    </w:lvl>
  </w:abstractNum>
  <w:abstractNum w:abstractNumId="4">
    <w:nsid w:val="FFFFFF80"/>
    <w:multiLevelType w:val="singleLevel"/>
    <w:tmpl w:val="92149A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DC265A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A52ED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588BDF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09C5D6C"/>
    <w:lvl w:ilvl="0">
      <w:start w:val="1"/>
      <w:numFmt w:val="decimal"/>
      <w:lvlText w:val="%1."/>
      <w:lvlJc w:val="left"/>
      <w:pPr>
        <w:tabs>
          <w:tab w:val="num" w:pos="360"/>
        </w:tabs>
        <w:ind w:left="360" w:hanging="360"/>
      </w:pPr>
    </w:lvl>
  </w:abstractNum>
  <w:abstractNum w:abstractNumId="9">
    <w:nsid w:val="FFFFFF89"/>
    <w:multiLevelType w:val="singleLevel"/>
    <w:tmpl w:val="6838A4A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A68"/>
    <w:rsid w:val="000526C6"/>
    <w:rsid w:val="000A7409"/>
    <w:rsid w:val="000D0C4B"/>
    <w:rsid w:val="00110F12"/>
    <w:rsid w:val="001C079C"/>
    <w:rsid w:val="00217EBF"/>
    <w:rsid w:val="0023227A"/>
    <w:rsid w:val="00242AEE"/>
    <w:rsid w:val="002914A7"/>
    <w:rsid w:val="002A1BF8"/>
    <w:rsid w:val="002A4970"/>
    <w:rsid w:val="002B3320"/>
    <w:rsid w:val="002C3A5F"/>
    <w:rsid w:val="002D76C4"/>
    <w:rsid w:val="004169F6"/>
    <w:rsid w:val="00422827"/>
    <w:rsid w:val="00446D28"/>
    <w:rsid w:val="0052529D"/>
    <w:rsid w:val="00607D68"/>
    <w:rsid w:val="007468DA"/>
    <w:rsid w:val="00816016"/>
    <w:rsid w:val="009E00A8"/>
    <w:rsid w:val="00A6617B"/>
    <w:rsid w:val="00AB0DC8"/>
    <w:rsid w:val="00AB2A68"/>
    <w:rsid w:val="00B44E24"/>
    <w:rsid w:val="00B6329B"/>
    <w:rsid w:val="00C3234A"/>
    <w:rsid w:val="00DF4176"/>
    <w:rsid w:val="00EA40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2A6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B2A68"/>
    <w:rPr>
      <w:color w:val="0000FF"/>
      <w:u w:val="single"/>
    </w:rPr>
  </w:style>
  <w:style w:type="character" w:customStyle="1" w:styleId="FootnoteTextChar">
    <w:name w:val="Footnote Text Char"/>
    <w:basedOn w:val="DefaultParagraphFont"/>
    <w:link w:val="FootnoteText"/>
    <w:rsid w:val="00AB2A68"/>
    <w:rPr>
      <w:sz w:val="22"/>
      <w:lang w:val="fr-FR" w:eastAsia="en-US"/>
    </w:rPr>
  </w:style>
  <w:style w:type="character" w:customStyle="1" w:styleId="CallChar">
    <w:name w:val="Call Char"/>
    <w:basedOn w:val="DefaultParagraphFont"/>
    <w:link w:val="Call"/>
    <w:locked/>
    <w:rsid w:val="00AB2A68"/>
    <w:rPr>
      <w:i/>
      <w:sz w:val="24"/>
      <w:lang w:val="fr-FR" w:eastAsia="en-US"/>
    </w:rPr>
  </w:style>
  <w:style w:type="character" w:customStyle="1" w:styleId="enumlev1Char">
    <w:name w:val="enumlev1 Char"/>
    <w:basedOn w:val="DefaultParagraphFont"/>
    <w:link w:val="enumlev1"/>
    <w:locked/>
    <w:rsid w:val="00AB2A68"/>
    <w:rPr>
      <w:sz w:val="24"/>
      <w:lang w:val="fr-FR" w:eastAsia="en-US"/>
    </w:rPr>
  </w:style>
  <w:style w:type="character" w:customStyle="1" w:styleId="Heading1Char">
    <w:name w:val="Heading 1 Char"/>
    <w:basedOn w:val="DefaultParagraphFont"/>
    <w:link w:val="Heading1"/>
    <w:rsid w:val="00AB2A68"/>
    <w:rPr>
      <w:b/>
      <w:sz w:val="24"/>
      <w:lang w:val="fr-FR" w:eastAsia="en-US"/>
    </w:rPr>
  </w:style>
  <w:style w:type="character" w:customStyle="1" w:styleId="FiguretitleChar">
    <w:name w:val="Figure_title Char"/>
    <w:basedOn w:val="DefaultParagraphFont"/>
    <w:link w:val="Figuretitle"/>
    <w:locked/>
    <w:rsid w:val="00AB2A68"/>
    <w:rPr>
      <w:rFonts w:ascii="Times New Roman Bold" w:hAnsi="Times New Roman Bold"/>
      <w:b/>
      <w:sz w:val="18"/>
      <w:lang w:val="fr-FR" w:eastAsia="en-US"/>
    </w:rPr>
  </w:style>
  <w:style w:type="character" w:customStyle="1" w:styleId="FigureNo0">
    <w:name w:val="Figure_No (文字)"/>
    <w:basedOn w:val="DefaultParagraphFont"/>
    <w:link w:val="FigureNo"/>
    <w:locked/>
    <w:rsid w:val="00AB2A68"/>
    <w:rPr>
      <w:caps/>
      <w:sz w:val="18"/>
      <w:lang w:val="fr-FR" w:eastAsia="en-US"/>
    </w:rPr>
  </w:style>
  <w:style w:type="character" w:customStyle="1" w:styleId="Heading3Char">
    <w:name w:val="Heading 3 Char"/>
    <w:basedOn w:val="DefaultParagraphFont"/>
    <w:link w:val="Heading3"/>
    <w:rsid w:val="00AB2A68"/>
    <w:rPr>
      <w:b/>
      <w:sz w:val="24"/>
      <w:lang w:val="fr-FR" w:eastAsia="en-US"/>
    </w:rPr>
  </w:style>
  <w:style w:type="character" w:customStyle="1" w:styleId="TabletextChar">
    <w:name w:val="Table_text Char"/>
    <w:link w:val="Tabletext"/>
    <w:locked/>
    <w:rsid w:val="00AB2A68"/>
    <w:rPr>
      <w:sz w:val="22"/>
      <w:lang w:val="fr-FR" w:eastAsia="en-US"/>
    </w:rPr>
  </w:style>
  <w:style w:type="character" w:customStyle="1" w:styleId="TabletitleChar">
    <w:name w:val="Table_title Char"/>
    <w:link w:val="Tabletitle"/>
    <w:locked/>
    <w:rsid w:val="00AB2A68"/>
    <w:rPr>
      <w:b/>
      <w:sz w:val="24"/>
      <w:lang w:val="fr-FR" w:eastAsia="en-US"/>
    </w:rPr>
  </w:style>
  <w:style w:type="character" w:customStyle="1" w:styleId="TableNoChar">
    <w:name w:val="Table_No Char"/>
    <w:link w:val="TableNo"/>
    <w:locked/>
    <w:rsid w:val="00AB2A68"/>
    <w:rPr>
      <w:sz w:val="24"/>
      <w:lang w:val="fr-FR" w:eastAsia="en-US"/>
    </w:rPr>
  </w:style>
  <w:style w:type="character" w:customStyle="1" w:styleId="TableheadChar">
    <w:name w:val="Table_head Char"/>
    <w:link w:val="Tablehead"/>
    <w:locked/>
    <w:rsid w:val="00AB2A68"/>
    <w:rPr>
      <w:b/>
      <w:sz w:val="22"/>
      <w:lang w:val="fr-FR" w:eastAsia="en-US"/>
    </w:rPr>
  </w:style>
  <w:style w:type="character" w:customStyle="1" w:styleId="code-courier">
    <w:name w:val="code-courier"/>
    <w:uiPriority w:val="99"/>
    <w:rsid w:val="00AB2A68"/>
    <w:rPr>
      <w:rFonts w:ascii="Courier" w:hAnsi="Courie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2A6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B2A68"/>
    <w:rPr>
      <w:color w:val="0000FF"/>
      <w:u w:val="single"/>
    </w:rPr>
  </w:style>
  <w:style w:type="character" w:customStyle="1" w:styleId="FootnoteTextChar">
    <w:name w:val="Footnote Text Char"/>
    <w:basedOn w:val="DefaultParagraphFont"/>
    <w:link w:val="FootnoteText"/>
    <w:rsid w:val="00AB2A68"/>
    <w:rPr>
      <w:sz w:val="22"/>
      <w:lang w:val="fr-FR" w:eastAsia="en-US"/>
    </w:rPr>
  </w:style>
  <w:style w:type="character" w:customStyle="1" w:styleId="CallChar">
    <w:name w:val="Call Char"/>
    <w:basedOn w:val="DefaultParagraphFont"/>
    <w:link w:val="Call"/>
    <w:locked/>
    <w:rsid w:val="00AB2A68"/>
    <w:rPr>
      <w:i/>
      <w:sz w:val="24"/>
      <w:lang w:val="fr-FR" w:eastAsia="en-US"/>
    </w:rPr>
  </w:style>
  <w:style w:type="character" w:customStyle="1" w:styleId="enumlev1Char">
    <w:name w:val="enumlev1 Char"/>
    <w:basedOn w:val="DefaultParagraphFont"/>
    <w:link w:val="enumlev1"/>
    <w:locked/>
    <w:rsid w:val="00AB2A68"/>
    <w:rPr>
      <w:sz w:val="24"/>
      <w:lang w:val="fr-FR" w:eastAsia="en-US"/>
    </w:rPr>
  </w:style>
  <w:style w:type="character" w:customStyle="1" w:styleId="Heading1Char">
    <w:name w:val="Heading 1 Char"/>
    <w:basedOn w:val="DefaultParagraphFont"/>
    <w:link w:val="Heading1"/>
    <w:rsid w:val="00AB2A68"/>
    <w:rPr>
      <w:b/>
      <w:sz w:val="24"/>
      <w:lang w:val="fr-FR" w:eastAsia="en-US"/>
    </w:rPr>
  </w:style>
  <w:style w:type="character" w:customStyle="1" w:styleId="FiguretitleChar">
    <w:name w:val="Figure_title Char"/>
    <w:basedOn w:val="DefaultParagraphFont"/>
    <w:link w:val="Figuretitle"/>
    <w:locked/>
    <w:rsid w:val="00AB2A68"/>
    <w:rPr>
      <w:rFonts w:ascii="Times New Roman Bold" w:hAnsi="Times New Roman Bold"/>
      <w:b/>
      <w:sz w:val="18"/>
      <w:lang w:val="fr-FR" w:eastAsia="en-US"/>
    </w:rPr>
  </w:style>
  <w:style w:type="character" w:customStyle="1" w:styleId="FigureNo0">
    <w:name w:val="Figure_No (文字)"/>
    <w:basedOn w:val="DefaultParagraphFont"/>
    <w:link w:val="FigureNo"/>
    <w:locked/>
    <w:rsid w:val="00AB2A68"/>
    <w:rPr>
      <w:caps/>
      <w:sz w:val="18"/>
      <w:lang w:val="fr-FR" w:eastAsia="en-US"/>
    </w:rPr>
  </w:style>
  <w:style w:type="character" w:customStyle="1" w:styleId="Heading3Char">
    <w:name w:val="Heading 3 Char"/>
    <w:basedOn w:val="DefaultParagraphFont"/>
    <w:link w:val="Heading3"/>
    <w:rsid w:val="00AB2A68"/>
    <w:rPr>
      <w:b/>
      <w:sz w:val="24"/>
      <w:lang w:val="fr-FR" w:eastAsia="en-US"/>
    </w:rPr>
  </w:style>
  <w:style w:type="character" w:customStyle="1" w:styleId="TabletextChar">
    <w:name w:val="Table_text Char"/>
    <w:link w:val="Tabletext"/>
    <w:locked/>
    <w:rsid w:val="00AB2A68"/>
    <w:rPr>
      <w:sz w:val="22"/>
      <w:lang w:val="fr-FR" w:eastAsia="en-US"/>
    </w:rPr>
  </w:style>
  <w:style w:type="character" w:customStyle="1" w:styleId="TabletitleChar">
    <w:name w:val="Table_title Char"/>
    <w:link w:val="Tabletitle"/>
    <w:locked/>
    <w:rsid w:val="00AB2A68"/>
    <w:rPr>
      <w:b/>
      <w:sz w:val="24"/>
      <w:lang w:val="fr-FR" w:eastAsia="en-US"/>
    </w:rPr>
  </w:style>
  <w:style w:type="character" w:customStyle="1" w:styleId="TableNoChar">
    <w:name w:val="Table_No Char"/>
    <w:link w:val="TableNo"/>
    <w:locked/>
    <w:rsid w:val="00AB2A68"/>
    <w:rPr>
      <w:sz w:val="24"/>
      <w:lang w:val="fr-FR" w:eastAsia="en-US"/>
    </w:rPr>
  </w:style>
  <w:style w:type="character" w:customStyle="1" w:styleId="TableheadChar">
    <w:name w:val="Table_head Char"/>
    <w:link w:val="Tablehead"/>
    <w:locked/>
    <w:rsid w:val="00AB2A68"/>
    <w:rPr>
      <w:b/>
      <w:sz w:val="22"/>
      <w:lang w:val="fr-FR" w:eastAsia="en-US"/>
    </w:rPr>
  </w:style>
  <w:style w:type="character" w:customStyle="1" w:styleId="code-courier">
    <w:name w:val="code-courier"/>
    <w:uiPriority w:val="99"/>
    <w:rsid w:val="00AB2A68"/>
    <w:rPr>
      <w:rFonts w:ascii="Courier" w:hAnsi="Courie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5.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97</TotalTime>
  <Pages>14</Pages>
  <Words>3091</Words>
  <Characters>16275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17</cp:revision>
  <cp:lastPrinted>2013-10-24T14:18:00Z</cp:lastPrinted>
  <dcterms:created xsi:type="dcterms:W3CDTF">2013-10-24T11:53:00Z</dcterms:created>
  <dcterms:modified xsi:type="dcterms:W3CDTF">2013-10-28T08:04:00Z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