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4C89" w14:textId="77777777" w:rsidR="002B706F" w:rsidRDefault="002B706F" w:rsidP="00197749"/>
    <w:p w14:paraId="0570DCF2" w14:textId="77777777" w:rsidR="00091A6B" w:rsidRDefault="00091A6B" w:rsidP="00197749">
      <w:pPr>
        <w:rPr>
          <w:rtl/>
        </w:rPr>
      </w:pPr>
    </w:p>
    <w:p w14:paraId="55D8D3BB" w14:textId="260968AD" w:rsidR="00091A6B" w:rsidRDefault="00091A6B" w:rsidP="00091A6B">
      <w:pPr>
        <w:pStyle w:val="CoverNumber"/>
      </w:pPr>
      <w:r w:rsidRPr="00091A6B">
        <w:rPr>
          <w:rtl/>
        </w:rPr>
        <w:t xml:space="preserve">التوصيـة </w:t>
      </w:r>
      <w:r w:rsidRPr="00091A6B">
        <w:t>ITU-R </w:t>
      </w:r>
      <w:r w:rsidR="00AA1ACD">
        <w:t>B</w:t>
      </w:r>
      <w:r w:rsidR="00631E7D">
        <w:t>S</w:t>
      </w:r>
      <w:r w:rsidRPr="00091A6B">
        <w:t>.</w:t>
      </w:r>
      <w:r w:rsidR="00950880">
        <w:t>1864-1</w:t>
      </w:r>
    </w:p>
    <w:p w14:paraId="7A3F8007" w14:textId="6EF0E3A8" w:rsidR="00091A6B" w:rsidRDefault="00091A6B" w:rsidP="00091A6B">
      <w:pPr>
        <w:pStyle w:val="CoverDate"/>
      </w:pPr>
      <w:r w:rsidRPr="005F01A2">
        <w:t>(</w:t>
      </w:r>
      <w:r w:rsidR="00950880">
        <w:t>2023</w:t>
      </w:r>
      <w:r>
        <w:t>/</w:t>
      </w:r>
      <w:r w:rsidR="00950880">
        <w:t>11</w:t>
      </w:r>
      <w:r w:rsidRPr="005F01A2">
        <w:t>)</w:t>
      </w:r>
    </w:p>
    <w:p w14:paraId="711F773D" w14:textId="77777777" w:rsidR="00EF6496" w:rsidRPr="00631E7D" w:rsidRDefault="00FC6892" w:rsidP="00631E7D">
      <w:pPr>
        <w:pStyle w:val="CoverSeries"/>
        <w:rPr>
          <w:rtl/>
        </w:rPr>
      </w:pPr>
      <w:r>
        <w:rPr>
          <w:rFonts w:hint="cs"/>
          <w:rtl/>
          <w:lang w:val="en-GB"/>
        </w:rPr>
        <w:t xml:space="preserve">السلسلة </w:t>
      </w:r>
      <w:r w:rsidR="00AA1ACD">
        <w:t>B</w:t>
      </w:r>
      <w:r w:rsidR="00631E7D">
        <w:t>S</w:t>
      </w:r>
      <w:r>
        <w:rPr>
          <w:rFonts w:hint="cs"/>
          <w:rtl/>
          <w:lang w:val="en-GB"/>
        </w:rPr>
        <w:t xml:space="preserve">: </w:t>
      </w:r>
      <w:r w:rsidR="00631E7D" w:rsidRPr="00631E7D">
        <w:rPr>
          <w:rFonts w:hint="cs"/>
          <w:rtl/>
          <w:lang w:bidi="ar-SA"/>
        </w:rPr>
        <w:t>الخدمة الإذاعية (الصوتية)</w:t>
      </w:r>
    </w:p>
    <w:p w14:paraId="5F2E522C" w14:textId="319DFF9D" w:rsidR="00091A6B" w:rsidRPr="00EF6496" w:rsidRDefault="00950880" w:rsidP="00F23CC1">
      <w:pPr>
        <w:pStyle w:val="CoverTitle"/>
        <w:spacing w:before="360"/>
        <w:ind w:right="709"/>
        <w:rPr>
          <w:lang w:bidi="ar-EG"/>
        </w:rPr>
      </w:pPr>
      <w:r w:rsidRPr="00950880">
        <w:rPr>
          <w:rFonts w:hint="cs"/>
          <w:rtl/>
          <w:lang w:bidi="ar-EG"/>
        </w:rPr>
        <w:t>ممارسات تشغيلية بشأن الجهارة في التبادل الدولي للبرامج التلفزيونية الرقمية</w:t>
      </w:r>
    </w:p>
    <w:p w14:paraId="0F135B4C" w14:textId="77777777" w:rsidR="00091A6B" w:rsidRDefault="00091A6B" w:rsidP="00197749"/>
    <w:p w14:paraId="74A22901" w14:textId="77777777" w:rsidR="00091A6B" w:rsidRDefault="00091A6B" w:rsidP="00197749"/>
    <w:p w14:paraId="0C0C06A0" w14:textId="77777777" w:rsidR="00091A6B" w:rsidRDefault="00091A6B" w:rsidP="00197749"/>
    <w:p w14:paraId="4466D3F5" w14:textId="77777777" w:rsidR="00091A6B" w:rsidRDefault="00091A6B" w:rsidP="00197749"/>
    <w:p w14:paraId="37DE41CF" w14:textId="77777777" w:rsidR="00091A6B" w:rsidRDefault="00A161D3" w:rsidP="00197749">
      <w:r>
        <w:rPr>
          <w:noProof/>
        </w:rPr>
        <w:drawing>
          <wp:anchor distT="0" distB="0" distL="114300" distR="114300" simplePos="0" relativeHeight="251659776" behindDoc="0" locked="0" layoutInCell="1" allowOverlap="1" wp14:anchorId="20FC787F" wp14:editId="10A75EDB">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648F79F0"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7FEEAC4E" wp14:editId="025527BF">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32BD4"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0E25590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EAC4E"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68332BD4"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0E25590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6F45E0EC"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66D2BDC9"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3DC7B232"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310BEA67" w14:textId="77777777" w:rsidR="005E066B" w:rsidRPr="00440F51" w:rsidRDefault="005E066B" w:rsidP="005E066B">
      <w:pPr>
        <w:spacing w:before="0"/>
        <w:rPr>
          <w:spacing w:val="-2"/>
          <w:sz w:val="21"/>
          <w:szCs w:val="28"/>
          <w:lang w:val="ru-RU"/>
        </w:rPr>
      </w:pPr>
    </w:p>
    <w:p w14:paraId="312C3AC6"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08D7911B"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r w:rsidR="00177C16">
        <w:fldChar w:fldCharType="begin"/>
      </w:r>
      <w:r w:rsidR="00177C16">
        <w:instrText>HYPERLINK "http://www.itu.int/ITU-R/go/patents/en"</w:instrText>
      </w:r>
      <w:r w:rsidR="00177C16">
        <w:fldChar w:fldCharType="separate"/>
      </w:r>
      <w:r w:rsidRPr="008113E9">
        <w:rPr>
          <w:rStyle w:val="Hyperlink"/>
          <w:sz w:val="20"/>
          <w:szCs w:val="26"/>
        </w:rPr>
        <w:t>http://www.itu.int/ITU-R/go/patents/en</w:t>
      </w:r>
      <w:r w:rsidR="00177C16">
        <w:rPr>
          <w:rStyle w:val="Hyperlink"/>
          <w:sz w:val="20"/>
          <w:szCs w:val="26"/>
        </w:rPr>
        <w:fldChar w:fldCharType="end"/>
      </w:r>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50E65DBF" w14:textId="77777777" w:rsidR="005E066B" w:rsidRDefault="005E066B" w:rsidP="005E066B">
      <w:pPr>
        <w:spacing w:before="0"/>
        <w:rPr>
          <w:sz w:val="21"/>
          <w:szCs w:val="20"/>
          <w:rtl/>
          <w:lang w:bidi="ar-EG"/>
        </w:rPr>
      </w:pPr>
    </w:p>
    <w:p w14:paraId="30A75748"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61C0DFB5"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1ECC3867"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1B9C99B1"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r w:rsidR="00177C16">
              <w:fldChar w:fldCharType="begin"/>
            </w:r>
            <w:r w:rsidR="00177C16">
              <w:instrText>HYPERLINK "https://www.itu.int/publ/R-REC/en"</w:instrText>
            </w:r>
            <w:r w:rsidR="00177C16">
              <w:fldChar w:fldCharType="separate"/>
            </w:r>
            <w:r w:rsidR="001E77BC">
              <w:rPr>
                <w:rStyle w:val="Hyperlink"/>
                <w:sz w:val="18"/>
                <w:szCs w:val="24"/>
              </w:rPr>
              <w:t>https://www.itu.int/publ/R-REC/en</w:t>
            </w:r>
            <w:r w:rsidR="00177C16">
              <w:rPr>
                <w:rStyle w:val="Hyperlink"/>
                <w:sz w:val="18"/>
                <w:szCs w:val="24"/>
              </w:rPr>
              <w:fldChar w:fldCharType="end"/>
            </w:r>
            <w:r w:rsidRPr="009C6655">
              <w:rPr>
                <w:rFonts w:hint="cs"/>
                <w:sz w:val="18"/>
                <w:szCs w:val="24"/>
                <w:rtl/>
              </w:rPr>
              <w:t>)</w:t>
            </w:r>
          </w:p>
        </w:tc>
      </w:tr>
      <w:tr w:rsidR="005E066B" w:rsidRPr="00440F51" w14:paraId="0BE08B51" w14:textId="77777777" w:rsidTr="001E77BC">
        <w:trPr>
          <w:jc w:val="center"/>
        </w:trPr>
        <w:tc>
          <w:tcPr>
            <w:tcW w:w="1480" w:type="dxa"/>
            <w:tcBorders>
              <w:left w:val="single" w:sz="12" w:space="0" w:color="000080"/>
            </w:tcBorders>
          </w:tcPr>
          <w:p w14:paraId="3F531CBD"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72824D68"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714457D4"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404D51B5"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6B7FD5D4"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65EA605E"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51F3E6FD" w14:textId="77777777" w:rsidTr="00631E7D">
        <w:trPr>
          <w:jc w:val="center"/>
        </w:trPr>
        <w:tc>
          <w:tcPr>
            <w:tcW w:w="9394" w:type="dxa"/>
            <w:gridSpan w:val="2"/>
            <w:tcBorders>
              <w:left w:val="single" w:sz="12" w:space="0" w:color="000080"/>
              <w:right w:val="single" w:sz="12" w:space="0" w:color="000080"/>
            </w:tcBorders>
            <w:shd w:val="clear" w:color="auto" w:fill="F3F3F3"/>
          </w:tcPr>
          <w:p w14:paraId="223B247F" w14:textId="77777777" w:rsidR="00E964C9" w:rsidRPr="00631E7D"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631E7D">
              <w:rPr>
                <w:rFonts w:ascii="Times New Roman Bold" w:hAnsi="Times New Roman Bold"/>
                <w:b/>
                <w:bCs/>
                <w:color w:val="000080"/>
                <w:sz w:val="20"/>
                <w:szCs w:val="26"/>
                <w:lang w:val="ru-RU"/>
              </w:rPr>
              <w:t>BS</w:t>
            </w:r>
            <w:r w:rsidRPr="00631E7D">
              <w:rPr>
                <w:rFonts w:ascii="Times New Roman Bold" w:hAnsi="Times New Roman Bold" w:hint="cs"/>
                <w:b/>
                <w:bCs/>
                <w:color w:val="000080"/>
                <w:sz w:val="20"/>
                <w:szCs w:val="26"/>
                <w:rtl/>
                <w:lang w:val="ru-RU"/>
              </w:rPr>
              <w:tab/>
              <w:t>الخدمة الإذاعية (الصوتية)</w:t>
            </w:r>
          </w:p>
        </w:tc>
      </w:tr>
      <w:tr w:rsidR="00E964C9" w:rsidRPr="006405DD" w14:paraId="0B7D8609"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14F1635C"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2F0F7400"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98BB0ED"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3F2D0EC5"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EE20029"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115CBEF5"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E9C685E"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31CE435A" w14:textId="77777777" w:rsidTr="001E77BC">
        <w:trPr>
          <w:jc w:val="center"/>
        </w:trPr>
        <w:tc>
          <w:tcPr>
            <w:tcW w:w="9394" w:type="dxa"/>
            <w:gridSpan w:val="2"/>
            <w:tcBorders>
              <w:left w:val="single" w:sz="12" w:space="0" w:color="000080"/>
              <w:right w:val="single" w:sz="12" w:space="0" w:color="000080"/>
            </w:tcBorders>
            <w:shd w:val="clear" w:color="auto" w:fill="auto"/>
          </w:tcPr>
          <w:p w14:paraId="2E168A8E"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399B8C91"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50FA9E66"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7779C6">
              <w:rPr>
                <w:rFonts w:hint="cs"/>
                <w:sz w:val="20"/>
                <w:szCs w:val="26"/>
                <w:rtl/>
                <w:lang w:val="ru-RU"/>
              </w:rPr>
              <w:t>ُ</w:t>
            </w:r>
            <w:r w:rsidRPr="005425A3">
              <w:rPr>
                <w:rFonts w:hint="cs"/>
                <w:sz w:val="20"/>
                <w:szCs w:val="26"/>
                <w:rtl/>
                <w:lang w:val="ru-RU"/>
              </w:rPr>
              <w:t>عد</w:t>
            </w:r>
          </w:p>
        </w:tc>
      </w:tr>
      <w:tr w:rsidR="00E964C9" w:rsidRPr="005425A3" w14:paraId="1C595E52"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F6C6487"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084C6DBD"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2B842A03"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552F3E2D" w14:textId="77777777" w:rsidTr="001E77BC">
        <w:trPr>
          <w:jc w:val="center"/>
        </w:trPr>
        <w:tc>
          <w:tcPr>
            <w:tcW w:w="9394" w:type="dxa"/>
            <w:gridSpan w:val="2"/>
            <w:tcBorders>
              <w:left w:val="single" w:sz="12" w:space="0" w:color="000080"/>
              <w:right w:val="single" w:sz="12" w:space="0" w:color="000080"/>
            </w:tcBorders>
          </w:tcPr>
          <w:p w14:paraId="771AAB6C"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60C7D047" w14:textId="77777777" w:rsidTr="001E77BC">
        <w:trPr>
          <w:jc w:val="center"/>
        </w:trPr>
        <w:tc>
          <w:tcPr>
            <w:tcW w:w="9394" w:type="dxa"/>
            <w:gridSpan w:val="2"/>
            <w:tcBorders>
              <w:left w:val="single" w:sz="12" w:space="0" w:color="000080"/>
              <w:right w:val="single" w:sz="12" w:space="0" w:color="000080"/>
            </w:tcBorders>
          </w:tcPr>
          <w:p w14:paraId="10712C93"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22C47979" w14:textId="77777777" w:rsidTr="001E77BC">
        <w:trPr>
          <w:jc w:val="center"/>
        </w:trPr>
        <w:tc>
          <w:tcPr>
            <w:tcW w:w="9394" w:type="dxa"/>
            <w:gridSpan w:val="2"/>
            <w:tcBorders>
              <w:left w:val="single" w:sz="12" w:space="0" w:color="000080"/>
              <w:right w:val="single" w:sz="12" w:space="0" w:color="000080"/>
            </w:tcBorders>
          </w:tcPr>
          <w:p w14:paraId="6C8E1B91"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2992557B" w14:textId="77777777" w:rsidTr="001E77BC">
        <w:trPr>
          <w:jc w:val="center"/>
        </w:trPr>
        <w:tc>
          <w:tcPr>
            <w:tcW w:w="9394" w:type="dxa"/>
            <w:gridSpan w:val="2"/>
            <w:tcBorders>
              <w:left w:val="single" w:sz="12" w:space="0" w:color="000080"/>
              <w:right w:val="single" w:sz="12" w:space="0" w:color="000080"/>
            </w:tcBorders>
          </w:tcPr>
          <w:p w14:paraId="6674CABB"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2F4A2895"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6DE61896"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4B0399CB" w14:textId="77777777" w:rsidR="005E066B" w:rsidRPr="00440F51" w:rsidRDefault="005E066B" w:rsidP="005E066B">
      <w:pPr>
        <w:spacing w:before="0"/>
        <w:rPr>
          <w:sz w:val="21"/>
          <w:szCs w:val="20"/>
          <w:rtl/>
        </w:rPr>
      </w:pPr>
    </w:p>
    <w:p w14:paraId="642FED64"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6BBBD33" w14:textId="77777777" w:rsidTr="001E77BC">
        <w:trPr>
          <w:trHeight w:val="720"/>
          <w:jc w:val="center"/>
        </w:trPr>
        <w:tc>
          <w:tcPr>
            <w:tcW w:w="9379" w:type="dxa"/>
          </w:tcPr>
          <w:p w14:paraId="1DB2FDB5" w14:textId="77777777" w:rsidR="005E066B" w:rsidRPr="007779C6" w:rsidRDefault="005E066B" w:rsidP="001E77BC">
            <w:pPr>
              <w:ind w:left="45" w:right="540"/>
              <w:rPr>
                <w:b/>
                <w:bCs/>
                <w:i/>
                <w:iCs/>
                <w:spacing w:val="-4"/>
                <w:sz w:val="21"/>
                <w:szCs w:val="26"/>
                <w:rtl/>
                <w:lang w:val="ru-RU"/>
              </w:rPr>
            </w:pPr>
            <w:r w:rsidRPr="007779C6">
              <w:rPr>
                <w:rFonts w:hint="cs"/>
                <w:b/>
                <w:bCs/>
                <w:i/>
                <w:iCs/>
                <w:spacing w:val="-4"/>
                <w:sz w:val="21"/>
                <w:szCs w:val="26"/>
                <w:rtl/>
                <w:lang w:val="ru-RU"/>
              </w:rPr>
              <w:t>ملاحظة</w:t>
            </w:r>
            <w:r w:rsidRPr="007779C6">
              <w:rPr>
                <w:rFonts w:hint="cs"/>
                <w:i/>
                <w:iCs/>
                <w:spacing w:val="-4"/>
                <w:sz w:val="21"/>
                <w:szCs w:val="26"/>
                <w:rtl/>
                <w:lang w:val="ru-RU"/>
              </w:rPr>
              <w:t xml:space="preserve">: </w:t>
            </w:r>
            <w:r w:rsidR="00D2107D" w:rsidRPr="007779C6">
              <w:rPr>
                <w:rFonts w:hint="cs"/>
                <w:i/>
                <w:iCs/>
                <w:spacing w:val="-4"/>
                <w:sz w:val="21"/>
                <w:szCs w:val="26"/>
                <w:rtl/>
                <w:lang w:val="ru-RU"/>
              </w:rPr>
              <w:t xml:space="preserve">تمت الموافقة </w:t>
            </w:r>
            <w:r w:rsidRPr="007779C6">
              <w:rPr>
                <w:rFonts w:hint="cs"/>
                <w:i/>
                <w:iCs/>
                <w:spacing w:val="-4"/>
                <w:sz w:val="21"/>
                <w:szCs w:val="26"/>
                <w:rtl/>
                <w:lang w:val="ru-RU"/>
              </w:rPr>
              <w:t xml:space="preserve">على النسخة الإنكليزية </w:t>
            </w:r>
            <w:r w:rsidR="00D2107D" w:rsidRPr="007779C6">
              <w:rPr>
                <w:rFonts w:hint="cs"/>
                <w:i/>
                <w:iCs/>
                <w:spacing w:val="-4"/>
                <w:sz w:val="21"/>
                <w:szCs w:val="26"/>
                <w:rtl/>
                <w:lang w:val="ru-RU"/>
              </w:rPr>
              <w:t>لهذه التوصية</w:t>
            </w:r>
            <w:r w:rsidRPr="007779C6">
              <w:rPr>
                <w:rFonts w:hint="cs"/>
                <w:i/>
                <w:iCs/>
                <w:spacing w:val="-4"/>
                <w:sz w:val="21"/>
                <w:szCs w:val="26"/>
                <w:rtl/>
                <w:lang w:val="ru-RU"/>
              </w:rPr>
              <w:t xml:space="preserve"> الصادر</w:t>
            </w:r>
            <w:r w:rsidR="00D2107D" w:rsidRPr="007779C6">
              <w:rPr>
                <w:rFonts w:hint="cs"/>
                <w:i/>
                <w:iCs/>
                <w:spacing w:val="-4"/>
                <w:sz w:val="21"/>
                <w:szCs w:val="26"/>
                <w:rtl/>
                <w:lang w:val="ru-RU"/>
              </w:rPr>
              <w:t>ة</w:t>
            </w:r>
            <w:r w:rsidRPr="007779C6">
              <w:rPr>
                <w:rFonts w:hint="cs"/>
                <w:i/>
                <w:iCs/>
                <w:spacing w:val="-4"/>
                <w:sz w:val="21"/>
                <w:szCs w:val="26"/>
                <w:rtl/>
                <w:lang w:val="ru-RU"/>
              </w:rPr>
              <w:t xml:space="preserve"> عن قطاع الاتصالات الراديوية بموجب الإجراء الموضح في القرار </w:t>
            </w:r>
            <w:r w:rsidRPr="007779C6">
              <w:rPr>
                <w:i/>
                <w:iCs/>
                <w:spacing w:val="-4"/>
                <w:sz w:val="21"/>
                <w:szCs w:val="26"/>
              </w:rPr>
              <w:t>ITU-R 1</w:t>
            </w:r>
            <w:r w:rsidRPr="007779C6">
              <w:rPr>
                <w:rFonts w:hint="cs"/>
                <w:i/>
                <w:iCs/>
                <w:spacing w:val="-4"/>
                <w:sz w:val="21"/>
                <w:szCs w:val="26"/>
                <w:rtl/>
                <w:lang w:bidi="ar-EG"/>
              </w:rPr>
              <w:t>.</w:t>
            </w:r>
          </w:p>
        </w:tc>
      </w:tr>
    </w:tbl>
    <w:p w14:paraId="1B56536D" w14:textId="5DE3C494"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950880">
        <w:rPr>
          <w:sz w:val="20"/>
          <w:szCs w:val="26"/>
        </w:rPr>
        <w:t>2024</w:t>
      </w:r>
    </w:p>
    <w:p w14:paraId="59CB46DA" w14:textId="77777777" w:rsidR="005E066B" w:rsidRPr="00440F51" w:rsidRDefault="005E066B" w:rsidP="003D40E1">
      <w:pPr>
        <w:spacing w:before="0" w:line="120" w:lineRule="auto"/>
        <w:ind w:right="539"/>
        <w:jc w:val="right"/>
        <w:rPr>
          <w:sz w:val="21"/>
          <w:szCs w:val="28"/>
          <w:rtl/>
          <w:lang w:bidi="ar-EG"/>
        </w:rPr>
      </w:pPr>
    </w:p>
    <w:p w14:paraId="6669F342" w14:textId="1D183733" w:rsidR="005E066B" w:rsidRPr="003D017C" w:rsidRDefault="005E066B" w:rsidP="00EC44EE">
      <w:pPr>
        <w:spacing w:before="240"/>
        <w:jc w:val="center"/>
        <w:rPr>
          <w:sz w:val="21"/>
          <w:szCs w:val="20"/>
          <w:rtl/>
          <w:lang w:bidi="ar-EG"/>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950880">
        <w:rPr>
          <w:sz w:val="21"/>
          <w:szCs w:val="20"/>
        </w:rPr>
        <w:t>2024</w:t>
      </w:r>
    </w:p>
    <w:p w14:paraId="09A6118F" w14:textId="77777777" w:rsidR="005E066B" w:rsidRPr="007779C6" w:rsidRDefault="005E066B" w:rsidP="005E066B">
      <w:pPr>
        <w:rPr>
          <w:spacing w:val="-4"/>
          <w:sz w:val="20"/>
          <w:szCs w:val="26"/>
          <w:rtl/>
          <w:lang w:bidi="ar-EG"/>
        </w:rPr>
      </w:pPr>
      <w:r w:rsidRPr="007779C6">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7779C6">
        <w:rPr>
          <w:rFonts w:hint="cs"/>
          <w:spacing w:val="-4"/>
          <w:sz w:val="20"/>
          <w:szCs w:val="26"/>
          <w:rtl/>
          <w:lang w:val="en-GB" w:bidi="ar-EG"/>
        </w:rPr>
        <w:t xml:space="preserve"> </w:t>
      </w:r>
      <w:r w:rsidRPr="007779C6">
        <w:rPr>
          <w:rFonts w:hint="cs"/>
          <w:spacing w:val="-4"/>
          <w:sz w:val="20"/>
          <w:szCs w:val="26"/>
          <w:rtl/>
          <w:lang w:val="ru-RU"/>
        </w:rPr>
        <w:t xml:space="preserve">الاتحاد الدولي للاتصالات </w:t>
      </w:r>
      <w:r w:rsidRPr="007779C6">
        <w:rPr>
          <w:spacing w:val="-4"/>
          <w:sz w:val="20"/>
          <w:szCs w:val="26"/>
        </w:rPr>
        <w:t>(ITU)</w:t>
      </w:r>
      <w:r w:rsidRPr="007779C6">
        <w:rPr>
          <w:rFonts w:hint="cs"/>
          <w:spacing w:val="-4"/>
          <w:sz w:val="20"/>
          <w:szCs w:val="26"/>
          <w:rtl/>
          <w:lang w:bidi="ar-EG"/>
        </w:rPr>
        <w:t>.</w:t>
      </w:r>
    </w:p>
    <w:p w14:paraId="42FC419D" w14:textId="77777777" w:rsidR="005E066B" w:rsidRDefault="005E066B" w:rsidP="002144CB">
      <w:pPr>
        <w:rPr>
          <w:sz w:val="21"/>
          <w:szCs w:val="28"/>
          <w:rtl/>
          <w:lang w:bidi="ar-EG"/>
        </w:rPr>
        <w:sectPr w:rsidR="005E066B" w:rsidSect="003D017C">
          <w:headerReference w:type="even" r:id="rId11"/>
          <w:headerReference w:type="default" r:id="rId12"/>
          <w:pgSz w:w="11907" w:h="16834" w:code="9"/>
          <w:pgMar w:top="1134" w:right="1134" w:bottom="567" w:left="1134" w:header="720" w:footer="510" w:gutter="0"/>
          <w:paperSrc w:first="4" w:other="4"/>
          <w:pgNumType w:fmt="lowerRoman" w:start="2"/>
          <w:cols w:space="720"/>
          <w:bidi/>
          <w:rtlGutter/>
          <w:docGrid w:linePitch="299"/>
        </w:sectPr>
      </w:pPr>
    </w:p>
    <w:p w14:paraId="626DF362" w14:textId="73527104"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AA1ACD" w:rsidRPr="00AA1ACD">
        <w:rPr>
          <w:rStyle w:val="href"/>
          <w:rFonts w:eastAsia="Times New Roman" w:cs="Times New Roman"/>
          <w:szCs w:val="20"/>
          <w:lang w:eastAsia="en-US" w:bidi="ar-SA"/>
        </w:rPr>
        <w:t>B</w:t>
      </w:r>
      <w:r w:rsidR="00631E7D">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950880">
        <w:rPr>
          <w:rStyle w:val="href"/>
          <w:rFonts w:eastAsia="Times New Roman" w:cs="Times New Roman"/>
          <w:szCs w:val="20"/>
          <w:lang w:eastAsia="en-US" w:bidi="ar-SA"/>
        </w:rPr>
        <w:t>1864-1</w:t>
      </w:r>
    </w:p>
    <w:p w14:paraId="2F1EDE27" w14:textId="7731C45F" w:rsidR="002E6ECC" w:rsidRDefault="00950880" w:rsidP="00950880">
      <w:pPr>
        <w:pStyle w:val="Rectitle"/>
        <w:rPr>
          <w:rtl/>
        </w:rPr>
      </w:pPr>
      <w:r w:rsidRPr="00950880">
        <w:rPr>
          <w:rFonts w:hint="cs"/>
          <w:rtl/>
        </w:rPr>
        <w:t>ممارسات تشغيلية بشأن الجهارة في التبادل الدولي</w:t>
      </w:r>
      <w:r w:rsidR="00574535">
        <w:rPr>
          <w:rtl/>
        </w:rPr>
        <w:br/>
      </w:r>
      <w:r w:rsidRPr="00950880">
        <w:rPr>
          <w:rFonts w:hint="cs"/>
          <w:rtl/>
        </w:rPr>
        <w:t>للبرامج التلفزيونية الرقمية</w:t>
      </w:r>
    </w:p>
    <w:p w14:paraId="6B7A191A" w14:textId="2163EECE" w:rsidR="00950880" w:rsidRPr="00732874" w:rsidRDefault="00950880" w:rsidP="00950880">
      <w:pPr>
        <w:pStyle w:val="Recref"/>
        <w:rPr>
          <w:i w:val="0"/>
          <w:lang w:bidi="ar-EG"/>
        </w:rPr>
      </w:pPr>
      <w:r w:rsidRPr="00732874">
        <w:rPr>
          <w:rFonts w:hint="cs"/>
          <w:i w:val="0"/>
          <w:rtl/>
          <w:lang w:bidi="ar-EG"/>
        </w:rPr>
        <w:t xml:space="preserve">(المسألة </w:t>
      </w:r>
      <w:hyperlink r:id="rId13" w:history="1">
        <w:r w:rsidRPr="00732874">
          <w:rPr>
            <w:rStyle w:val="Hyperlink"/>
            <w:i w:val="0"/>
            <w:color w:val="auto"/>
            <w:u w:val="none"/>
          </w:rPr>
          <w:t>ITU</w:t>
        </w:r>
        <w:r w:rsidRPr="00732874">
          <w:rPr>
            <w:rStyle w:val="Hyperlink"/>
            <w:i w:val="0"/>
            <w:color w:val="auto"/>
            <w:u w:val="none"/>
          </w:rPr>
          <w:noBreakHyphen/>
          <w:t>R 135-2/6</w:t>
        </w:r>
      </w:hyperlink>
      <w:r w:rsidRPr="00732874">
        <w:rPr>
          <w:rFonts w:hint="cs"/>
          <w:rtl/>
        </w:rPr>
        <w:t>)</w:t>
      </w:r>
    </w:p>
    <w:p w14:paraId="4E3D590E" w14:textId="3FBFAE7D" w:rsidR="002E6ECC" w:rsidRPr="00732874" w:rsidRDefault="002E6ECC" w:rsidP="005425A3">
      <w:pPr>
        <w:pStyle w:val="Recdate"/>
        <w:spacing w:before="240"/>
        <w:rPr>
          <w:rtl/>
        </w:rPr>
      </w:pPr>
      <w:r w:rsidRPr="00732874">
        <w:t>(</w:t>
      </w:r>
      <w:r w:rsidR="00950880" w:rsidRPr="00732874">
        <w:t>2023-2010</w:t>
      </w:r>
      <w:r w:rsidRPr="00732874">
        <w:t>)</w:t>
      </w:r>
    </w:p>
    <w:p w14:paraId="6BF47439" w14:textId="77777777" w:rsidR="00950880" w:rsidRPr="00323470" w:rsidRDefault="00950880" w:rsidP="00950880">
      <w:pPr>
        <w:pStyle w:val="Headingsum"/>
        <w:rPr>
          <w:rtl/>
        </w:rPr>
      </w:pPr>
      <w:r w:rsidRPr="00323470">
        <w:rPr>
          <w:rtl/>
        </w:rPr>
        <w:t>مجال التطبيق</w:t>
      </w:r>
    </w:p>
    <w:p w14:paraId="1C1BAF83" w14:textId="05788BFA" w:rsidR="00950880" w:rsidRPr="008B5189" w:rsidRDefault="00950880" w:rsidP="00574535">
      <w:pPr>
        <w:pStyle w:val="Summary"/>
        <w:rPr>
          <w:rFonts w:eastAsia="SimSun"/>
          <w:rtl/>
          <w:lang w:eastAsia="zh-CN"/>
        </w:rPr>
      </w:pPr>
      <w:r w:rsidRPr="008B5189">
        <w:rPr>
          <w:rFonts w:eastAsia="SimSun"/>
          <w:rtl/>
          <w:lang w:eastAsia="zh-CN"/>
        </w:rPr>
        <w:t>تحدد هذه التوصية الممارسات التشغيلية التي ترمي إلى تحسين اتساق الجهارة في التبادل الدولي للبرامج التلفزيونية الرقمية. وتسري هذه</w:t>
      </w:r>
      <w:r w:rsidR="00574535">
        <w:rPr>
          <w:rFonts w:eastAsia="SimSun" w:hint="cs"/>
          <w:rtl/>
          <w:lang w:eastAsia="zh-CN"/>
        </w:rPr>
        <w:t> </w:t>
      </w:r>
      <w:r w:rsidRPr="008B5189">
        <w:rPr>
          <w:rFonts w:eastAsia="SimSun"/>
          <w:rtl/>
          <w:lang w:eastAsia="zh-CN"/>
        </w:rPr>
        <w:t>الممارسات على إنتاج تلك البرامج. ولا تسري على توزيع البرامج أو على بثها.</w:t>
      </w:r>
    </w:p>
    <w:p w14:paraId="14F9211D" w14:textId="4CD13C38" w:rsidR="00950880" w:rsidRDefault="00950880" w:rsidP="00950880">
      <w:pPr>
        <w:pStyle w:val="Headingb"/>
        <w:rPr>
          <w:rtl/>
        </w:rPr>
      </w:pPr>
      <w:r>
        <w:rPr>
          <w:rFonts w:hint="cs"/>
          <w:rtl/>
        </w:rPr>
        <w:t>كلمات أساسية</w:t>
      </w:r>
    </w:p>
    <w:p w14:paraId="11FFFCD9" w14:textId="72DA7DF3" w:rsidR="00950880" w:rsidRPr="00950880" w:rsidRDefault="001A0D29" w:rsidP="001A0D29">
      <w:pPr>
        <w:rPr>
          <w:lang w:bidi="ar-EG"/>
        </w:rPr>
      </w:pPr>
      <w:r w:rsidRPr="001A0D29">
        <w:rPr>
          <w:rtl/>
        </w:rPr>
        <w:t>الجهارة</w:t>
      </w:r>
      <w:r>
        <w:rPr>
          <w:rFonts w:hint="cs"/>
          <w:rtl/>
          <w:lang w:bidi="ar-EG"/>
        </w:rPr>
        <w:t>، مستوى الإشارة السمعية، حوار، تبادل البرامج</w:t>
      </w:r>
    </w:p>
    <w:p w14:paraId="6D28F15B" w14:textId="336DC3B1" w:rsidR="00950880" w:rsidRPr="00323470" w:rsidRDefault="00950880" w:rsidP="00950880">
      <w:pPr>
        <w:pStyle w:val="Normalaftertitle0"/>
        <w:rPr>
          <w:rtl/>
        </w:rPr>
      </w:pPr>
      <w:r w:rsidRPr="00323470">
        <w:rPr>
          <w:rtl/>
        </w:rPr>
        <w:t>إن</w:t>
      </w:r>
      <w:r w:rsidRPr="00323470">
        <w:t xml:space="preserve"> </w:t>
      </w:r>
      <w:r w:rsidRPr="00323470">
        <w:rPr>
          <w:rtl/>
        </w:rPr>
        <w:t>جمعية الاتصالات الراديوية للاتحاد الدولي للاتصالات،</w:t>
      </w:r>
    </w:p>
    <w:p w14:paraId="56C015CF" w14:textId="77777777" w:rsidR="00950880" w:rsidRPr="00323470" w:rsidRDefault="00950880" w:rsidP="00950880">
      <w:pPr>
        <w:pStyle w:val="Call"/>
        <w:rPr>
          <w:rFonts w:eastAsia="SimSun"/>
          <w:rtl/>
        </w:rPr>
      </w:pPr>
      <w:r w:rsidRPr="00323470">
        <w:rPr>
          <w:rFonts w:eastAsia="SimSun"/>
          <w:rtl/>
        </w:rPr>
        <w:t>إذ تضع في اعتبارها</w:t>
      </w:r>
    </w:p>
    <w:p w14:paraId="221199D1" w14:textId="77777777" w:rsidR="00950880" w:rsidRPr="00323470"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bidi="ar-EG"/>
        </w:rPr>
      </w:pPr>
      <w:r w:rsidRPr="00323470">
        <w:rPr>
          <w:rFonts w:eastAsia="SimSun"/>
          <w:i/>
          <w:iCs/>
          <w:rtl/>
          <w:lang w:eastAsia="zh-CN" w:bidi="ar-EG"/>
        </w:rPr>
        <w:t xml:space="preserve"> أ )</w:t>
      </w:r>
      <w:r w:rsidRPr="00323470">
        <w:rPr>
          <w:rFonts w:eastAsia="SimSun"/>
          <w:rtl/>
          <w:lang w:eastAsia="zh-CN" w:bidi="ar-EG"/>
        </w:rPr>
        <w:tab/>
        <w:t>أن استمتاع مشاهدي البرامج التلفزيونية الرقمية يزداد عندما تكون جهارة البرامج ثابتة بشكل معقول بغض النظر عن مصادر البرامج المختلفة وأنماطها؛</w:t>
      </w:r>
    </w:p>
    <w:p w14:paraId="1846A4D2" w14:textId="77777777" w:rsidR="00950880" w:rsidRPr="00323470"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323470">
        <w:rPr>
          <w:rFonts w:eastAsia="SimSun"/>
          <w:i/>
          <w:iCs/>
          <w:rtl/>
          <w:lang w:eastAsia="zh-CN" w:bidi="ar-EG"/>
        </w:rPr>
        <w:t>ب)</w:t>
      </w:r>
      <w:r w:rsidRPr="00323470">
        <w:rPr>
          <w:rFonts w:eastAsia="SimSun"/>
          <w:rtl/>
          <w:lang w:eastAsia="zh-CN" w:bidi="ar-EG"/>
        </w:rPr>
        <w:tab/>
      </w:r>
      <w:r w:rsidRPr="0017526E">
        <w:rPr>
          <w:rFonts w:eastAsia="SimSun"/>
          <w:spacing w:val="8"/>
          <w:rtl/>
          <w:lang w:eastAsia="zh-CN" w:bidi="ar-EG"/>
        </w:rPr>
        <w:t>أنه سيكون من المستصوب جداً تحقيق اتساق معقول أيضاً في جهارة البرامج وفي الصوت الذي يصحب البرامج</w:t>
      </w:r>
      <w:r w:rsidRPr="00323470">
        <w:rPr>
          <w:rFonts w:eastAsia="SimSun"/>
          <w:rtl/>
          <w:lang w:eastAsia="zh-CN" w:bidi="ar-EG"/>
        </w:rPr>
        <w:t xml:space="preserve"> وذلك</w:t>
      </w:r>
      <w:r>
        <w:rPr>
          <w:rFonts w:eastAsia="SimSun" w:hint="cs"/>
          <w:rtl/>
          <w:lang w:eastAsia="zh-CN" w:bidi="ar-EG"/>
        </w:rPr>
        <w:t> </w:t>
      </w:r>
      <w:r w:rsidRPr="00323470">
        <w:rPr>
          <w:rFonts w:eastAsia="SimSun"/>
          <w:rtl/>
          <w:lang w:eastAsia="zh-CN" w:bidi="ar-EG"/>
        </w:rPr>
        <w:t>فيما يتعلق بالبرامج المتبادلة دولياً؛</w:t>
      </w:r>
    </w:p>
    <w:p w14:paraId="692DC11C" w14:textId="4C567667" w:rsidR="00950880" w:rsidRPr="00791666"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hAnsi="Times New Roman Bold"/>
          <w:rtl/>
          <w:lang w:eastAsia="zh-CN" w:bidi="ar-EG"/>
        </w:rPr>
      </w:pPr>
      <w:r w:rsidRPr="00323470">
        <w:rPr>
          <w:rFonts w:eastAsia="SimSun"/>
          <w:i/>
          <w:iCs/>
          <w:rtl/>
          <w:lang w:eastAsia="zh-CN" w:bidi="ar-EG"/>
        </w:rPr>
        <w:t>ج)</w:t>
      </w:r>
      <w:r w:rsidRPr="00323470">
        <w:rPr>
          <w:rFonts w:eastAsia="SimSun"/>
          <w:rtl/>
          <w:lang w:eastAsia="zh-CN" w:bidi="ar-EG"/>
        </w:rPr>
        <w:tab/>
        <w:t xml:space="preserve">أن </w:t>
      </w:r>
      <w:r w:rsidRPr="00791666">
        <w:rPr>
          <w:rFonts w:eastAsia="SimSun"/>
          <w:rtl/>
          <w:lang w:eastAsia="zh-CN" w:bidi="ar-EG"/>
        </w:rPr>
        <w:t xml:space="preserve">التوصية </w:t>
      </w:r>
      <w:hyperlink r:id="rId14" w:history="1">
        <w:r w:rsidRPr="00791666">
          <w:rPr>
            <w:rStyle w:val="Hyperlink"/>
            <w:color w:val="auto"/>
            <w:u w:val="none"/>
          </w:rPr>
          <w:t>ITU</w:t>
        </w:r>
        <w:r w:rsidRPr="00791666">
          <w:rPr>
            <w:rStyle w:val="Hyperlink"/>
            <w:color w:val="auto"/>
            <w:u w:val="none"/>
          </w:rPr>
          <w:noBreakHyphen/>
          <w:t>R BS.1726</w:t>
        </w:r>
      </w:hyperlink>
      <w:r w:rsidRPr="00791666">
        <w:rPr>
          <w:rFonts w:hint="cs"/>
          <w:rtl/>
        </w:rPr>
        <w:t xml:space="preserve"> </w:t>
      </w:r>
      <w:r w:rsidRPr="00791666">
        <w:rPr>
          <w:rFonts w:eastAsia="SimSun"/>
          <w:rtl/>
          <w:lang w:eastAsia="zh-CN" w:bidi="ar-EG"/>
        </w:rPr>
        <w:t xml:space="preserve">تحدد استعمال سواء المستوى </w:t>
      </w:r>
      <w:r w:rsidRPr="00791666">
        <w:rPr>
          <w:rFonts w:eastAsia="SimSun"/>
          <w:lang w:eastAsia="zh-CN" w:bidi="ar-EG"/>
        </w:rPr>
        <w:t>18</w:t>
      </w:r>
      <w:r w:rsidR="007F58FA">
        <w:rPr>
          <w:rFonts w:eastAsia="SimSun"/>
          <w:lang w:eastAsia="zh-CN" w:bidi="ar-EG"/>
        </w:rPr>
        <w:t>–</w:t>
      </w:r>
      <w:r w:rsidRPr="00791666">
        <w:rPr>
          <w:rFonts w:eastAsia="SimSun" w:hint="cs"/>
          <w:rtl/>
          <w:lang w:eastAsia="zh-CN" w:bidi="ar-EG"/>
        </w:rPr>
        <w:t> </w:t>
      </w:r>
      <w:proofErr w:type="spellStart"/>
      <w:r w:rsidRPr="00791666">
        <w:rPr>
          <w:rFonts w:eastAsia="SimSun"/>
          <w:lang w:eastAsia="zh-CN" w:bidi="ar-EG"/>
        </w:rPr>
        <w:t>dBFS</w:t>
      </w:r>
      <w:proofErr w:type="spellEnd"/>
      <w:r w:rsidRPr="00791666">
        <w:rPr>
          <w:rFonts w:eastAsia="SimSun"/>
          <w:rtl/>
          <w:lang w:eastAsia="zh-CN" w:bidi="ar-EG"/>
        </w:rPr>
        <w:t xml:space="preserve"> أو المستوى </w:t>
      </w:r>
      <w:r w:rsidRPr="00791666">
        <w:rPr>
          <w:rFonts w:eastAsia="SimSun"/>
          <w:lang w:eastAsia="zh-CN" w:bidi="ar-EG"/>
        </w:rPr>
        <w:t>20</w:t>
      </w:r>
      <w:r w:rsidR="007F58FA">
        <w:rPr>
          <w:rFonts w:eastAsia="SimSun"/>
          <w:lang w:eastAsia="zh-CN" w:bidi="ar-EG"/>
        </w:rPr>
        <w:t>–</w:t>
      </w:r>
      <w:r w:rsidRPr="00791666">
        <w:rPr>
          <w:rFonts w:eastAsia="SimSun" w:hint="cs"/>
          <w:rtl/>
          <w:lang w:eastAsia="zh-CN" w:bidi="ar-EG"/>
        </w:rPr>
        <w:t> </w:t>
      </w:r>
      <w:proofErr w:type="spellStart"/>
      <w:r w:rsidRPr="00791666">
        <w:rPr>
          <w:rFonts w:eastAsia="SimSun"/>
          <w:lang w:eastAsia="zh-CN" w:bidi="ar-EG"/>
        </w:rPr>
        <w:t>dBFS</w:t>
      </w:r>
      <w:proofErr w:type="spellEnd"/>
      <w:r w:rsidRPr="00791666">
        <w:rPr>
          <w:rFonts w:eastAsia="SimSun"/>
          <w:rtl/>
          <w:lang w:eastAsia="zh-CN" w:bidi="ar-EG"/>
        </w:rPr>
        <w:t xml:space="preserve"> في</w:t>
      </w:r>
      <w:r w:rsidRPr="00791666">
        <w:rPr>
          <w:rFonts w:eastAsia="SimSun" w:hint="cs"/>
          <w:rtl/>
          <w:lang w:eastAsia="zh-CN" w:bidi="ar-EG"/>
        </w:rPr>
        <w:t> </w:t>
      </w:r>
      <w:r w:rsidRPr="00791666">
        <w:rPr>
          <w:rFonts w:eastAsia="SimSun"/>
          <w:rtl/>
          <w:lang w:eastAsia="zh-CN" w:bidi="ar-EG"/>
        </w:rPr>
        <w:t>"مستوى</w:t>
      </w:r>
      <w:r w:rsidRPr="00791666">
        <w:rPr>
          <w:rFonts w:eastAsia="SimSun" w:hint="cs"/>
          <w:rtl/>
          <w:lang w:eastAsia="zh-CN" w:bidi="ar-EG"/>
        </w:rPr>
        <w:t xml:space="preserve"> </w:t>
      </w:r>
      <w:r w:rsidRPr="00791666">
        <w:rPr>
          <w:rFonts w:eastAsia="SimSun"/>
          <w:rtl/>
          <w:lang w:eastAsia="zh-CN" w:bidi="ar-EG"/>
        </w:rPr>
        <w:t>التراصف"</w:t>
      </w:r>
      <w:r w:rsidRPr="00791666">
        <w:rPr>
          <w:rFonts w:eastAsia="SimSun" w:hAnsi="Times New Roman Bold"/>
          <w:rtl/>
          <w:lang w:eastAsia="zh-CN" w:bidi="ar-EG"/>
        </w:rPr>
        <w:t>، وأن "مستوى التراصف" لا يناظر الجهارة السمعية بصورة مباشرة؛</w:t>
      </w:r>
    </w:p>
    <w:p w14:paraId="1B56518D" w14:textId="50DD6CA3" w:rsidR="00950880" w:rsidRPr="00791666"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val="es-ES_tradnl" w:eastAsia="zh-CN" w:bidi="ar-EG"/>
        </w:rPr>
      </w:pPr>
      <w:r w:rsidRPr="00791666">
        <w:rPr>
          <w:rFonts w:eastAsia="SimSun"/>
          <w:i/>
          <w:iCs/>
          <w:rtl/>
          <w:lang w:eastAsia="zh-CN" w:bidi="ar-EG"/>
        </w:rPr>
        <w:t>د )</w:t>
      </w:r>
      <w:r w:rsidRPr="00791666">
        <w:rPr>
          <w:rFonts w:eastAsia="SimSun"/>
          <w:rtl/>
          <w:lang w:eastAsia="zh-CN" w:bidi="ar-EG"/>
        </w:rPr>
        <w:tab/>
        <w:t xml:space="preserve">أن التوصية </w:t>
      </w:r>
      <w:hyperlink r:id="rId15" w:history="1">
        <w:r w:rsidRPr="00791666">
          <w:rPr>
            <w:rStyle w:val="Hyperlink"/>
            <w:color w:val="auto"/>
            <w:u w:val="none"/>
          </w:rPr>
          <w:t>ITU-R BS.1770</w:t>
        </w:r>
      </w:hyperlink>
      <w:r w:rsidRPr="00791666">
        <w:rPr>
          <w:rFonts w:eastAsia="SimSun"/>
          <w:rtl/>
          <w:lang w:eastAsia="zh-CN" w:bidi="ar-EG"/>
        </w:rPr>
        <w:t xml:space="preserve"> - خوارزميات لقياس ارتفاع الصوت لبرنامج سمعي ومستوى سمع الذروة الحقيقية</w:t>
      </w:r>
      <w:r w:rsidRPr="00791666">
        <w:rPr>
          <w:rFonts w:eastAsia="SimSun"/>
          <w:rtl/>
          <w:lang w:val="es-ES_tradnl" w:eastAsia="zh-CN" w:bidi="ar-EG"/>
        </w:rPr>
        <w:t>، تحدد طريقة لقياس جهارة البرامج السمعية؛</w:t>
      </w:r>
    </w:p>
    <w:p w14:paraId="598343CC" w14:textId="4C74C972" w:rsidR="00950880" w:rsidRPr="00791666"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791666">
        <w:rPr>
          <w:rFonts w:eastAsia="SimSun"/>
          <w:i/>
          <w:iCs/>
          <w:rtl/>
          <w:lang w:val="es-ES_tradnl" w:eastAsia="zh-CN" w:bidi="ar-EG"/>
        </w:rPr>
        <w:t>ﻫ )</w:t>
      </w:r>
      <w:r w:rsidRPr="00791666">
        <w:rPr>
          <w:rFonts w:eastAsia="SimSun"/>
          <w:rtl/>
          <w:lang w:val="es-ES_tradnl" w:eastAsia="zh-CN" w:bidi="ar-EG"/>
        </w:rPr>
        <w:tab/>
      </w:r>
      <w:r w:rsidRPr="00791666">
        <w:rPr>
          <w:rFonts w:eastAsia="SimSun"/>
          <w:rtl/>
          <w:lang w:eastAsia="zh-CN" w:bidi="ar-EG"/>
        </w:rPr>
        <w:t xml:space="preserve">أن التوصية </w:t>
      </w:r>
      <w:hyperlink r:id="rId16" w:history="1">
        <w:r w:rsidRPr="00791666">
          <w:rPr>
            <w:rStyle w:val="Hyperlink"/>
            <w:color w:val="auto"/>
            <w:u w:val="none"/>
          </w:rPr>
          <w:t>ITU</w:t>
        </w:r>
        <w:r w:rsidRPr="00791666">
          <w:rPr>
            <w:rStyle w:val="Hyperlink"/>
            <w:color w:val="auto"/>
            <w:u w:val="none"/>
          </w:rPr>
          <w:noBreakHyphen/>
          <w:t>R BS.1771</w:t>
        </w:r>
      </w:hyperlink>
      <w:r w:rsidRPr="00791666">
        <w:rPr>
          <w:rFonts w:eastAsia="SimSun"/>
          <w:rtl/>
          <w:lang w:eastAsia="zh-CN" w:bidi="ar-EG"/>
        </w:rPr>
        <w:t xml:space="preserve"> -</w:t>
      </w:r>
      <w:r w:rsidRPr="00791666">
        <w:rPr>
          <w:rFonts w:eastAsia="SimSun"/>
          <w:rtl/>
          <w:lang w:val="es-ES_tradnl" w:eastAsia="zh-CN" w:bidi="ar-EG"/>
        </w:rPr>
        <w:t xml:space="preserve"> </w:t>
      </w:r>
      <w:r w:rsidRPr="00791666">
        <w:rPr>
          <w:rFonts w:eastAsia="SimSun"/>
          <w:b/>
          <w:rtl/>
          <w:lang w:eastAsia="zh-CN" w:bidi="ar-EG"/>
        </w:rPr>
        <w:t>متطلبات من أجل أجهزة قياس الجهارة والذروة الحقيقية</w:t>
      </w:r>
      <w:r w:rsidRPr="00791666">
        <w:rPr>
          <w:rFonts w:eastAsia="SimSun"/>
          <w:rtl/>
          <w:lang w:val="es-ES_tradnl" w:eastAsia="zh-CN" w:bidi="ar-EG"/>
        </w:rPr>
        <w:t xml:space="preserve">، تحدد متطلبات من أجل أجهزة قياس الجهارة التي تستخدم الخوارزميات المحددة في التوصية </w:t>
      </w:r>
      <w:hyperlink r:id="rId17" w:history="1">
        <w:r w:rsidRPr="00791666">
          <w:rPr>
            <w:rStyle w:val="Hyperlink"/>
            <w:color w:val="auto"/>
            <w:u w:val="none"/>
          </w:rPr>
          <w:t>ITU-R BS.1770</w:t>
        </w:r>
      </w:hyperlink>
      <w:r w:rsidRPr="00791666">
        <w:rPr>
          <w:rFonts w:eastAsia="SimSun"/>
          <w:rtl/>
          <w:lang w:eastAsia="zh-CN" w:bidi="ar-EG"/>
        </w:rPr>
        <w:t>، مما يسمح باستعمال أجهزة قياس الجهارة في</w:t>
      </w:r>
      <w:r w:rsidR="00B46D5D">
        <w:rPr>
          <w:rFonts w:eastAsia="SimSun" w:hint="cs"/>
          <w:rtl/>
          <w:lang w:eastAsia="zh-CN" w:bidi="ar-EG"/>
        </w:rPr>
        <w:t> </w:t>
      </w:r>
      <w:r w:rsidRPr="00791666">
        <w:rPr>
          <w:rFonts w:eastAsia="SimSun"/>
          <w:rtl/>
          <w:lang w:eastAsia="zh-CN" w:bidi="ar-EG"/>
        </w:rPr>
        <w:t>جميع أرجاء العالم على نحو متسق وتوفير مؤشر متسق لجهارة البرنامج ذاته بغض النظر عن محتوى البرنامج؛</w:t>
      </w:r>
    </w:p>
    <w:p w14:paraId="1BCCBE15" w14:textId="77777777" w:rsidR="00950880" w:rsidRPr="00323470"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791666">
        <w:rPr>
          <w:rFonts w:eastAsia="SimSun"/>
          <w:i/>
          <w:iCs/>
          <w:rtl/>
          <w:lang w:eastAsia="zh-CN" w:bidi="ar-EG"/>
        </w:rPr>
        <w:t>و )</w:t>
      </w:r>
      <w:r w:rsidRPr="00791666">
        <w:rPr>
          <w:rFonts w:eastAsia="SimSun"/>
          <w:rtl/>
          <w:lang w:eastAsia="zh-CN" w:bidi="ar-EG"/>
        </w:rPr>
        <w:tab/>
        <w:t xml:space="preserve">أن أحد العناصر التي تهم المشاهدين في البرامج التي يغلب عليها الحوار هي جهارة الحوار، وأن هذه الجهارة يستحسن أن تكون موحدة في البرامج المتبادلة </w:t>
      </w:r>
      <w:r w:rsidRPr="00323470">
        <w:rPr>
          <w:rFonts w:eastAsia="SimSun"/>
          <w:rtl/>
          <w:lang w:eastAsia="zh-CN" w:bidi="ar-EG"/>
        </w:rPr>
        <w:t>دولياً؛ وبالنسبة للبرامج الأخرى المتبادلة دولياً، مثل الإعلانات القصيرة، أو البرامج التي لا</w:t>
      </w:r>
      <w:r w:rsidRPr="00323470">
        <w:rPr>
          <w:rFonts w:eastAsia="SimSun" w:hint="cs"/>
          <w:rtl/>
          <w:lang w:eastAsia="zh-CN" w:bidi="ar-EG"/>
        </w:rPr>
        <w:t> </w:t>
      </w:r>
      <w:r w:rsidRPr="00323470">
        <w:rPr>
          <w:rFonts w:eastAsia="SimSun"/>
          <w:rtl/>
          <w:lang w:eastAsia="zh-CN" w:bidi="ar-EG"/>
        </w:rPr>
        <w:t>يغلب عليها الحوار، فإن أهم عنصر يهم المشاهد هي جهارة كل عناصر البرنامج؛</w:t>
      </w:r>
    </w:p>
    <w:p w14:paraId="18A4DE5C" w14:textId="77777777" w:rsidR="00950880" w:rsidRPr="00323470"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323470">
        <w:rPr>
          <w:rFonts w:eastAsia="SimSun"/>
          <w:i/>
          <w:iCs/>
          <w:rtl/>
          <w:lang w:eastAsia="zh-CN" w:bidi="ar-EG"/>
        </w:rPr>
        <w:t>ز )</w:t>
      </w:r>
      <w:r w:rsidRPr="00323470">
        <w:rPr>
          <w:rFonts w:eastAsia="SimSun"/>
          <w:rtl/>
          <w:lang w:eastAsia="zh-CN" w:bidi="ar-EG"/>
        </w:rPr>
        <w:tab/>
        <w:t>أن بعض الأنظمة السمعية تتضمن بيانات شرحية للتحكم في الجهارة وأخرى لا تتضمن ذلك،</w:t>
      </w:r>
    </w:p>
    <w:p w14:paraId="07F321C7" w14:textId="77777777" w:rsidR="00950880" w:rsidRPr="00323470" w:rsidRDefault="00950880" w:rsidP="00950880">
      <w:pPr>
        <w:pStyle w:val="Call"/>
        <w:rPr>
          <w:rFonts w:eastAsia="SimSun"/>
          <w:rtl/>
        </w:rPr>
      </w:pPr>
      <w:r w:rsidRPr="00323470">
        <w:rPr>
          <w:rFonts w:eastAsia="SimSun"/>
          <w:rtl/>
        </w:rPr>
        <w:lastRenderedPageBreak/>
        <w:t>وإذ تضع في اعتبارها كذلك</w:t>
      </w:r>
    </w:p>
    <w:p w14:paraId="1563852B" w14:textId="77777777" w:rsidR="00950880" w:rsidRPr="00323470" w:rsidRDefault="00950880" w:rsidP="00950880">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323470">
        <w:rPr>
          <w:rFonts w:eastAsia="SimSun"/>
          <w:i/>
          <w:iCs/>
          <w:rtl/>
          <w:lang w:eastAsia="zh-CN" w:bidi="ar-EG"/>
        </w:rPr>
        <w:t xml:space="preserve"> أ )</w:t>
      </w:r>
      <w:r w:rsidRPr="00323470">
        <w:rPr>
          <w:rFonts w:eastAsia="SimSun"/>
          <w:rtl/>
          <w:lang w:eastAsia="zh-CN" w:bidi="ar-EG"/>
        </w:rPr>
        <w:tab/>
        <w:t>أن تقليص الاختلافات في الجهارة السمعية بين ا</w:t>
      </w:r>
      <w:r>
        <w:rPr>
          <w:rFonts w:eastAsia="SimSun"/>
          <w:rtl/>
          <w:lang w:eastAsia="zh-CN" w:bidi="ar-EG"/>
        </w:rPr>
        <w:t>لبرامج قد يزيد من رضاء المشاهد؛</w:t>
      </w:r>
    </w:p>
    <w:p w14:paraId="25F88D1A" w14:textId="77777777" w:rsidR="00950880" w:rsidRPr="00323470" w:rsidRDefault="00950880" w:rsidP="00950880">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323470">
        <w:rPr>
          <w:rFonts w:eastAsia="SimSun"/>
          <w:i/>
          <w:iCs/>
          <w:rtl/>
          <w:lang w:eastAsia="zh-CN" w:bidi="ar-EG"/>
        </w:rPr>
        <w:t>ب)</w:t>
      </w:r>
      <w:r w:rsidRPr="00323470">
        <w:rPr>
          <w:rFonts w:eastAsia="SimSun"/>
          <w:rtl/>
          <w:lang w:eastAsia="zh-CN" w:bidi="ar-EG"/>
        </w:rPr>
        <w:tab/>
        <w:t>أن تقنيات القياس العملية والنتائج المتوقعة للطريقة التي تنفذ بها خوارزميات القياس، توحي بإمكانية توقع اختلاف يصل حتى</w:t>
      </w:r>
      <w:r>
        <w:rPr>
          <w:rFonts w:eastAsia="SimSun" w:hint="cs"/>
          <w:rtl/>
          <w:lang w:eastAsia="zh-CN" w:bidi="ar-EG"/>
        </w:rPr>
        <w:t> </w:t>
      </w:r>
      <w:r w:rsidRPr="00323470">
        <w:rPr>
          <w:rFonts w:eastAsia="SimSun"/>
          <w:lang w:eastAsia="zh-CN" w:bidi="ar-EG"/>
        </w:rPr>
        <w:t>dB 2</w:t>
      </w:r>
      <w:r w:rsidRPr="00323470">
        <w:rPr>
          <w:rFonts w:eastAsia="SimSun"/>
          <w:rtl/>
          <w:lang w:eastAsia="zh-CN" w:bidi="ar-EG"/>
        </w:rPr>
        <w:t xml:space="preserve"> بين قياسات تجري على نفس المحتوى بواسطة مرافق مختلفة وأن هذه الاختلافات متوقعة ومقبولة من الناحية العملية؛</w:t>
      </w:r>
    </w:p>
    <w:p w14:paraId="4B49E70D" w14:textId="76DDA1E7" w:rsidR="00950880" w:rsidRPr="00323470"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323470">
        <w:rPr>
          <w:rFonts w:eastAsia="SimSun"/>
          <w:i/>
          <w:iCs/>
          <w:rtl/>
          <w:lang w:eastAsia="zh-CN" w:bidi="ar-EG"/>
        </w:rPr>
        <w:t>ج)</w:t>
      </w:r>
      <w:r w:rsidRPr="00323470">
        <w:rPr>
          <w:rFonts w:eastAsia="SimSun"/>
          <w:rtl/>
          <w:lang w:eastAsia="zh-CN" w:bidi="ar-EG"/>
        </w:rPr>
        <w:tab/>
        <w:t xml:space="preserve">أن الدراسات بينت أن المستمعين يستطيعون دون جهد تحمل بعض الاختلاف في الجهارة طالما أنها لا تبتعد عن "منطقة الارتياح" التي تتمثل في نافذة جهارة تتراوح بين </w:t>
      </w:r>
      <w:r w:rsidRPr="00323470">
        <w:rPr>
          <w:rFonts w:eastAsia="SimSun"/>
          <w:lang w:eastAsia="zh-CN" w:bidi="ar-EG"/>
        </w:rPr>
        <w:t>3+</w:t>
      </w:r>
      <w:r w:rsidRPr="00323470">
        <w:rPr>
          <w:rFonts w:eastAsia="SimSun"/>
          <w:rtl/>
          <w:lang w:eastAsia="zh-CN" w:bidi="ar-EG"/>
        </w:rPr>
        <w:t xml:space="preserve"> و</w:t>
      </w:r>
      <w:r w:rsidRPr="00323470">
        <w:rPr>
          <w:rFonts w:eastAsia="SimSun"/>
          <w:lang w:eastAsia="zh-CN" w:bidi="ar-EG"/>
        </w:rPr>
        <w:t>dB 5</w:t>
      </w:r>
      <w:r w:rsidRPr="00323470">
        <w:rPr>
          <w:rFonts w:eastAsia="SimSun"/>
          <w:lang w:eastAsia="zh-CN" w:bidi="ar-EG"/>
        </w:rPr>
        <w:sym w:font="Symbol" w:char="F02D"/>
      </w:r>
      <w:r w:rsidRPr="00323470">
        <w:rPr>
          <w:rFonts w:eastAsia="SimSun"/>
          <w:rtl/>
          <w:lang w:eastAsia="zh-CN" w:bidi="ar-EG"/>
        </w:rPr>
        <w:t xml:space="preserve"> تقريباً بالنسبة إلى الجهارة المرغوبة،</w:t>
      </w:r>
    </w:p>
    <w:p w14:paraId="6D31B7EF" w14:textId="610F6C7A" w:rsidR="00950880" w:rsidRPr="00323470" w:rsidRDefault="00950880" w:rsidP="00950880">
      <w:pPr>
        <w:pStyle w:val="Call"/>
        <w:rPr>
          <w:rFonts w:eastAsia="SimSun"/>
          <w:rtl/>
        </w:rPr>
      </w:pPr>
      <w:r w:rsidRPr="00323470">
        <w:rPr>
          <w:rFonts w:eastAsia="SimSun"/>
          <w:rtl/>
        </w:rPr>
        <w:t>توصي</w:t>
      </w:r>
    </w:p>
    <w:p w14:paraId="276A4057" w14:textId="48C2C057" w:rsidR="00950880" w:rsidRPr="00DE7047" w:rsidRDefault="00950880" w:rsidP="00DE7047">
      <w:pPr>
        <w:rPr>
          <w:rFonts w:eastAsia="SimSun"/>
          <w:rtl/>
          <w:lang w:eastAsia="zh-CN" w:bidi="ar-EG"/>
        </w:rPr>
      </w:pPr>
      <w:r w:rsidRPr="00BF67C8">
        <w:rPr>
          <w:rFonts w:eastAsia="SimSun"/>
          <w:lang w:eastAsia="zh-CN" w:bidi="ar-EG"/>
        </w:rPr>
        <w:t>1</w:t>
      </w:r>
      <w:r w:rsidRPr="00323470">
        <w:rPr>
          <w:rFonts w:eastAsia="SimSun"/>
          <w:rtl/>
          <w:lang w:eastAsia="zh-CN" w:bidi="ar-EG"/>
        </w:rPr>
        <w:tab/>
      </w:r>
      <w:r w:rsidRPr="00CF3153">
        <w:rPr>
          <w:rFonts w:eastAsia="SimSun"/>
          <w:spacing w:val="10"/>
          <w:rtl/>
          <w:lang w:eastAsia="zh-CN" w:bidi="ar-EG"/>
        </w:rPr>
        <w:t xml:space="preserve">بإجراء قياسات الجهارة </w:t>
      </w:r>
      <w:r w:rsidRPr="00DE7047">
        <w:rPr>
          <w:rFonts w:eastAsia="SimSun" w:hint="cs"/>
          <w:spacing w:val="10"/>
          <w:rtl/>
          <w:lang w:eastAsia="zh-CN" w:bidi="ar-EG"/>
        </w:rPr>
        <w:t>وف</w:t>
      </w:r>
      <w:r w:rsidRPr="00DE7047">
        <w:rPr>
          <w:rFonts w:eastAsia="SimSun"/>
          <w:spacing w:val="10"/>
          <w:rtl/>
          <w:lang w:eastAsia="zh-CN" w:bidi="ar-EG"/>
        </w:rPr>
        <w:t xml:space="preserve">قاً </w:t>
      </w:r>
      <w:r w:rsidRPr="00DE7047">
        <w:rPr>
          <w:rFonts w:eastAsia="SimSun" w:hint="cs"/>
          <w:spacing w:val="10"/>
          <w:rtl/>
          <w:lang w:eastAsia="zh-CN" w:bidi="ar-EG"/>
        </w:rPr>
        <w:t>للخوارزمية المناسبة لقياس الجهارة المحددة</w:t>
      </w:r>
      <w:r w:rsidRPr="00DE7047">
        <w:rPr>
          <w:rFonts w:eastAsia="SimSun" w:hint="cs"/>
          <w:rtl/>
          <w:lang w:eastAsia="zh-CN" w:bidi="ar-EG"/>
        </w:rPr>
        <w:t xml:space="preserve"> في</w:t>
      </w:r>
      <w:r w:rsidRPr="00DE7047">
        <w:rPr>
          <w:rFonts w:eastAsia="SimSun" w:hint="eastAsia"/>
          <w:rtl/>
          <w:lang w:eastAsia="zh-CN" w:bidi="ar-EG"/>
        </w:rPr>
        <w:t> </w:t>
      </w:r>
      <w:r w:rsidRPr="00DE7047">
        <w:rPr>
          <w:rFonts w:eastAsia="SimSun"/>
          <w:rtl/>
          <w:lang w:eastAsia="zh-CN" w:bidi="ar-EG"/>
        </w:rPr>
        <w:t>التوصية</w:t>
      </w:r>
      <w:r w:rsidRPr="00DE7047">
        <w:rPr>
          <w:rFonts w:eastAsia="SimSun" w:hint="cs"/>
          <w:rtl/>
          <w:lang w:eastAsia="zh-CN" w:bidi="ar-EG"/>
        </w:rPr>
        <w:t> </w:t>
      </w:r>
      <w:hyperlink r:id="rId18" w:history="1">
        <w:r w:rsidRPr="00DE7047">
          <w:rPr>
            <w:rStyle w:val="Hyperlink"/>
            <w:color w:val="auto"/>
            <w:u w:val="none"/>
          </w:rPr>
          <w:t>ITU-R BS.1770</w:t>
        </w:r>
      </w:hyperlink>
      <w:r w:rsidRPr="00DE7047">
        <w:rPr>
          <w:rFonts w:eastAsia="SimSun"/>
          <w:rtl/>
          <w:lang w:eastAsia="zh-CN" w:bidi="ar-EG"/>
        </w:rPr>
        <w:t>؛</w:t>
      </w:r>
    </w:p>
    <w:p w14:paraId="32330E77" w14:textId="658A321E" w:rsidR="00950880" w:rsidRPr="00DE7047" w:rsidRDefault="00950880" w:rsidP="00DE7047">
      <w:pPr>
        <w:rPr>
          <w:rFonts w:eastAsia="SimSun"/>
          <w:rtl/>
          <w:lang w:eastAsia="zh-CN" w:bidi="ar-EG"/>
        </w:rPr>
      </w:pPr>
      <w:r w:rsidRPr="00DE7047">
        <w:rPr>
          <w:rFonts w:eastAsia="SimSun"/>
          <w:lang w:eastAsia="zh-CN" w:bidi="ar-EG"/>
        </w:rPr>
        <w:t>2</w:t>
      </w:r>
      <w:r w:rsidRPr="00DE7047">
        <w:rPr>
          <w:rFonts w:eastAsia="SimSun"/>
          <w:b/>
          <w:bCs/>
          <w:rtl/>
          <w:lang w:eastAsia="zh-CN" w:bidi="ar-EG"/>
        </w:rPr>
        <w:tab/>
      </w:r>
      <w:r w:rsidRPr="00DE7047">
        <w:rPr>
          <w:rFonts w:eastAsia="SimSun"/>
          <w:rtl/>
          <w:lang w:eastAsia="zh-CN" w:bidi="ar-EG"/>
        </w:rPr>
        <w:t>بأنه، فيما يتعلق بالتبادل الدولي للبرامج التلفزيونية الرقمية، وعند استعمال البيانات الشرحية لإظهار جهارة البرنامج، ينبغي أن تقابل قيمة البيانات الشرحية متوسط الجهارة لكل عناصر البرنامج، أو متوسط الجهارة لمكون الحوار العادي - أيهما يعتبر مناسباً من جانب مقدم البرنامج</w:t>
      </w:r>
      <w:r w:rsidRPr="00DE7047">
        <w:rPr>
          <w:rFonts w:eastAsia="SimSun" w:hint="cs"/>
          <w:rtl/>
          <w:lang w:eastAsia="zh-CN" w:bidi="ar-EG"/>
        </w:rPr>
        <w:t xml:space="preserve"> (انظر الملاحظة</w:t>
      </w:r>
      <w:r w:rsidR="00732874" w:rsidRPr="00DE7047">
        <w:rPr>
          <w:rFonts w:eastAsia="SimSun" w:hint="cs"/>
          <w:rtl/>
          <w:lang w:eastAsia="zh-CN" w:bidi="ar-EG"/>
        </w:rPr>
        <w:t xml:space="preserve"> </w:t>
      </w:r>
      <w:proofErr w:type="gramStart"/>
      <w:r w:rsidR="00732874" w:rsidRPr="00DE7047">
        <w:rPr>
          <w:rFonts w:eastAsia="SimSun"/>
          <w:lang w:eastAsia="zh-CN" w:bidi="ar-EG"/>
        </w:rPr>
        <w:t>2</w:t>
      </w:r>
      <w:r w:rsidR="00732874" w:rsidRPr="00DE7047">
        <w:rPr>
          <w:rFonts w:eastAsia="SimSun" w:hint="cs"/>
          <w:rtl/>
          <w:lang w:eastAsia="zh-CN" w:bidi="ar-EG"/>
        </w:rPr>
        <w:t>)</w:t>
      </w:r>
      <w:r w:rsidRPr="00DE7047">
        <w:rPr>
          <w:rFonts w:eastAsia="SimSun"/>
          <w:rtl/>
          <w:lang w:eastAsia="zh-CN" w:bidi="ar-EG"/>
        </w:rPr>
        <w:t>؛</w:t>
      </w:r>
      <w:proofErr w:type="gramEnd"/>
    </w:p>
    <w:p w14:paraId="6BBEC24B" w14:textId="77777777" w:rsidR="00950880" w:rsidRPr="00DE7047" w:rsidRDefault="00950880" w:rsidP="00DE7047">
      <w:pPr>
        <w:rPr>
          <w:rFonts w:eastAsia="SimSun"/>
          <w:rtl/>
          <w:lang w:eastAsia="zh-CN" w:bidi="ar-EG"/>
        </w:rPr>
      </w:pPr>
      <w:r w:rsidRPr="00DE7047">
        <w:rPr>
          <w:rFonts w:eastAsia="SimSun"/>
          <w:lang w:eastAsia="zh-CN" w:bidi="ar-EG"/>
        </w:rPr>
        <w:t>3</w:t>
      </w:r>
      <w:r w:rsidRPr="00DE7047">
        <w:rPr>
          <w:rFonts w:eastAsia="SimSun"/>
          <w:b/>
          <w:bCs/>
          <w:rtl/>
          <w:lang w:eastAsia="zh-CN" w:bidi="ar-EG"/>
        </w:rPr>
        <w:tab/>
      </w:r>
      <w:r w:rsidRPr="00DE7047">
        <w:rPr>
          <w:rFonts w:eastAsia="SimSun"/>
          <w:rtl/>
          <w:lang w:eastAsia="zh-CN" w:bidi="ar-EG"/>
        </w:rPr>
        <w:t xml:space="preserve">بأنه، فيما يتعلق بالتبادل الدولي للبرامج التلفزيونية الرقمية، وفي حالة عدم استعمال البيانات الشرحية لإظهار جهارة البرنامج، ينبغي قياس متوسط الجهارة على أساس كل عناصر البرنامج أو على أساس مكون الحوار العادي - أيهما يعتبر مناسباً من جانب مقدم </w:t>
      </w:r>
      <w:proofErr w:type="gramStart"/>
      <w:r w:rsidRPr="00DE7047">
        <w:rPr>
          <w:rFonts w:eastAsia="SimSun"/>
          <w:rtl/>
          <w:lang w:eastAsia="zh-CN" w:bidi="ar-EG"/>
        </w:rPr>
        <w:t>البرنامج؛</w:t>
      </w:r>
      <w:proofErr w:type="gramEnd"/>
    </w:p>
    <w:p w14:paraId="1030BA00" w14:textId="77777777" w:rsidR="00950880" w:rsidRPr="00DE7047" w:rsidRDefault="00950880" w:rsidP="00DE7047">
      <w:pPr>
        <w:rPr>
          <w:rFonts w:eastAsia="SimSun"/>
          <w:rtl/>
          <w:lang w:eastAsia="zh-CN" w:bidi="ar-EG"/>
        </w:rPr>
      </w:pPr>
      <w:r w:rsidRPr="00DE7047">
        <w:rPr>
          <w:rFonts w:eastAsia="SimSun"/>
          <w:lang w:eastAsia="zh-CN" w:bidi="ar-EG"/>
        </w:rPr>
        <w:t>4</w:t>
      </w:r>
      <w:r w:rsidRPr="00DE7047">
        <w:rPr>
          <w:rFonts w:eastAsia="SimSun"/>
          <w:b/>
          <w:bCs/>
          <w:rtl/>
          <w:lang w:eastAsia="zh-CN" w:bidi="ar-EG"/>
        </w:rPr>
        <w:tab/>
      </w:r>
      <w:r w:rsidRPr="00DE7047">
        <w:rPr>
          <w:rFonts w:eastAsia="SimSun" w:hint="cs"/>
          <w:rtl/>
          <w:lang w:eastAsia="zh-CN" w:bidi="ar-EG"/>
        </w:rPr>
        <w:t>بأنه</w:t>
      </w:r>
      <w:r w:rsidRPr="00DE7047">
        <w:rPr>
          <w:rFonts w:eastAsia="SimSun"/>
          <w:rtl/>
          <w:lang w:eastAsia="zh-CN" w:bidi="ar-EG"/>
        </w:rPr>
        <w:t xml:space="preserve"> فيما يتعلق بالتبادل الدولي للبرامج التلفزيونية الرقمية، ينبغي أن تكون قيمة الجهارة المستهدفة </w:t>
      </w:r>
      <w:r w:rsidRPr="00DE7047">
        <w:rPr>
          <w:rFonts w:eastAsia="SimSun"/>
          <w:lang w:val="es-ES_tradnl" w:eastAsia="zh-CN" w:bidi="ar-EG"/>
        </w:rPr>
        <w:t>LKFS 24</w:t>
      </w:r>
      <w:r w:rsidRPr="00DE7047">
        <w:rPr>
          <w:rFonts w:eastAsia="SimSun"/>
          <w:lang w:val="es-ES_tradnl" w:eastAsia="zh-CN" w:bidi="ar-EG"/>
        </w:rPr>
        <w:sym w:font="Symbol" w:char="F02D"/>
      </w:r>
      <w:r w:rsidRPr="00DE7047">
        <w:rPr>
          <w:rFonts w:eastAsia="SimSun"/>
          <w:rtl/>
          <w:lang w:eastAsia="zh-CN" w:bidi="ar-EG"/>
        </w:rPr>
        <w:t>؛</w:t>
      </w:r>
    </w:p>
    <w:p w14:paraId="385C4421" w14:textId="77777777" w:rsidR="00950880" w:rsidRPr="00DE7047" w:rsidRDefault="00950880" w:rsidP="00DE7047">
      <w:pPr>
        <w:rPr>
          <w:rFonts w:eastAsia="SimSun"/>
          <w:rtl/>
          <w:lang w:eastAsia="zh-CN" w:bidi="ar-EG"/>
        </w:rPr>
      </w:pPr>
      <w:r w:rsidRPr="00DE7047">
        <w:rPr>
          <w:rFonts w:eastAsia="SimSun"/>
          <w:lang w:eastAsia="zh-CN" w:bidi="ar-EG"/>
        </w:rPr>
        <w:t>5</w:t>
      </w:r>
      <w:r w:rsidRPr="00DE7047">
        <w:rPr>
          <w:rFonts w:eastAsia="SimSun"/>
          <w:b/>
          <w:bCs/>
          <w:rtl/>
          <w:lang w:eastAsia="zh-CN" w:bidi="ar-EG"/>
        </w:rPr>
        <w:tab/>
      </w:r>
      <w:r w:rsidRPr="00DE7047">
        <w:rPr>
          <w:rFonts w:eastAsia="SimSun"/>
          <w:rtl/>
          <w:lang w:eastAsia="zh-CN" w:bidi="ar-EG"/>
        </w:rPr>
        <w:t xml:space="preserve">باعتبار </w:t>
      </w:r>
      <w:r w:rsidRPr="00DE7047">
        <w:rPr>
          <w:rFonts w:eastAsia="SimSun" w:hint="cs"/>
          <w:rtl/>
          <w:lang w:eastAsia="zh-CN" w:bidi="ar-EG"/>
        </w:rPr>
        <w:t xml:space="preserve">الملاحظة </w:t>
      </w:r>
      <w:r w:rsidRPr="00DE7047">
        <w:rPr>
          <w:rFonts w:eastAsia="SimSun"/>
          <w:lang w:eastAsia="zh-CN" w:bidi="ar-EG"/>
        </w:rPr>
        <w:t>1</w:t>
      </w:r>
      <w:r w:rsidRPr="00DE7047">
        <w:rPr>
          <w:rFonts w:eastAsia="SimSun"/>
          <w:rtl/>
          <w:lang w:eastAsia="zh-CN" w:bidi="ar-EG"/>
        </w:rPr>
        <w:t xml:space="preserve"> جزءاً من هذه التوصية،</w:t>
      </w:r>
    </w:p>
    <w:p w14:paraId="46AE6D52" w14:textId="77777777" w:rsidR="00950880" w:rsidRPr="00DE7047" w:rsidRDefault="00950880" w:rsidP="00950880">
      <w:pPr>
        <w:pStyle w:val="Call"/>
        <w:rPr>
          <w:rFonts w:eastAsia="SimSun"/>
        </w:rPr>
      </w:pPr>
      <w:r w:rsidRPr="00DE7047">
        <w:rPr>
          <w:rFonts w:eastAsia="SimSun"/>
          <w:rtl/>
        </w:rPr>
        <w:t>توصي كذلك</w:t>
      </w:r>
    </w:p>
    <w:p w14:paraId="2CA4B9A2" w14:textId="0E4B3112" w:rsidR="00950880" w:rsidRPr="00323470"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BF67C8">
        <w:rPr>
          <w:rFonts w:eastAsia="SimSun" w:cs="Times New Roman"/>
          <w:lang w:eastAsia="zh-CN" w:bidi="ar-EG"/>
        </w:rPr>
        <w:t>1</w:t>
      </w:r>
      <w:r w:rsidRPr="00323470">
        <w:rPr>
          <w:rFonts w:eastAsia="SimSun"/>
          <w:rtl/>
          <w:lang w:eastAsia="zh-CN" w:bidi="ar-EG"/>
        </w:rPr>
        <w:tab/>
        <w:t xml:space="preserve">بتوقع حدوث اختلافات حتى </w:t>
      </w:r>
      <w:r w:rsidRPr="00323470">
        <w:rPr>
          <w:rFonts w:eastAsia="SimSun"/>
          <w:lang w:eastAsia="zh-CN" w:bidi="ar-EG"/>
        </w:rPr>
        <w:t>dB 2</w:t>
      </w:r>
      <w:r w:rsidRPr="00323470">
        <w:rPr>
          <w:rFonts w:eastAsia="SimSun"/>
          <w:rtl/>
          <w:lang w:eastAsia="zh-CN" w:bidi="ar-EG"/>
        </w:rPr>
        <w:t xml:space="preserve"> في قيم الجهارة المقيسة، وفي ضوء "منطقة الارتياح" المذكورة في الفقرة </w:t>
      </w:r>
      <w:r w:rsidRPr="00713E64">
        <w:rPr>
          <w:rFonts w:eastAsia="SimSun"/>
          <w:i/>
          <w:iCs/>
          <w:rtl/>
          <w:lang w:eastAsia="zh-CN" w:bidi="ar-EG"/>
        </w:rPr>
        <w:t>ج)</w:t>
      </w:r>
      <w:r w:rsidRPr="00323470">
        <w:rPr>
          <w:rFonts w:eastAsia="SimSun"/>
          <w:rtl/>
          <w:lang w:eastAsia="zh-CN" w:bidi="ar-EG"/>
        </w:rPr>
        <w:t xml:space="preserve"> من </w:t>
      </w:r>
      <w:r>
        <w:rPr>
          <w:rFonts w:eastAsia="SimSun" w:hint="cs"/>
          <w:rtl/>
          <w:lang w:eastAsia="zh-CN" w:bidi="ar-EG"/>
        </w:rPr>
        <w:t>" </w:t>
      </w:r>
      <w:r w:rsidRPr="00323470">
        <w:rPr>
          <w:rFonts w:eastAsia="SimSun"/>
          <w:i/>
          <w:iCs/>
          <w:rtl/>
          <w:lang w:eastAsia="zh-CN" w:bidi="ar-EG"/>
        </w:rPr>
        <w:t>إذ</w:t>
      </w:r>
      <w:r>
        <w:rPr>
          <w:rFonts w:eastAsia="SimSun" w:hint="cs"/>
          <w:i/>
          <w:iCs/>
          <w:rtl/>
          <w:lang w:eastAsia="zh-CN" w:bidi="ar-EG"/>
        </w:rPr>
        <w:t> </w:t>
      </w:r>
      <w:r w:rsidRPr="00323470">
        <w:rPr>
          <w:rFonts w:eastAsia="SimSun"/>
          <w:i/>
          <w:iCs/>
          <w:rtl/>
          <w:lang w:eastAsia="zh-CN" w:bidi="ar-EG"/>
        </w:rPr>
        <w:t>تضع</w:t>
      </w:r>
      <w:r>
        <w:rPr>
          <w:rFonts w:eastAsia="SimSun" w:hint="cs"/>
          <w:i/>
          <w:iCs/>
          <w:rtl/>
          <w:lang w:eastAsia="zh-CN" w:bidi="ar-EG"/>
        </w:rPr>
        <w:t> </w:t>
      </w:r>
      <w:r w:rsidRPr="00323470">
        <w:rPr>
          <w:rFonts w:eastAsia="SimSun"/>
          <w:i/>
          <w:iCs/>
          <w:rtl/>
          <w:lang w:eastAsia="zh-CN" w:bidi="ar-EG"/>
        </w:rPr>
        <w:t>في</w:t>
      </w:r>
      <w:r>
        <w:rPr>
          <w:rFonts w:eastAsia="SimSun" w:hint="cs"/>
          <w:i/>
          <w:iCs/>
          <w:rtl/>
          <w:lang w:eastAsia="zh-CN" w:bidi="ar-EG"/>
        </w:rPr>
        <w:t> </w:t>
      </w:r>
      <w:r w:rsidRPr="00323470">
        <w:rPr>
          <w:rFonts w:eastAsia="SimSun"/>
          <w:i/>
          <w:iCs/>
          <w:rtl/>
          <w:lang w:eastAsia="zh-CN" w:bidi="ar-EG"/>
        </w:rPr>
        <w:t>اعتبارها</w:t>
      </w:r>
      <w:r>
        <w:rPr>
          <w:rFonts w:eastAsia="SimSun" w:hint="cs"/>
          <w:i/>
          <w:iCs/>
          <w:rtl/>
          <w:lang w:eastAsia="zh-CN" w:bidi="ar-EG"/>
        </w:rPr>
        <w:t> </w:t>
      </w:r>
      <w:r w:rsidRPr="00323470">
        <w:rPr>
          <w:rFonts w:eastAsia="SimSun"/>
          <w:i/>
          <w:iCs/>
          <w:rtl/>
          <w:lang w:eastAsia="zh-CN" w:bidi="ar-EG"/>
        </w:rPr>
        <w:t>كذلك</w:t>
      </w:r>
      <w:r>
        <w:rPr>
          <w:rFonts w:eastAsia="SimSun" w:hint="cs"/>
          <w:rtl/>
          <w:lang w:eastAsia="zh-CN" w:bidi="ar-EG"/>
        </w:rPr>
        <w:t>"</w:t>
      </w:r>
      <w:r w:rsidRPr="00323470">
        <w:rPr>
          <w:rFonts w:eastAsia="SimSun"/>
          <w:rtl/>
          <w:lang w:eastAsia="zh-CN" w:bidi="ar-EG"/>
        </w:rPr>
        <w:t xml:space="preserve">، ينبغي قبول هذه الاختلافات طالما لا يوجد تشغيل متسق في </w:t>
      </w:r>
      <w:proofErr w:type="gramStart"/>
      <w:r w:rsidRPr="00323470">
        <w:rPr>
          <w:rFonts w:eastAsia="SimSun"/>
          <w:rtl/>
          <w:lang w:eastAsia="zh-CN" w:bidi="ar-EG"/>
        </w:rPr>
        <w:t>الطرفين؛</w:t>
      </w:r>
      <w:proofErr w:type="gramEnd"/>
    </w:p>
    <w:p w14:paraId="46724355" w14:textId="77777777" w:rsidR="00950880" w:rsidRPr="00323470" w:rsidRDefault="00950880" w:rsidP="0095088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BF67C8">
        <w:rPr>
          <w:rFonts w:eastAsia="SimSun" w:cs="Times New Roman"/>
          <w:lang w:eastAsia="zh-CN" w:bidi="ar-EG"/>
        </w:rPr>
        <w:t>2</w:t>
      </w:r>
      <w:r w:rsidRPr="00BF67C8">
        <w:rPr>
          <w:rFonts w:eastAsia="SimSun"/>
          <w:b/>
          <w:bCs/>
          <w:rtl/>
          <w:lang w:eastAsia="zh-CN" w:bidi="ar-EG"/>
        </w:rPr>
        <w:tab/>
      </w:r>
      <w:r w:rsidRPr="00323470">
        <w:rPr>
          <w:rFonts w:eastAsia="SimSun"/>
          <w:rtl/>
          <w:lang w:eastAsia="zh-CN" w:bidi="ar-EG"/>
        </w:rPr>
        <w:t>بإيلاء الاعتبار الواجب لإمكانية وجود حالات يكون فيها الابتعاد عن أحكام هذه التوصية ضرورياً أو مرغوباً لعدة أسباب مثل إلغاء المتطلبات الإبداعية، والبرامج القديمة أو ضرورة تكييف جهارة التسجيلات الصوتية شديدة الانضغاط.</w:t>
      </w:r>
    </w:p>
    <w:p w14:paraId="288DF8A9" w14:textId="77777777" w:rsidR="00950880" w:rsidRPr="00411708" w:rsidRDefault="00950880" w:rsidP="00950880">
      <w:pPr>
        <w:pStyle w:val="Note"/>
        <w:tabs>
          <w:tab w:val="clear" w:pos="794"/>
        </w:tabs>
        <w:rPr>
          <w:rtl/>
        </w:rPr>
      </w:pPr>
      <w:r w:rsidRPr="00323470">
        <w:rPr>
          <w:b/>
          <w:bCs/>
          <w:rtl/>
        </w:rPr>
        <w:t xml:space="preserve">الملاحظة </w:t>
      </w:r>
      <w:r w:rsidRPr="00323470">
        <w:rPr>
          <w:b/>
          <w:bCs/>
        </w:rPr>
        <w:t>1</w:t>
      </w:r>
      <w:r w:rsidRPr="00323470">
        <w:rPr>
          <w:rtl/>
        </w:rPr>
        <w:t xml:space="preserve"> </w:t>
      </w:r>
      <w:r>
        <w:rPr>
          <w:rFonts w:hint="cs"/>
          <w:rtl/>
        </w:rPr>
        <w:t>-</w:t>
      </w:r>
      <w:r w:rsidRPr="00323470">
        <w:rPr>
          <w:rtl/>
        </w:rPr>
        <w:t xml:space="preserve"> يشير الحوار "العادي" إلى المستوى العادي للصوت أي عدم الصياح أو الهمس.</w:t>
      </w:r>
    </w:p>
    <w:p w14:paraId="69892AA2" w14:textId="77777777" w:rsidR="00950880" w:rsidRDefault="00950880" w:rsidP="00950880">
      <w:pPr>
        <w:pStyle w:val="Note"/>
        <w:tabs>
          <w:tab w:val="clear" w:pos="794"/>
        </w:tabs>
      </w:pPr>
      <w:r w:rsidRPr="00323470">
        <w:rPr>
          <w:rFonts w:hint="cs"/>
          <w:b/>
          <w:bCs/>
          <w:rtl/>
        </w:rPr>
        <w:t xml:space="preserve">الملاحظة </w:t>
      </w:r>
      <w:r w:rsidRPr="00323470">
        <w:rPr>
          <w:b/>
          <w:bCs/>
        </w:rPr>
        <w:t>2</w:t>
      </w:r>
      <w:r w:rsidRPr="00323470">
        <w:rPr>
          <w:rFonts w:hint="cs"/>
          <w:rtl/>
        </w:rPr>
        <w:t xml:space="preserve"> </w:t>
      </w:r>
      <w:r>
        <w:rPr>
          <w:rFonts w:hint="cs"/>
          <w:rtl/>
        </w:rPr>
        <w:t>-</w:t>
      </w:r>
      <w:r w:rsidRPr="00323470">
        <w:rPr>
          <w:rFonts w:hint="cs"/>
          <w:rtl/>
        </w:rPr>
        <w:t xml:space="preserve"> يستعمل مصطلح "مورد البرنامج" في هذه التوصية للإشارة إلى الكيان الذي يملك حقوق الملكية الفكرية </w:t>
      </w:r>
      <w:r w:rsidRPr="00323470">
        <w:t>(IPR)</w:t>
      </w:r>
      <w:r w:rsidRPr="00323470">
        <w:rPr>
          <w:rFonts w:hint="cs"/>
          <w:rtl/>
        </w:rPr>
        <w:t xml:space="preserve"> لبرنامج معين أو</w:t>
      </w:r>
      <w:r>
        <w:rPr>
          <w:rFonts w:hint="eastAsia"/>
          <w:rtl/>
        </w:rPr>
        <w:t> </w:t>
      </w:r>
      <w:r w:rsidRPr="00323470">
        <w:rPr>
          <w:rFonts w:hint="cs"/>
          <w:rtl/>
        </w:rPr>
        <w:t>الشركة التي خولها مالك هذه الحقوق توزيع البرنامج لإذاعته. وتقوم جهات البث بدورها بتجميع البرنامج مع برامج أخرى ضمن الجداول الزمنية لبرامجها من أجل توزيعه على متلقيها.</w:t>
      </w:r>
    </w:p>
    <w:p w14:paraId="58AD330D" w14:textId="4F44E1AD" w:rsidR="00987045" w:rsidRPr="00323470" w:rsidRDefault="00987045" w:rsidP="00987045">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987045" w:rsidRPr="00323470" w:rsidSect="0045598B">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10DD" w14:textId="77777777" w:rsidR="00D94BF5" w:rsidRDefault="00D94BF5">
      <w:r>
        <w:separator/>
      </w:r>
    </w:p>
  </w:endnote>
  <w:endnote w:type="continuationSeparator" w:id="0">
    <w:p w14:paraId="6A2E5F0C" w14:textId="77777777" w:rsidR="00D94BF5" w:rsidRDefault="00D9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4A4E"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C5DE"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4010" w14:textId="02B3AFA0"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177C16">
      <w:rPr>
        <w:lang w:val="fr-FR"/>
      </w:rPr>
      <w:t>P:\QPUB\BR\REC\BS\1864-1\BS1864-1A.docx</w:t>
    </w:r>
    <w:r>
      <w:fldChar w:fldCharType="end"/>
    </w:r>
    <w:r w:rsidRPr="002E6ECC">
      <w:rPr>
        <w:lang w:val="fr-FR"/>
      </w:rPr>
      <w:tab/>
    </w:r>
    <w:r>
      <w:fldChar w:fldCharType="begin"/>
    </w:r>
    <w:r>
      <w:instrText xml:space="preserve"> savedate \@ dd.MM.yy </w:instrText>
    </w:r>
    <w:r>
      <w:fldChar w:fldCharType="separate"/>
    </w:r>
    <w:r w:rsidR="00177C16">
      <w:t>26.08.24</w:t>
    </w:r>
    <w:r>
      <w:fldChar w:fldCharType="end"/>
    </w:r>
    <w:r w:rsidRPr="002E6ECC">
      <w:rPr>
        <w:lang w:val="fr-FR"/>
      </w:rPr>
      <w:tab/>
    </w:r>
    <w:r>
      <w:fldChar w:fldCharType="begin"/>
    </w:r>
    <w:r>
      <w:instrText xml:space="preserve"> printdate \@ dd.MM.yy </w:instrText>
    </w:r>
    <w:r>
      <w:fldChar w:fldCharType="separate"/>
    </w:r>
    <w:r w:rsidR="00177C16">
      <w:t>26.08.24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A7D3" w14:textId="77777777" w:rsidR="00D94BF5" w:rsidRDefault="00D94BF5" w:rsidP="00E1601B">
      <w:pPr>
        <w:spacing w:line="240" w:lineRule="auto"/>
      </w:pPr>
      <w:r>
        <w:t>____________________</w:t>
      </w:r>
    </w:p>
  </w:footnote>
  <w:footnote w:type="continuationSeparator" w:id="0">
    <w:p w14:paraId="0F5DC6A4" w14:textId="77777777" w:rsidR="00D94BF5" w:rsidRDefault="00D94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27A7"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7779C6" w:rsidRPr="00A239D1" w14:paraId="6BE6E0CE" w14:textId="77777777" w:rsidTr="00CE26F9">
      <w:trPr>
        <w:jc w:val="right"/>
      </w:trPr>
      <w:tc>
        <w:tcPr>
          <w:tcW w:w="5972" w:type="dxa"/>
        </w:tcPr>
        <w:p w14:paraId="1BCE0035" w14:textId="77777777" w:rsidR="007779C6" w:rsidRPr="00CB4BD6" w:rsidRDefault="007779C6" w:rsidP="007779C6">
          <w:pPr>
            <w:pStyle w:val="Header"/>
            <w:spacing w:before="60" w:after="120"/>
            <w:jc w:val="right"/>
            <w:rPr>
              <w:rFonts w:ascii="Arial Black" w:hAnsi="Arial Black" w:cs="Dubai"/>
              <w:color w:val="FFFFFF" w:themeColor="background1"/>
              <w:sz w:val="32"/>
              <w:szCs w:val="32"/>
            </w:rPr>
          </w:pPr>
        </w:p>
      </w:tc>
      <w:tc>
        <w:tcPr>
          <w:tcW w:w="4518" w:type="dxa"/>
        </w:tcPr>
        <w:p w14:paraId="48EA9F1C" w14:textId="77777777" w:rsidR="007779C6" w:rsidRPr="00CB4BD6" w:rsidRDefault="007779C6" w:rsidP="007779C6">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7779C6" w:rsidRPr="00A239D1" w14:paraId="0D57FB81" w14:textId="77777777" w:rsidTr="00CE26F9">
      <w:trPr>
        <w:jc w:val="right"/>
      </w:trPr>
      <w:tc>
        <w:tcPr>
          <w:tcW w:w="5972" w:type="dxa"/>
        </w:tcPr>
        <w:p w14:paraId="134B2916" w14:textId="77777777" w:rsidR="007779C6" w:rsidRPr="00CB4BD6" w:rsidRDefault="007779C6" w:rsidP="007779C6">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4573FA59" w14:textId="77777777" w:rsidR="007779C6" w:rsidRPr="00CB4BD6" w:rsidRDefault="007779C6" w:rsidP="007779C6">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03584F2C"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3FE13F2B" wp14:editId="3F41320F">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432A3055" wp14:editId="448D0046">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6587B"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70505DA3" wp14:editId="562518B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78F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CF67" w14:textId="0130EAC6"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177C16">
      <w:rPr>
        <w:rFonts w:ascii="Times New Roman Bold" w:hAnsi="Times New Roman Bold"/>
        <w:b/>
        <w:bCs/>
        <w:noProof/>
      </w:rPr>
      <w:t>ITU-R BS.1864-1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A898"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4FC9" w14:textId="2FAF1D5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00732874">
      <w:rPr>
        <w:rFonts w:ascii="Times New Roman Bold" w:hAnsi="Times New Roman Bold" w:hint="cs"/>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177C16">
      <w:rPr>
        <w:rFonts w:ascii="Times New Roman Bold" w:hAnsi="Times New Roman Bold"/>
        <w:b/>
        <w:bCs/>
        <w:noProof/>
      </w:rPr>
      <w:t>ITU-R BS.1864-1</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9AD4" w14:textId="294035AD"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177C16">
      <w:rPr>
        <w:rFonts w:ascii="Times New Roman Bold" w:hAnsi="Times New Roman Bold"/>
        <w:b/>
        <w:bCs/>
        <w:noProof/>
      </w:rPr>
      <w:t>ITU-R BS.1864-1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EC4B"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80"/>
    <w:rsid w:val="00002849"/>
    <w:rsid w:val="00004474"/>
    <w:rsid w:val="00027907"/>
    <w:rsid w:val="000473FF"/>
    <w:rsid w:val="000522D1"/>
    <w:rsid w:val="00067954"/>
    <w:rsid w:val="00081122"/>
    <w:rsid w:val="00091A6B"/>
    <w:rsid w:val="00096F01"/>
    <w:rsid w:val="000A079C"/>
    <w:rsid w:val="000B30D7"/>
    <w:rsid w:val="000B4F10"/>
    <w:rsid w:val="000D02E3"/>
    <w:rsid w:val="000F312E"/>
    <w:rsid w:val="000F6D38"/>
    <w:rsid w:val="001048FC"/>
    <w:rsid w:val="00113EE4"/>
    <w:rsid w:val="001231D6"/>
    <w:rsid w:val="00132731"/>
    <w:rsid w:val="00134026"/>
    <w:rsid w:val="00140B98"/>
    <w:rsid w:val="001568ED"/>
    <w:rsid w:val="00160047"/>
    <w:rsid w:val="00160200"/>
    <w:rsid w:val="00165261"/>
    <w:rsid w:val="0017413D"/>
    <w:rsid w:val="00174247"/>
    <w:rsid w:val="00177C16"/>
    <w:rsid w:val="00182385"/>
    <w:rsid w:val="00183CAB"/>
    <w:rsid w:val="00196389"/>
    <w:rsid w:val="00197749"/>
    <w:rsid w:val="001A0D29"/>
    <w:rsid w:val="001B03B8"/>
    <w:rsid w:val="001D2146"/>
    <w:rsid w:val="001E0B6B"/>
    <w:rsid w:val="001E77BC"/>
    <w:rsid w:val="001F23C7"/>
    <w:rsid w:val="001F654E"/>
    <w:rsid w:val="00201143"/>
    <w:rsid w:val="002137FD"/>
    <w:rsid w:val="002144CB"/>
    <w:rsid w:val="00230502"/>
    <w:rsid w:val="002434E6"/>
    <w:rsid w:val="00271843"/>
    <w:rsid w:val="002971E7"/>
    <w:rsid w:val="002B261D"/>
    <w:rsid w:val="002B706F"/>
    <w:rsid w:val="002C0F17"/>
    <w:rsid w:val="002C1FE8"/>
    <w:rsid w:val="002D3483"/>
    <w:rsid w:val="002D6AAF"/>
    <w:rsid w:val="002E6ECC"/>
    <w:rsid w:val="002E7058"/>
    <w:rsid w:val="00303491"/>
    <w:rsid w:val="00304728"/>
    <w:rsid w:val="0030719D"/>
    <w:rsid w:val="00314E5F"/>
    <w:rsid w:val="00340205"/>
    <w:rsid w:val="00374B5D"/>
    <w:rsid w:val="00380511"/>
    <w:rsid w:val="00390B1B"/>
    <w:rsid w:val="00393745"/>
    <w:rsid w:val="003D017C"/>
    <w:rsid w:val="003D307E"/>
    <w:rsid w:val="003D40E1"/>
    <w:rsid w:val="003F15D8"/>
    <w:rsid w:val="00402F6B"/>
    <w:rsid w:val="004044EE"/>
    <w:rsid w:val="00422D17"/>
    <w:rsid w:val="0042647B"/>
    <w:rsid w:val="0044201D"/>
    <w:rsid w:val="0045598B"/>
    <w:rsid w:val="0047085B"/>
    <w:rsid w:val="004910A2"/>
    <w:rsid w:val="004913D0"/>
    <w:rsid w:val="004B094A"/>
    <w:rsid w:val="004B6C86"/>
    <w:rsid w:val="004D1427"/>
    <w:rsid w:val="004D79B4"/>
    <w:rsid w:val="004E1620"/>
    <w:rsid w:val="004E7D1E"/>
    <w:rsid w:val="00506547"/>
    <w:rsid w:val="00511801"/>
    <w:rsid w:val="00527EAF"/>
    <w:rsid w:val="005425A3"/>
    <w:rsid w:val="005514CA"/>
    <w:rsid w:val="005570BF"/>
    <w:rsid w:val="0056060A"/>
    <w:rsid w:val="00574535"/>
    <w:rsid w:val="00577803"/>
    <w:rsid w:val="00584B8F"/>
    <w:rsid w:val="0059020C"/>
    <w:rsid w:val="00591053"/>
    <w:rsid w:val="005960C8"/>
    <w:rsid w:val="005A018F"/>
    <w:rsid w:val="005A2CAF"/>
    <w:rsid w:val="005A750D"/>
    <w:rsid w:val="005B530B"/>
    <w:rsid w:val="005C397A"/>
    <w:rsid w:val="005C43CD"/>
    <w:rsid w:val="005C462C"/>
    <w:rsid w:val="005D6161"/>
    <w:rsid w:val="005D6A35"/>
    <w:rsid w:val="005E066B"/>
    <w:rsid w:val="005F01A2"/>
    <w:rsid w:val="005F24EB"/>
    <w:rsid w:val="005F3E06"/>
    <w:rsid w:val="005F3FD2"/>
    <w:rsid w:val="00607FA9"/>
    <w:rsid w:val="00617A19"/>
    <w:rsid w:val="00631E7D"/>
    <w:rsid w:val="006405DD"/>
    <w:rsid w:val="00665EBF"/>
    <w:rsid w:val="00667C08"/>
    <w:rsid w:val="00680CA6"/>
    <w:rsid w:val="00686ACA"/>
    <w:rsid w:val="006D24D6"/>
    <w:rsid w:val="006F0DD4"/>
    <w:rsid w:val="00732874"/>
    <w:rsid w:val="007362CE"/>
    <w:rsid w:val="007779C6"/>
    <w:rsid w:val="00791666"/>
    <w:rsid w:val="00794E1C"/>
    <w:rsid w:val="00796478"/>
    <w:rsid w:val="00796F0C"/>
    <w:rsid w:val="007B1739"/>
    <w:rsid w:val="007C58FE"/>
    <w:rsid w:val="007D7E68"/>
    <w:rsid w:val="007F1856"/>
    <w:rsid w:val="007F58FA"/>
    <w:rsid w:val="00802B34"/>
    <w:rsid w:val="008034E3"/>
    <w:rsid w:val="00811188"/>
    <w:rsid w:val="008113E9"/>
    <w:rsid w:val="00815E12"/>
    <w:rsid w:val="0083115C"/>
    <w:rsid w:val="00846C0D"/>
    <w:rsid w:val="008656C3"/>
    <w:rsid w:val="0087705A"/>
    <w:rsid w:val="00894394"/>
    <w:rsid w:val="00897041"/>
    <w:rsid w:val="008B76A0"/>
    <w:rsid w:val="008C5CCB"/>
    <w:rsid w:val="008C6A66"/>
    <w:rsid w:val="008C733D"/>
    <w:rsid w:val="00904910"/>
    <w:rsid w:val="009067BA"/>
    <w:rsid w:val="00912A86"/>
    <w:rsid w:val="00925FAA"/>
    <w:rsid w:val="00930F9D"/>
    <w:rsid w:val="009352F6"/>
    <w:rsid w:val="00936CB4"/>
    <w:rsid w:val="00950880"/>
    <w:rsid w:val="009533AE"/>
    <w:rsid w:val="0096112A"/>
    <w:rsid w:val="009643BD"/>
    <w:rsid w:val="00964A11"/>
    <w:rsid w:val="00972570"/>
    <w:rsid w:val="009845C0"/>
    <w:rsid w:val="00987045"/>
    <w:rsid w:val="009C6655"/>
    <w:rsid w:val="00A0453F"/>
    <w:rsid w:val="00A161D3"/>
    <w:rsid w:val="00A163C1"/>
    <w:rsid w:val="00A177D7"/>
    <w:rsid w:val="00A2420C"/>
    <w:rsid w:val="00A35603"/>
    <w:rsid w:val="00A56CCF"/>
    <w:rsid w:val="00A70D90"/>
    <w:rsid w:val="00A96D62"/>
    <w:rsid w:val="00AA1ACD"/>
    <w:rsid w:val="00AB0789"/>
    <w:rsid w:val="00AB2BD9"/>
    <w:rsid w:val="00AE09F4"/>
    <w:rsid w:val="00AE2234"/>
    <w:rsid w:val="00AE46C8"/>
    <w:rsid w:val="00AE7C5A"/>
    <w:rsid w:val="00AF5F81"/>
    <w:rsid w:val="00AF6ABB"/>
    <w:rsid w:val="00B16E8C"/>
    <w:rsid w:val="00B22D33"/>
    <w:rsid w:val="00B244FA"/>
    <w:rsid w:val="00B452E5"/>
    <w:rsid w:val="00B46D5D"/>
    <w:rsid w:val="00B60FFE"/>
    <w:rsid w:val="00B978E1"/>
    <w:rsid w:val="00B97ED1"/>
    <w:rsid w:val="00B97F45"/>
    <w:rsid w:val="00BC3FE9"/>
    <w:rsid w:val="00BE0D0E"/>
    <w:rsid w:val="00BE3014"/>
    <w:rsid w:val="00BE5AAE"/>
    <w:rsid w:val="00BF0907"/>
    <w:rsid w:val="00BF3DD6"/>
    <w:rsid w:val="00BF67C8"/>
    <w:rsid w:val="00C04244"/>
    <w:rsid w:val="00C1100F"/>
    <w:rsid w:val="00C46925"/>
    <w:rsid w:val="00C50B28"/>
    <w:rsid w:val="00C53F27"/>
    <w:rsid w:val="00C71576"/>
    <w:rsid w:val="00C827A4"/>
    <w:rsid w:val="00C93F89"/>
    <w:rsid w:val="00C94B6E"/>
    <w:rsid w:val="00CA603A"/>
    <w:rsid w:val="00CB4BE8"/>
    <w:rsid w:val="00CC48AA"/>
    <w:rsid w:val="00CC6EA6"/>
    <w:rsid w:val="00CD2510"/>
    <w:rsid w:val="00CD71D4"/>
    <w:rsid w:val="00CF545E"/>
    <w:rsid w:val="00CF6960"/>
    <w:rsid w:val="00CF73A8"/>
    <w:rsid w:val="00D2107D"/>
    <w:rsid w:val="00D231CE"/>
    <w:rsid w:val="00D23D39"/>
    <w:rsid w:val="00D30FE6"/>
    <w:rsid w:val="00D34703"/>
    <w:rsid w:val="00D53BE6"/>
    <w:rsid w:val="00D85FA6"/>
    <w:rsid w:val="00D94BF5"/>
    <w:rsid w:val="00DA348F"/>
    <w:rsid w:val="00DB3D2A"/>
    <w:rsid w:val="00DC46DB"/>
    <w:rsid w:val="00DC7E91"/>
    <w:rsid w:val="00DD670F"/>
    <w:rsid w:val="00DE7047"/>
    <w:rsid w:val="00DF4E37"/>
    <w:rsid w:val="00E103BB"/>
    <w:rsid w:val="00E12EB0"/>
    <w:rsid w:val="00E15CD6"/>
    <w:rsid w:val="00E1601B"/>
    <w:rsid w:val="00E16062"/>
    <w:rsid w:val="00E27A46"/>
    <w:rsid w:val="00E3032C"/>
    <w:rsid w:val="00E45AFF"/>
    <w:rsid w:val="00E577A6"/>
    <w:rsid w:val="00E6418C"/>
    <w:rsid w:val="00E650A3"/>
    <w:rsid w:val="00E726E9"/>
    <w:rsid w:val="00E736B4"/>
    <w:rsid w:val="00E9048A"/>
    <w:rsid w:val="00E964C9"/>
    <w:rsid w:val="00EC2BCA"/>
    <w:rsid w:val="00EC44EE"/>
    <w:rsid w:val="00EF0744"/>
    <w:rsid w:val="00EF6496"/>
    <w:rsid w:val="00EF7CB5"/>
    <w:rsid w:val="00F03CE4"/>
    <w:rsid w:val="00F1320B"/>
    <w:rsid w:val="00F15682"/>
    <w:rsid w:val="00F22C87"/>
    <w:rsid w:val="00F23CC1"/>
    <w:rsid w:val="00F3359B"/>
    <w:rsid w:val="00F40BC5"/>
    <w:rsid w:val="00F615CE"/>
    <w:rsid w:val="00F82FD6"/>
    <w:rsid w:val="00F939BC"/>
    <w:rsid w:val="00F9575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04E70"/>
  <w15:docId w15:val="{18AA8DE8-1B50-4E3C-8C1B-E5EF27E7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qFormat/>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qFormat/>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aliases w:val="CEO_Hyperlink,超级链接,超?级链,Style 58,超????,하이퍼링크2,超链接1,超?级链?,Style?,S,하이퍼링크21,ECC Hyperlink"/>
    <w:basedOn w:val="DefaultParagraphFont"/>
    <w:qForma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Normalaftertitle0">
    <w:name w:val="Normal after title"/>
    <w:basedOn w:val="Normal"/>
    <w:qFormat/>
    <w:rsid w:val="00950880"/>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Headingsum">
    <w:name w:val="Heading sum"/>
    <w:basedOn w:val="Normal"/>
    <w:rsid w:val="00950880"/>
    <w:pPr>
      <w:tabs>
        <w:tab w:val="left" w:pos="907"/>
      </w:tabs>
      <w:spacing w:before="240"/>
    </w:pPr>
    <w:rPr>
      <w:rFonts w:ascii="Times New Roman Bold" w:hAnsi="Times New Roman Bold"/>
      <w:b/>
      <w:bCs/>
      <w:sz w:val="24"/>
      <w:szCs w:val="32"/>
      <w:lang w:eastAsia="en-US" w:bidi="ar-EG"/>
    </w:rPr>
  </w:style>
  <w:style w:type="paragraph" w:customStyle="1" w:styleId="Summary">
    <w:name w:val="Summary"/>
    <w:basedOn w:val="Normal"/>
    <w:qFormat/>
    <w:rsid w:val="00950880"/>
    <w:rPr>
      <w:spacing w:val="-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QUE-SG06.135" TargetMode="External"/><Relationship Id="rId18" Type="http://schemas.openxmlformats.org/officeDocument/2006/relationships/hyperlink" Target="https://www.itu.int/rec/R-REC-BS.1770/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itu.int/rec/R-REC-BS.1770/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BS.1771/e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BS.1770/en"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rec/R-REC-BS.1726/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969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ITU-R Rec SA template</vt:lpstr>
    </vt:vector>
  </TitlesOfParts>
  <Company>ITU</Company>
  <LinksUpToDate>false</LinksUpToDate>
  <CharactersWithSpaces>6767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BS.1864-1 (2023/11) ممارسات تشغيلية بشأن الجهارة في التبادل الدولي للبرامج التلفزيونية الرقمية</dc:title>
  <dc:creator>GE</dc:creator>
  <cp:lastModifiedBy>Gergis, Mina</cp:lastModifiedBy>
  <cp:revision>9</cp:revision>
  <cp:lastPrinted>2024-08-26T13:03:00Z</cp:lastPrinted>
  <dcterms:created xsi:type="dcterms:W3CDTF">2024-08-26T12:27:00Z</dcterms:created>
  <dcterms:modified xsi:type="dcterms:W3CDTF">2024-08-26T13:05:00Z</dcterms:modified>
</cp:coreProperties>
</file>