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C71A4" w14:textId="77777777" w:rsidR="00FE79FE" w:rsidRDefault="00FE79FE"/>
    <w:p w14:paraId="6C207984" w14:textId="77777777" w:rsidR="00013002" w:rsidRDefault="00013002" w:rsidP="00DE5556">
      <w:pPr>
        <w:tabs>
          <w:tab w:val="clear" w:pos="794"/>
          <w:tab w:val="clear" w:pos="1191"/>
          <w:tab w:val="clear" w:pos="1588"/>
          <w:tab w:val="clear" w:pos="1985"/>
        </w:tabs>
      </w:pPr>
    </w:p>
    <w:p w14:paraId="34E2AE19" w14:textId="428533F9" w:rsidR="00D5024B" w:rsidRPr="00F111D6" w:rsidRDefault="00D5024B" w:rsidP="00D5024B">
      <w:pPr>
        <w:pStyle w:val="CoverNumber"/>
        <w:rPr>
          <w:lang w:val="es-ES"/>
        </w:rPr>
      </w:pPr>
      <w:bookmarkStart w:id="0" w:name="_Toc162001328"/>
      <w:bookmarkStart w:id="1" w:name="_Toc162005881"/>
      <w:bookmarkStart w:id="2" w:name="_Toc162005974"/>
      <w:bookmarkStart w:id="3" w:name="_Toc162006205"/>
      <w:bookmarkStart w:id="4" w:name="_Toc162008560"/>
      <w:bookmarkStart w:id="5" w:name="_Toc162442798"/>
      <w:bookmarkStart w:id="6" w:name="_Toc162442888"/>
      <w:bookmarkStart w:id="7" w:name="_Toc162442984"/>
      <w:bookmarkStart w:id="8" w:name="_Toc162443401"/>
      <w:bookmarkStart w:id="9" w:name="_Toc162443550"/>
      <w:bookmarkStart w:id="10" w:name="_Toc162443769"/>
      <w:bookmarkStart w:id="11" w:name="_Toc162443999"/>
      <w:bookmarkStart w:id="12" w:name="_Toc162444550"/>
      <w:r w:rsidRPr="00F111D6">
        <w:rPr>
          <w:lang w:val="es-ES"/>
        </w:rPr>
        <w:t>Recom</w:t>
      </w:r>
      <w:r w:rsidR="0069322D" w:rsidRPr="00F111D6">
        <w:rPr>
          <w:lang w:val="es-ES"/>
        </w:rPr>
        <w:t>e</w:t>
      </w:r>
      <w:r w:rsidRPr="00F111D6">
        <w:rPr>
          <w:lang w:val="es-ES"/>
        </w:rPr>
        <w:t>nda</w:t>
      </w:r>
      <w:r w:rsidR="0069322D" w:rsidRPr="00F111D6">
        <w:rPr>
          <w:lang w:val="es-ES"/>
        </w:rPr>
        <w:t>c</w:t>
      </w:r>
      <w:r w:rsidRPr="00F111D6">
        <w:rPr>
          <w:lang w:val="es-ES"/>
        </w:rPr>
        <w:t>i</w:t>
      </w:r>
      <w:r w:rsidR="0069322D" w:rsidRPr="00F111D6">
        <w:rPr>
          <w:lang w:val="es-ES"/>
        </w:rPr>
        <w:t>ó</w:t>
      </w:r>
      <w:r w:rsidRPr="00F111D6">
        <w:rPr>
          <w:lang w:val="es-ES"/>
        </w:rPr>
        <w:t xml:space="preserve">n </w:t>
      </w:r>
      <w:r w:rsidR="007624B1" w:rsidRPr="00F111D6">
        <w:rPr>
          <w:lang w:val="es-ES"/>
        </w:rPr>
        <w:t>U</w:t>
      </w:r>
      <w:r w:rsidRPr="00F111D6">
        <w:rPr>
          <w:lang w:val="es-ES"/>
        </w:rPr>
        <w:t xml:space="preserve">IT-R </w:t>
      </w:r>
      <w:r w:rsidR="001A0386">
        <w:rPr>
          <w:lang w:val="es-ES"/>
        </w:rPr>
        <w:t>B</w:t>
      </w:r>
      <w:r w:rsidR="009F2D88">
        <w:rPr>
          <w:lang w:val="es-ES"/>
        </w:rPr>
        <w:t>S</w:t>
      </w:r>
      <w:r w:rsidRPr="00F111D6">
        <w:rPr>
          <w:lang w:val="es-ES"/>
        </w:rPr>
        <w:t>.</w:t>
      </w:r>
      <w:r w:rsidR="00C35FA9">
        <w:rPr>
          <w:lang w:val="es-ES"/>
        </w:rPr>
        <w:t>1968</w:t>
      </w:r>
      <w:r w:rsidR="00F501E2" w:rsidRPr="00652A50">
        <w:rPr>
          <w:lang w:val="es-ES"/>
        </w:rPr>
        <w:t>-</w:t>
      </w:r>
      <w:r w:rsidR="00C35FA9">
        <w:rPr>
          <w:lang w:val="es-ES"/>
        </w:rPr>
        <w:t>1</w:t>
      </w:r>
      <w:bookmarkEnd w:id="0"/>
      <w:bookmarkEnd w:id="1"/>
      <w:bookmarkEnd w:id="2"/>
      <w:bookmarkEnd w:id="3"/>
      <w:bookmarkEnd w:id="4"/>
      <w:bookmarkEnd w:id="5"/>
      <w:bookmarkEnd w:id="6"/>
      <w:bookmarkEnd w:id="7"/>
      <w:bookmarkEnd w:id="8"/>
      <w:bookmarkEnd w:id="9"/>
      <w:bookmarkEnd w:id="10"/>
      <w:bookmarkEnd w:id="11"/>
      <w:bookmarkEnd w:id="12"/>
    </w:p>
    <w:p w14:paraId="773DB358" w14:textId="0568EFF5" w:rsidR="00D5024B" w:rsidRPr="00F111D6" w:rsidRDefault="00D5024B" w:rsidP="00D5024B">
      <w:pPr>
        <w:pStyle w:val="CoverDate"/>
        <w:rPr>
          <w:lang w:val="es-ES"/>
        </w:rPr>
      </w:pPr>
      <w:r w:rsidRPr="00F111D6">
        <w:rPr>
          <w:lang w:val="es-ES"/>
        </w:rPr>
        <w:t>(</w:t>
      </w:r>
      <w:r w:rsidR="00F501E2" w:rsidRPr="00652A50">
        <w:rPr>
          <w:bCs/>
          <w:lang w:val="es-ES"/>
        </w:rPr>
        <w:t>0</w:t>
      </w:r>
      <w:r w:rsidR="00C35FA9">
        <w:rPr>
          <w:bCs/>
          <w:lang w:val="es-ES"/>
        </w:rPr>
        <w:t>5</w:t>
      </w:r>
      <w:r w:rsidR="00F501E2" w:rsidRPr="00652A50">
        <w:rPr>
          <w:bCs/>
          <w:lang w:val="es-ES"/>
        </w:rPr>
        <w:t>/2023</w:t>
      </w:r>
      <w:r w:rsidRPr="00F111D6">
        <w:rPr>
          <w:lang w:val="es-ES"/>
        </w:rPr>
        <w:t>)</w:t>
      </w:r>
    </w:p>
    <w:p w14:paraId="15163500" w14:textId="4F4FD639" w:rsidR="00D5024B" w:rsidRPr="00F111D6" w:rsidRDefault="00A25EE2" w:rsidP="00D5024B">
      <w:pPr>
        <w:pStyle w:val="CoverSeries"/>
        <w:rPr>
          <w:lang w:val="es-ES"/>
        </w:rPr>
      </w:pPr>
      <w:r w:rsidRPr="00F111D6">
        <w:rPr>
          <w:lang w:val="es-ES"/>
        </w:rPr>
        <w:t>S</w:t>
      </w:r>
      <w:r w:rsidR="0069322D" w:rsidRPr="00F111D6">
        <w:rPr>
          <w:lang w:val="es-ES"/>
        </w:rPr>
        <w:t>e</w:t>
      </w:r>
      <w:r w:rsidRPr="00F111D6">
        <w:rPr>
          <w:lang w:val="es-ES"/>
        </w:rPr>
        <w:t xml:space="preserve">rie </w:t>
      </w:r>
      <w:r w:rsidR="00C35FA9">
        <w:rPr>
          <w:lang w:val="es-ES"/>
        </w:rPr>
        <w:t>B</w:t>
      </w:r>
      <w:r w:rsidR="008B56B2">
        <w:rPr>
          <w:lang w:val="es-ES"/>
        </w:rPr>
        <w:t>S</w:t>
      </w:r>
      <w:r w:rsidR="00D5024B" w:rsidRPr="00F111D6">
        <w:rPr>
          <w:lang w:val="es-ES"/>
        </w:rPr>
        <w:t xml:space="preserve">: </w:t>
      </w:r>
      <w:r w:rsidR="00023F32" w:rsidRPr="00023F32">
        <w:rPr>
          <w:lang w:val="es-ES"/>
        </w:rPr>
        <w:t xml:space="preserve">Servicio </w:t>
      </w:r>
      <w:r w:rsidR="00C35FA9">
        <w:rPr>
          <w:lang w:val="es-ES"/>
        </w:rPr>
        <w:t>de radiodifusión (sonora)</w:t>
      </w:r>
    </w:p>
    <w:p w14:paraId="4E9E9A63" w14:textId="748906B4" w:rsidR="00C35FA9" w:rsidRDefault="00C35FA9" w:rsidP="00D5024B">
      <w:pPr>
        <w:pStyle w:val="CoverTitle"/>
        <w:rPr>
          <w:lang w:val="es-ES"/>
        </w:rPr>
      </w:pPr>
      <w:r>
        <w:rPr>
          <w:lang w:val="es-ES"/>
        </w:rPr>
        <w:t>Evaluación de los campos electromagnéticos de los sistemas transmisores de radiodifusión terrenal para evaluar la exposición de las personas a las emisiones no ionizantes</w:t>
      </w:r>
    </w:p>
    <w:p w14:paraId="52E11B55" w14:textId="77777777" w:rsidR="00FE79FE" w:rsidRPr="00111E49" w:rsidRDefault="00FE79FE" w:rsidP="005373E0">
      <w:pPr>
        <w:rPr>
          <w:lang w:val="es-ES"/>
        </w:rPr>
      </w:pPr>
    </w:p>
    <w:p w14:paraId="20E26D5D" w14:textId="77777777" w:rsidR="00A71FE5" w:rsidRPr="00111E49" w:rsidRDefault="00A71FE5" w:rsidP="005373E0">
      <w:pPr>
        <w:rPr>
          <w:lang w:val="es-ES"/>
        </w:rPr>
      </w:pPr>
    </w:p>
    <w:p w14:paraId="298A4853" w14:textId="77777777" w:rsidR="00EE47C4" w:rsidRPr="00111E49" w:rsidRDefault="00EE47C4" w:rsidP="005373E0">
      <w:pPr>
        <w:rPr>
          <w:lang w:val="es-ES"/>
        </w:rPr>
        <w:sectPr w:rsidR="00EE47C4" w:rsidRPr="00111E49"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39057331" w14:textId="77777777" w:rsidR="0069322D" w:rsidRPr="006C718C" w:rsidRDefault="0069322D" w:rsidP="006932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3" w:name="c2tope"/>
      <w:bookmarkEnd w:id="13"/>
      <w:r w:rsidRPr="006C718C">
        <w:rPr>
          <w:bCs/>
          <w:sz w:val="24"/>
          <w:szCs w:val="24"/>
          <w:lang w:val="es-ES_tradnl"/>
        </w:rPr>
        <w:lastRenderedPageBreak/>
        <w:t>Prólogo</w:t>
      </w:r>
    </w:p>
    <w:p w14:paraId="2120ECE1" w14:textId="77777777" w:rsidR="0069322D" w:rsidRPr="006C718C" w:rsidRDefault="0069322D" w:rsidP="0069322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72C318F" w14:textId="77777777" w:rsidR="0069322D" w:rsidRPr="006C718C" w:rsidRDefault="0069322D" w:rsidP="0069322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4575E8CE" w14:textId="77777777" w:rsidR="0069322D" w:rsidRPr="00021E8A" w:rsidRDefault="0069322D" w:rsidP="0069322D">
      <w:pPr>
        <w:pStyle w:val="Heading1"/>
        <w:spacing w:before="340"/>
        <w:jc w:val="center"/>
        <w:rPr>
          <w:szCs w:val="24"/>
          <w:lang w:val="es-ES_tradnl"/>
        </w:rPr>
      </w:pPr>
      <w:bookmarkStart w:id="14" w:name="_Toc162001329"/>
      <w:bookmarkStart w:id="15" w:name="_Toc162005882"/>
      <w:bookmarkStart w:id="16" w:name="_Toc162005975"/>
      <w:bookmarkStart w:id="17" w:name="_Toc162006206"/>
      <w:bookmarkStart w:id="18" w:name="_Toc162008561"/>
      <w:bookmarkStart w:id="19" w:name="_Toc162444551"/>
      <w:bookmarkStart w:id="20" w:name="_Toc162518189"/>
      <w:bookmarkStart w:id="21" w:name="_Toc162518711"/>
      <w:r w:rsidRPr="007C36CA">
        <w:rPr>
          <w:lang w:val="es-ES_tradnl"/>
        </w:rPr>
        <w:t>Política sobre Derechos de Propiedad Intelectual</w:t>
      </w:r>
      <w:r w:rsidRPr="00021E8A">
        <w:rPr>
          <w:szCs w:val="24"/>
          <w:lang w:val="es-ES_tradnl"/>
        </w:rPr>
        <w:t xml:space="preserve"> (IPR)</w:t>
      </w:r>
      <w:bookmarkEnd w:id="14"/>
      <w:bookmarkEnd w:id="15"/>
      <w:bookmarkEnd w:id="16"/>
      <w:bookmarkEnd w:id="17"/>
      <w:bookmarkEnd w:id="18"/>
      <w:bookmarkEnd w:id="19"/>
      <w:bookmarkEnd w:id="20"/>
      <w:bookmarkEnd w:id="21"/>
    </w:p>
    <w:p w14:paraId="577106F8" w14:textId="77777777" w:rsidR="0069322D" w:rsidRPr="00021E8A" w:rsidRDefault="0069322D" w:rsidP="0069322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262533A8" w14:textId="77777777" w:rsidR="0069322D" w:rsidRPr="007C36CA" w:rsidRDefault="0069322D" w:rsidP="0069322D">
      <w:pPr>
        <w:spacing w:before="0"/>
        <w:jc w:val="center"/>
        <w:rPr>
          <w:sz w:val="22"/>
          <w:lang w:val="es-ES_tradnl"/>
        </w:rPr>
      </w:pPr>
    </w:p>
    <w:p w14:paraId="7C3B8C85" w14:textId="77777777" w:rsidR="0069322D" w:rsidRPr="007C36CA" w:rsidRDefault="0069322D" w:rsidP="0069322D">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69322D" w:rsidRPr="004170F5" w14:paraId="719C954E" w14:textId="77777777" w:rsidTr="0069322D">
        <w:tc>
          <w:tcPr>
            <w:tcW w:w="9360" w:type="dxa"/>
            <w:gridSpan w:val="2"/>
          </w:tcPr>
          <w:p w14:paraId="138AB804" w14:textId="41936C82" w:rsidR="0069322D" w:rsidRPr="00021E8A" w:rsidRDefault="0069322D" w:rsidP="000B4BD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 las Recomendaciones UIT-R</w:t>
            </w:r>
          </w:p>
          <w:p w14:paraId="4BC221EE" w14:textId="77777777" w:rsidR="0069322D" w:rsidRPr="00763D08"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00B96572">
                <w:rPr>
                  <w:rStyle w:val="Hyperlink"/>
                  <w:b w:val="0"/>
                  <w:bCs/>
                  <w:sz w:val="18"/>
                  <w:szCs w:val="18"/>
                  <w:lang w:val="es-ES_tradnl"/>
                </w:rPr>
                <w:t>https://www.itu.int/publ/R-REC/es</w:t>
              </w:r>
            </w:hyperlink>
            <w:r w:rsidRPr="00763D08">
              <w:rPr>
                <w:b w:val="0"/>
                <w:bCs/>
                <w:sz w:val="18"/>
                <w:szCs w:val="18"/>
                <w:lang w:val="es-ES_tradnl"/>
              </w:rPr>
              <w:t>)</w:t>
            </w:r>
          </w:p>
        </w:tc>
      </w:tr>
      <w:tr w:rsidR="0069322D" w:rsidRPr="00036EE3" w14:paraId="7251701C" w14:textId="77777777" w:rsidTr="00B96572">
        <w:tc>
          <w:tcPr>
            <w:tcW w:w="1140" w:type="dxa"/>
            <w:tcBorders>
              <w:bottom w:val="nil"/>
            </w:tcBorders>
            <w:vAlign w:val="bottom"/>
          </w:tcPr>
          <w:p w14:paraId="1F18B61E" w14:textId="77777777" w:rsidR="0069322D" w:rsidRPr="00036EE3" w:rsidRDefault="0069322D" w:rsidP="00B96572">
            <w:pPr>
              <w:spacing w:before="180" w:after="100"/>
              <w:ind w:left="57"/>
              <w:jc w:val="left"/>
              <w:rPr>
                <w:b/>
                <w:bCs/>
                <w:sz w:val="20"/>
                <w:lang w:val="en-US"/>
              </w:rPr>
            </w:pPr>
            <w:r w:rsidRPr="00036EE3">
              <w:rPr>
                <w:b/>
                <w:bCs/>
                <w:sz w:val="20"/>
                <w:lang w:val="en-US"/>
              </w:rPr>
              <w:t>Series</w:t>
            </w:r>
          </w:p>
        </w:tc>
        <w:tc>
          <w:tcPr>
            <w:tcW w:w="8220" w:type="dxa"/>
            <w:tcBorders>
              <w:bottom w:val="nil"/>
            </w:tcBorders>
            <w:vAlign w:val="bottom"/>
          </w:tcPr>
          <w:p w14:paraId="120F5C37" w14:textId="77777777" w:rsidR="0069322D" w:rsidRPr="00036EE3" w:rsidRDefault="0069322D" w:rsidP="00B965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9322D" w:rsidRPr="004532F7" w14:paraId="5B73593E" w14:textId="77777777" w:rsidTr="0069322D">
        <w:tc>
          <w:tcPr>
            <w:tcW w:w="1140" w:type="dxa"/>
            <w:tcBorders>
              <w:top w:val="nil"/>
              <w:bottom w:val="nil"/>
            </w:tcBorders>
            <w:shd w:val="clear" w:color="auto" w:fill="auto"/>
          </w:tcPr>
          <w:p w14:paraId="3946E2F9" w14:textId="77777777" w:rsidR="0069322D" w:rsidRPr="004532F7" w:rsidRDefault="0069322D" w:rsidP="000B4BD9">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6F7E4D96" w14:textId="77777777" w:rsidR="0069322D" w:rsidRPr="004532F7"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69322D" w:rsidRPr="004170F5" w14:paraId="55D9CA6E" w14:textId="77777777" w:rsidTr="0069322D">
        <w:tc>
          <w:tcPr>
            <w:tcW w:w="1140" w:type="dxa"/>
            <w:tcBorders>
              <w:top w:val="nil"/>
              <w:bottom w:val="nil"/>
            </w:tcBorders>
            <w:shd w:val="clear" w:color="auto" w:fill="auto"/>
          </w:tcPr>
          <w:p w14:paraId="73339323" w14:textId="77777777" w:rsidR="0069322D" w:rsidRPr="006B22C3" w:rsidRDefault="0069322D" w:rsidP="000B4BD9">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1CA089F9" w14:textId="77777777" w:rsidR="0069322D" w:rsidRPr="006B22C3"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69322D" w:rsidRPr="00847DD5" w14:paraId="3B5C2453" w14:textId="77777777" w:rsidTr="001A0386">
        <w:tc>
          <w:tcPr>
            <w:tcW w:w="1140" w:type="dxa"/>
            <w:tcBorders>
              <w:top w:val="nil"/>
              <w:bottom w:val="nil"/>
            </w:tcBorders>
            <w:shd w:val="clear" w:color="auto" w:fill="F2F2F2" w:themeFill="background1" w:themeFillShade="F2"/>
          </w:tcPr>
          <w:p w14:paraId="1F37C7E9" w14:textId="77777777" w:rsidR="0069322D" w:rsidRPr="00847DD5" w:rsidRDefault="0069322D" w:rsidP="000B4BD9">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F2F2F2" w:themeFill="background1" w:themeFillShade="F2"/>
          </w:tcPr>
          <w:p w14:paraId="39FD0957" w14:textId="77777777" w:rsidR="0069322D" w:rsidRPr="001A0386"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sz w:val="20"/>
                <w:lang w:val="en-US"/>
              </w:rPr>
            </w:pPr>
            <w:r w:rsidRPr="001A0386">
              <w:rPr>
                <w:sz w:val="20"/>
              </w:rPr>
              <w:t>Servicio de radiodifusión (sonora)</w:t>
            </w:r>
          </w:p>
        </w:tc>
      </w:tr>
      <w:tr w:rsidR="0069322D" w:rsidRPr="00ED2695" w14:paraId="7723DAAC" w14:textId="77777777" w:rsidTr="008B56B2">
        <w:tc>
          <w:tcPr>
            <w:tcW w:w="1140" w:type="dxa"/>
            <w:tcBorders>
              <w:top w:val="nil"/>
              <w:bottom w:val="nil"/>
            </w:tcBorders>
            <w:shd w:val="clear" w:color="auto" w:fill="auto"/>
          </w:tcPr>
          <w:p w14:paraId="58EA5633" w14:textId="77777777" w:rsidR="0069322D" w:rsidRPr="001A0386" w:rsidRDefault="0069322D" w:rsidP="000B4BD9">
            <w:pPr>
              <w:spacing w:before="30" w:after="30"/>
              <w:ind w:left="57"/>
              <w:jc w:val="left"/>
              <w:rPr>
                <w:b/>
                <w:bCs/>
                <w:sz w:val="20"/>
                <w:lang w:val="en-US"/>
              </w:rPr>
            </w:pPr>
            <w:r w:rsidRPr="001A0386">
              <w:rPr>
                <w:b/>
                <w:bCs/>
                <w:sz w:val="20"/>
                <w:lang w:val="en-US"/>
              </w:rPr>
              <w:t>BT</w:t>
            </w:r>
          </w:p>
        </w:tc>
        <w:tc>
          <w:tcPr>
            <w:tcW w:w="8220" w:type="dxa"/>
            <w:tcBorders>
              <w:top w:val="nil"/>
              <w:bottom w:val="nil"/>
            </w:tcBorders>
            <w:shd w:val="clear" w:color="auto" w:fill="auto"/>
          </w:tcPr>
          <w:p w14:paraId="30F9B865" w14:textId="77777777" w:rsidR="0069322D" w:rsidRPr="001A0386"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1A0386">
              <w:rPr>
                <w:b w:val="0"/>
                <w:bCs/>
                <w:sz w:val="20"/>
              </w:rPr>
              <w:t>Servicio de radiodifusión (televisión)</w:t>
            </w:r>
          </w:p>
        </w:tc>
      </w:tr>
      <w:tr w:rsidR="008B56B2" w:rsidRPr="008B56B2" w14:paraId="427452E2" w14:textId="77777777" w:rsidTr="008B56B2">
        <w:tc>
          <w:tcPr>
            <w:tcW w:w="1140" w:type="dxa"/>
            <w:tcBorders>
              <w:top w:val="nil"/>
              <w:bottom w:val="nil"/>
            </w:tcBorders>
            <w:shd w:val="clear" w:color="auto" w:fill="FFFFFF" w:themeFill="background1"/>
          </w:tcPr>
          <w:p w14:paraId="3588EC79" w14:textId="77777777" w:rsidR="0069322D" w:rsidRPr="008B56B2" w:rsidRDefault="0069322D" w:rsidP="000B4BD9">
            <w:pPr>
              <w:spacing w:before="30" w:after="30"/>
              <w:ind w:left="57"/>
              <w:jc w:val="left"/>
              <w:rPr>
                <w:b/>
                <w:bCs/>
                <w:sz w:val="20"/>
                <w:lang w:val="fr-CH"/>
              </w:rPr>
            </w:pPr>
            <w:r w:rsidRPr="008B56B2">
              <w:rPr>
                <w:b/>
                <w:bCs/>
                <w:sz w:val="20"/>
                <w:lang w:val="fr-CH"/>
              </w:rPr>
              <w:t>F</w:t>
            </w:r>
          </w:p>
        </w:tc>
        <w:tc>
          <w:tcPr>
            <w:tcW w:w="8220" w:type="dxa"/>
            <w:tcBorders>
              <w:top w:val="nil"/>
              <w:bottom w:val="nil"/>
            </w:tcBorders>
            <w:shd w:val="clear" w:color="auto" w:fill="FFFFFF" w:themeFill="background1"/>
          </w:tcPr>
          <w:p w14:paraId="60E4BEB0" w14:textId="77777777" w:rsidR="0069322D" w:rsidRPr="008B56B2"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8B56B2">
              <w:rPr>
                <w:sz w:val="20"/>
              </w:rPr>
              <w:t>Servicio fijo</w:t>
            </w:r>
          </w:p>
        </w:tc>
      </w:tr>
      <w:tr w:rsidR="0069322D" w:rsidRPr="004170F5" w14:paraId="224ED632" w14:textId="77777777" w:rsidTr="008B56B2">
        <w:tc>
          <w:tcPr>
            <w:tcW w:w="1140" w:type="dxa"/>
            <w:tcBorders>
              <w:top w:val="nil"/>
              <w:bottom w:val="nil"/>
            </w:tcBorders>
            <w:shd w:val="clear" w:color="auto" w:fill="auto"/>
          </w:tcPr>
          <w:p w14:paraId="039C85FE" w14:textId="77777777" w:rsidR="0069322D" w:rsidRPr="0010336F" w:rsidRDefault="0069322D" w:rsidP="000B4BD9">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26CD053E" w14:textId="77777777" w:rsidR="0069322D" w:rsidRPr="0010336F"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69322D" w:rsidRPr="004170F5" w14:paraId="6D0D5A10" w14:textId="77777777" w:rsidTr="0069322D">
        <w:tc>
          <w:tcPr>
            <w:tcW w:w="1140" w:type="dxa"/>
            <w:tcBorders>
              <w:top w:val="nil"/>
              <w:bottom w:val="nil"/>
            </w:tcBorders>
            <w:shd w:val="clear" w:color="auto" w:fill="auto"/>
          </w:tcPr>
          <w:p w14:paraId="457BF842" w14:textId="77777777" w:rsidR="0069322D" w:rsidRPr="00F95576" w:rsidRDefault="0069322D" w:rsidP="000B4BD9">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14:paraId="3FEFC961" w14:textId="77777777" w:rsidR="0069322D" w:rsidRPr="00F95576" w:rsidRDefault="0069322D" w:rsidP="000B4BD9">
            <w:pPr>
              <w:spacing w:before="30" w:after="30"/>
              <w:jc w:val="left"/>
              <w:rPr>
                <w:sz w:val="20"/>
                <w:lang w:val="es-ES_tradnl"/>
              </w:rPr>
            </w:pPr>
            <w:r w:rsidRPr="00F95576">
              <w:rPr>
                <w:sz w:val="20"/>
                <w:lang w:val="es-ES_tradnl"/>
              </w:rPr>
              <w:t>Propagación de las ondas radioeléctricas</w:t>
            </w:r>
          </w:p>
        </w:tc>
      </w:tr>
      <w:tr w:rsidR="0069322D" w:rsidRPr="00DE71F7" w14:paraId="40802DF2" w14:textId="77777777" w:rsidTr="0069322D">
        <w:tc>
          <w:tcPr>
            <w:tcW w:w="1140" w:type="dxa"/>
            <w:tcBorders>
              <w:top w:val="nil"/>
              <w:bottom w:val="nil"/>
            </w:tcBorders>
            <w:shd w:val="clear" w:color="auto" w:fill="auto"/>
          </w:tcPr>
          <w:p w14:paraId="3445111F" w14:textId="77777777" w:rsidR="0069322D" w:rsidRPr="00DE71F7" w:rsidRDefault="0069322D" w:rsidP="000B4BD9">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14:paraId="58AEAF19" w14:textId="77777777" w:rsidR="0069322D" w:rsidRPr="00DE71F7"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69322D" w:rsidRPr="004170F5" w14:paraId="578EECAF" w14:textId="77777777" w:rsidTr="00023F32">
        <w:tc>
          <w:tcPr>
            <w:tcW w:w="1140" w:type="dxa"/>
            <w:tcBorders>
              <w:top w:val="nil"/>
              <w:bottom w:val="nil"/>
            </w:tcBorders>
            <w:shd w:val="clear" w:color="auto" w:fill="auto"/>
          </w:tcPr>
          <w:p w14:paraId="106F6AEB" w14:textId="77777777" w:rsidR="0069322D" w:rsidRPr="00D12388" w:rsidRDefault="0069322D" w:rsidP="000B4BD9">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14:paraId="1D657039" w14:textId="77777777" w:rsidR="0069322D" w:rsidRPr="00D12388" w:rsidRDefault="0069322D" w:rsidP="000B4BD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023F32" w:rsidRPr="00023F32" w14:paraId="78D35676" w14:textId="77777777" w:rsidTr="001A0386">
        <w:tc>
          <w:tcPr>
            <w:tcW w:w="1140" w:type="dxa"/>
            <w:tcBorders>
              <w:top w:val="nil"/>
              <w:bottom w:val="nil"/>
            </w:tcBorders>
            <w:shd w:val="clear" w:color="auto" w:fill="FFFFFF" w:themeFill="background1"/>
          </w:tcPr>
          <w:p w14:paraId="211AD556" w14:textId="77777777" w:rsidR="0069322D" w:rsidRPr="00C35FA9" w:rsidRDefault="0069322D" w:rsidP="000B4BD9">
            <w:pPr>
              <w:spacing w:before="30" w:after="30"/>
              <w:ind w:left="57"/>
              <w:jc w:val="left"/>
              <w:rPr>
                <w:b/>
                <w:bCs/>
                <w:sz w:val="20"/>
                <w:lang w:val="en-US"/>
              </w:rPr>
            </w:pPr>
            <w:r w:rsidRPr="00C35FA9">
              <w:rPr>
                <w:b/>
                <w:bCs/>
                <w:sz w:val="20"/>
                <w:lang w:val="en-US"/>
              </w:rPr>
              <w:t>S</w:t>
            </w:r>
          </w:p>
        </w:tc>
        <w:tc>
          <w:tcPr>
            <w:tcW w:w="8220" w:type="dxa"/>
            <w:tcBorders>
              <w:top w:val="nil"/>
              <w:bottom w:val="nil"/>
            </w:tcBorders>
            <w:shd w:val="clear" w:color="auto" w:fill="FFFFFF" w:themeFill="background1"/>
          </w:tcPr>
          <w:p w14:paraId="1D76FCF7" w14:textId="77777777" w:rsidR="0069322D" w:rsidRPr="00C35FA9" w:rsidRDefault="0069322D" w:rsidP="000B4BD9">
            <w:pPr>
              <w:spacing w:before="30" w:after="30"/>
              <w:jc w:val="left"/>
              <w:rPr>
                <w:sz w:val="20"/>
                <w:lang w:val="en-US"/>
              </w:rPr>
            </w:pPr>
            <w:r w:rsidRPr="00C35FA9">
              <w:rPr>
                <w:sz w:val="20"/>
              </w:rPr>
              <w:t>Servicio fijo por satélite</w:t>
            </w:r>
          </w:p>
        </w:tc>
      </w:tr>
      <w:tr w:rsidR="00023F32" w:rsidRPr="00023F32" w14:paraId="6F1D579D" w14:textId="77777777" w:rsidTr="00023F32">
        <w:tc>
          <w:tcPr>
            <w:tcW w:w="1140" w:type="dxa"/>
            <w:tcBorders>
              <w:top w:val="nil"/>
              <w:bottom w:val="nil"/>
            </w:tcBorders>
            <w:shd w:val="clear" w:color="auto" w:fill="FFFFFF" w:themeFill="background1"/>
          </w:tcPr>
          <w:p w14:paraId="5EA8D8B0" w14:textId="77777777" w:rsidR="0069322D" w:rsidRPr="00023F32" w:rsidRDefault="0069322D" w:rsidP="000B4BD9">
            <w:pPr>
              <w:spacing w:before="30" w:after="30"/>
              <w:ind w:left="57"/>
              <w:jc w:val="left"/>
              <w:rPr>
                <w:b/>
                <w:bCs/>
                <w:sz w:val="20"/>
                <w:lang w:val="en-US"/>
              </w:rPr>
            </w:pPr>
            <w:r w:rsidRPr="00023F32">
              <w:rPr>
                <w:b/>
                <w:bCs/>
                <w:sz w:val="20"/>
                <w:lang w:val="en-US"/>
              </w:rPr>
              <w:t>SA</w:t>
            </w:r>
          </w:p>
        </w:tc>
        <w:tc>
          <w:tcPr>
            <w:tcW w:w="8220" w:type="dxa"/>
            <w:tcBorders>
              <w:top w:val="nil"/>
              <w:bottom w:val="nil"/>
            </w:tcBorders>
            <w:shd w:val="clear" w:color="auto" w:fill="FFFFFF" w:themeFill="background1"/>
          </w:tcPr>
          <w:p w14:paraId="0E8DC077" w14:textId="77777777" w:rsidR="0069322D" w:rsidRPr="00023F32" w:rsidRDefault="0069322D" w:rsidP="000B4BD9">
            <w:pPr>
              <w:spacing w:before="30" w:after="30"/>
              <w:jc w:val="left"/>
              <w:rPr>
                <w:sz w:val="20"/>
                <w:lang w:val="en-US"/>
              </w:rPr>
            </w:pPr>
            <w:r w:rsidRPr="00023F32">
              <w:rPr>
                <w:sz w:val="20"/>
              </w:rPr>
              <w:t>Aplicaciones espaciales y meteorología</w:t>
            </w:r>
          </w:p>
        </w:tc>
      </w:tr>
      <w:tr w:rsidR="0069322D" w:rsidRPr="004170F5" w14:paraId="5C11475B" w14:textId="77777777" w:rsidTr="0069322D">
        <w:tc>
          <w:tcPr>
            <w:tcW w:w="1140" w:type="dxa"/>
            <w:tcBorders>
              <w:top w:val="nil"/>
            </w:tcBorders>
          </w:tcPr>
          <w:p w14:paraId="53B71FB0" w14:textId="77777777" w:rsidR="0069322D" w:rsidRPr="00036EE3" w:rsidRDefault="0069322D" w:rsidP="000B4BD9">
            <w:pPr>
              <w:spacing w:before="30" w:after="30"/>
              <w:ind w:left="57"/>
              <w:jc w:val="left"/>
              <w:rPr>
                <w:b/>
                <w:bCs/>
                <w:sz w:val="20"/>
                <w:lang w:val="en-US"/>
              </w:rPr>
            </w:pPr>
            <w:r w:rsidRPr="00036EE3">
              <w:rPr>
                <w:b/>
                <w:bCs/>
                <w:sz w:val="20"/>
                <w:lang w:val="en-US"/>
              </w:rPr>
              <w:t>SF</w:t>
            </w:r>
          </w:p>
        </w:tc>
        <w:tc>
          <w:tcPr>
            <w:tcW w:w="8220" w:type="dxa"/>
            <w:tcBorders>
              <w:top w:val="nil"/>
            </w:tcBorders>
          </w:tcPr>
          <w:p w14:paraId="3347944E" w14:textId="77777777" w:rsidR="0069322D" w:rsidRPr="00021E8A" w:rsidRDefault="0069322D" w:rsidP="000B4BD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9322D" w:rsidRPr="00036EE3" w14:paraId="068D6808" w14:textId="77777777" w:rsidTr="0069322D">
        <w:tc>
          <w:tcPr>
            <w:tcW w:w="1140" w:type="dxa"/>
            <w:shd w:val="clear" w:color="auto" w:fill="auto"/>
          </w:tcPr>
          <w:p w14:paraId="1DEB51CA" w14:textId="77777777" w:rsidR="0069322D" w:rsidRPr="001240BC" w:rsidRDefault="0069322D" w:rsidP="000B4BD9">
            <w:pPr>
              <w:spacing w:before="30" w:after="30"/>
              <w:ind w:left="57"/>
              <w:jc w:val="left"/>
              <w:rPr>
                <w:b/>
                <w:bCs/>
                <w:sz w:val="20"/>
                <w:lang w:val="en-US"/>
              </w:rPr>
            </w:pPr>
            <w:r w:rsidRPr="001240BC">
              <w:rPr>
                <w:b/>
                <w:bCs/>
                <w:sz w:val="20"/>
                <w:lang w:val="en-US"/>
              </w:rPr>
              <w:t>SM</w:t>
            </w:r>
          </w:p>
        </w:tc>
        <w:tc>
          <w:tcPr>
            <w:tcW w:w="8220" w:type="dxa"/>
            <w:shd w:val="clear" w:color="auto" w:fill="auto"/>
          </w:tcPr>
          <w:p w14:paraId="67AD8327" w14:textId="77777777" w:rsidR="0069322D" w:rsidRPr="001240BC" w:rsidRDefault="0069322D" w:rsidP="000B4BD9">
            <w:pPr>
              <w:spacing w:before="30" w:after="30"/>
              <w:jc w:val="left"/>
              <w:rPr>
                <w:sz w:val="20"/>
                <w:lang w:val="en-US"/>
              </w:rPr>
            </w:pPr>
            <w:r w:rsidRPr="001240BC">
              <w:rPr>
                <w:sz w:val="20"/>
              </w:rPr>
              <w:t>Gestión del espectro</w:t>
            </w:r>
          </w:p>
        </w:tc>
      </w:tr>
      <w:tr w:rsidR="0069322D" w:rsidRPr="00036EE3" w14:paraId="7208ECA8" w14:textId="77777777" w:rsidTr="0069322D">
        <w:tc>
          <w:tcPr>
            <w:tcW w:w="1140" w:type="dxa"/>
          </w:tcPr>
          <w:p w14:paraId="79DCADDB" w14:textId="77777777" w:rsidR="0069322D" w:rsidRPr="00036EE3" w:rsidRDefault="0069322D" w:rsidP="000B4BD9">
            <w:pPr>
              <w:spacing w:before="30" w:after="30"/>
              <w:ind w:left="57"/>
              <w:jc w:val="left"/>
              <w:rPr>
                <w:b/>
                <w:bCs/>
                <w:sz w:val="20"/>
                <w:lang w:val="en-US"/>
              </w:rPr>
            </w:pPr>
            <w:r w:rsidRPr="00036EE3">
              <w:rPr>
                <w:b/>
                <w:bCs/>
                <w:sz w:val="20"/>
                <w:lang w:val="en-US"/>
              </w:rPr>
              <w:t>SNG</w:t>
            </w:r>
          </w:p>
        </w:tc>
        <w:tc>
          <w:tcPr>
            <w:tcW w:w="8220" w:type="dxa"/>
          </w:tcPr>
          <w:p w14:paraId="2206982E" w14:textId="77777777" w:rsidR="0069322D" w:rsidRPr="00021E8A" w:rsidRDefault="0069322D" w:rsidP="000B4BD9">
            <w:pPr>
              <w:spacing w:before="30" w:after="30"/>
              <w:jc w:val="left"/>
              <w:rPr>
                <w:bCs/>
                <w:sz w:val="20"/>
                <w:lang w:val="en-US"/>
              </w:rPr>
            </w:pPr>
            <w:r w:rsidRPr="00021E8A">
              <w:rPr>
                <w:bCs/>
                <w:sz w:val="20"/>
              </w:rPr>
              <w:t>Periodismo electrónico por satélite</w:t>
            </w:r>
          </w:p>
        </w:tc>
      </w:tr>
      <w:tr w:rsidR="0069322D" w:rsidRPr="004170F5" w14:paraId="2FDB9955" w14:textId="77777777" w:rsidTr="0069322D">
        <w:tc>
          <w:tcPr>
            <w:tcW w:w="1140" w:type="dxa"/>
          </w:tcPr>
          <w:p w14:paraId="5B6BE1F7" w14:textId="77777777" w:rsidR="0069322D" w:rsidRPr="00036EE3" w:rsidRDefault="0069322D" w:rsidP="000B4BD9">
            <w:pPr>
              <w:spacing w:before="30" w:after="30"/>
              <w:ind w:left="57"/>
              <w:jc w:val="left"/>
              <w:rPr>
                <w:b/>
                <w:bCs/>
                <w:sz w:val="20"/>
                <w:lang w:val="en-US"/>
              </w:rPr>
            </w:pPr>
            <w:r w:rsidRPr="00036EE3">
              <w:rPr>
                <w:b/>
                <w:bCs/>
                <w:sz w:val="20"/>
                <w:lang w:val="en-US"/>
              </w:rPr>
              <w:t>TF</w:t>
            </w:r>
          </w:p>
        </w:tc>
        <w:tc>
          <w:tcPr>
            <w:tcW w:w="8220" w:type="dxa"/>
          </w:tcPr>
          <w:p w14:paraId="54C8A12A" w14:textId="77777777" w:rsidR="0069322D" w:rsidRPr="00021E8A" w:rsidRDefault="0069322D" w:rsidP="000B4BD9">
            <w:pPr>
              <w:spacing w:before="30" w:after="30"/>
              <w:jc w:val="left"/>
              <w:rPr>
                <w:bCs/>
                <w:sz w:val="20"/>
                <w:lang w:val="es-ES_tradnl"/>
              </w:rPr>
            </w:pPr>
            <w:r w:rsidRPr="00021E8A">
              <w:rPr>
                <w:bCs/>
                <w:sz w:val="20"/>
                <w:lang w:val="es-ES_tradnl"/>
              </w:rPr>
              <w:t>Emisiones de frecuencias patrón y señales horarias</w:t>
            </w:r>
          </w:p>
        </w:tc>
      </w:tr>
      <w:tr w:rsidR="0069322D" w:rsidRPr="00036EE3" w14:paraId="20D5465E" w14:textId="77777777" w:rsidTr="0069322D">
        <w:tc>
          <w:tcPr>
            <w:tcW w:w="1140" w:type="dxa"/>
          </w:tcPr>
          <w:p w14:paraId="169619E3" w14:textId="77777777" w:rsidR="0069322D" w:rsidRPr="00036EE3" w:rsidRDefault="0069322D" w:rsidP="000B4BD9">
            <w:pPr>
              <w:spacing w:before="30" w:after="30"/>
              <w:ind w:left="57"/>
              <w:jc w:val="left"/>
              <w:rPr>
                <w:b/>
                <w:bCs/>
                <w:sz w:val="20"/>
                <w:lang w:val="en-US"/>
              </w:rPr>
            </w:pPr>
            <w:r w:rsidRPr="00036EE3">
              <w:rPr>
                <w:b/>
                <w:bCs/>
                <w:sz w:val="20"/>
                <w:lang w:val="en-US"/>
              </w:rPr>
              <w:t>V</w:t>
            </w:r>
          </w:p>
        </w:tc>
        <w:tc>
          <w:tcPr>
            <w:tcW w:w="8220" w:type="dxa"/>
          </w:tcPr>
          <w:p w14:paraId="176BE24C" w14:textId="77777777" w:rsidR="0069322D" w:rsidRPr="00021E8A" w:rsidRDefault="0069322D" w:rsidP="000B4BD9">
            <w:pPr>
              <w:spacing w:before="30" w:after="140"/>
              <w:jc w:val="left"/>
              <w:rPr>
                <w:bCs/>
                <w:sz w:val="20"/>
                <w:lang w:val="en-US"/>
              </w:rPr>
            </w:pPr>
            <w:r w:rsidRPr="00021E8A">
              <w:rPr>
                <w:bCs/>
                <w:sz w:val="20"/>
              </w:rPr>
              <w:t>Vocabulario y cuestiones afines</w:t>
            </w:r>
          </w:p>
        </w:tc>
      </w:tr>
    </w:tbl>
    <w:p w14:paraId="30F945F0" w14:textId="77777777" w:rsidR="0069322D" w:rsidRPr="00036EE3" w:rsidRDefault="0069322D" w:rsidP="0069322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9322D" w14:paraId="2E7B5A9E" w14:textId="77777777" w:rsidTr="000B4BD9">
        <w:tc>
          <w:tcPr>
            <w:tcW w:w="720" w:type="dxa"/>
          </w:tcPr>
          <w:p w14:paraId="65FCCE18" w14:textId="77777777" w:rsidR="0069322D" w:rsidRDefault="0069322D" w:rsidP="000B4BD9">
            <w:pPr>
              <w:spacing w:before="0"/>
              <w:jc w:val="center"/>
              <w:rPr>
                <w:sz w:val="22"/>
                <w:lang w:val="en-US"/>
              </w:rPr>
            </w:pPr>
          </w:p>
        </w:tc>
      </w:tr>
    </w:tbl>
    <w:tbl>
      <w:tblPr>
        <w:tblStyle w:val="TableGrid"/>
        <w:tblW w:w="5000" w:type="pct"/>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09"/>
      </w:tblGrid>
      <w:tr w:rsidR="0069322D" w:rsidRPr="004170F5" w14:paraId="172CC7CE" w14:textId="77777777" w:rsidTr="00B96572">
        <w:tc>
          <w:tcPr>
            <w:tcW w:w="9360" w:type="dxa"/>
          </w:tcPr>
          <w:p w14:paraId="4D502874" w14:textId="77777777" w:rsidR="0069322D" w:rsidRPr="00F111D6" w:rsidRDefault="0069322D" w:rsidP="00B96572">
            <w:pPr>
              <w:spacing w:before="92" w:after="92"/>
              <w:rPr>
                <w:rFonts w:ascii="Times New Roman" w:hAnsi="Times New Roman" w:cs="Times New Roman"/>
                <w:i/>
                <w:iCs/>
                <w:sz w:val="20"/>
                <w:lang w:val="es-ES_tradnl"/>
              </w:rPr>
            </w:pPr>
            <w:r w:rsidRPr="00F111D6">
              <w:rPr>
                <w:rFonts w:ascii="Times New Roman" w:hAnsi="Times New Roman" w:cs="Times New Roman"/>
                <w:b/>
                <w:bCs/>
                <w:i/>
                <w:iCs/>
                <w:sz w:val="20"/>
                <w:lang w:val="es-ES_tradnl"/>
              </w:rPr>
              <w:t>Nota</w:t>
            </w:r>
            <w:r w:rsidRPr="00F111D6">
              <w:rPr>
                <w:rFonts w:ascii="Times New Roman" w:hAnsi="Times New Roman" w:cs="Times New Roman"/>
                <w:i/>
                <w:iCs/>
                <w:sz w:val="20"/>
                <w:lang w:val="es-ES_tradnl"/>
              </w:rPr>
              <w:t>: Esta Recomendación UIT-R fue aprobada en inglés conforme al procedimiento detallado en la Resolución UIT</w:t>
            </w:r>
            <w:r w:rsidR="00B96572" w:rsidRPr="00F111D6">
              <w:rPr>
                <w:rFonts w:ascii="Times New Roman" w:hAnsi="Times New Roman" w:cs="Times New Roman"/>
                <w:i/>
                <w:iCs/>
                <w:sz w:val="20"/>
                <w:lang w:val="es-ES_tradnl"/>
              </w:rPr>
              <w:noBreakHyphen/>
            </w:r>
            <w:r w:rsidRPr="00F111D6">
              <w:rPr>
                <w:rFonts w:ascii="Times New Roman" w:hAnsi="Times New Roman" w:cs="Times New Roman"/>
                <w:i/>
                <w:iCs/>
                <w:sz w:val="20"/>
                <w:lang w:val="es-ES_tradnl"/>
              </w:rPr>
              <w:t>R</w:t>
            </w:r>
            <w:r w:rsidR="00B96572" w:rsidRPr="00F111D6">
              <w:rPr>
                <w:rFonts w:ascii="Times New Roman" w:hAnsi="Times New Roman" w:cs="Times New Roman"/>
                <w:i/>
                <w:iCs/>
                <w:sz w:val="20"/>
                <w:lang w:val="es-ES_tradnl"/>
              </w:rPr>
              <w:t> </w:t>
            </w:r>
            <w:r w:rsidRPr="00F111D6">
              <w:rPr>
                <w:rFonts w:ascii="Times New Roman" w:hAnsi="Times New Roman" w:cs="Times New Roman"/>
                <w:i/>
                <w:iCs/>
                <w:sz w:val="20"/>
                <w:lang w:val="es-ES_tradnl"/>
              </w:rPr>
              <w:t>1.</w:t>
            </w:r>
          </w:p>
        </w:tc>
      </w:tr>
    </w:tbl>
    <w:p w14:paraId="2BF9DF43" w14:textId="77777777" w:rsidR="0069322D" w:rsidRPr="00763D08" w:rsidRDefault="0069322D" w:rsidP="0069322D">
      <w:pPr>
        <w:spacing w:before="0"/>
        <w:jc w:val="center"/>
        <w:rPr>
          <w:sz w:val="22"/>
          <w:lang w:val="es-ES_tradnl"/>
        </w:rPr>
      </w:pPr>
    </w:p>
    <w:p w14:paraId="2BF6D460" w14:textId="77777777" w:rsidR="0069322D" w:rsidRPr="00763D08" w:rsidRDefault="0069322D" w:rsidP="0069322D">
      <w:pPr>
        <w:spacing w:before="60"/>
        <w:jc w:val="right"/>
        <w:rPr>
          <w:i/>
          <w:iCs/>
          <w:sz w:val="20"/>
          <w:lang w:val="es-ES_tradnl"/>
        </w:rPr>
      </w:pPr>
      <w:r w:rsidRPr="00763D08">
        <w:rPr>
          <w:i/>
          <w:iCs/>
          <w:sz w:val="20"/>
          <w:lang w:val="es-ES_tradnl"/>
        </w:rPr>
        <w:t>Publicación electrónica</w:t>
      </w:r>
    </w:p>
    <w:p w14:paraId="373E21D8" w14:textId="77777777" w:rsidR="0069322D" w:rsidRPr="00763D08" w:rsidRDefault="0069322D" w:rsidP="0069322D">
      <w:pPr>
        <w:spacing w:before="0" w:after="40"/>
        <w:jc w:val="right"/>
        <w:rPr>
          <w:sz w:val="20"/>
          <w:lang w:val="es-ES_tradnl"/>
        </w:rPr>
      </w:pPr>
      <w:r w:rsidRPr="00763D08">
        <w:rPr>
          <w:sz w:val="20"/>
          <w:lang w:val="es-ES_tradnl"/>
        </w:rPr>
        <w:t>Ginebra, 20</w:t>
      </w:r>
      <w:r w:rsidR="00B96572">
        <w:rPr>
          <w:sz w:val="20"/>
          <w:lang w:val="es-ES_tradnl"/>
        </w:rPr>
        <w:t>23</w:t>
      </w:r>
    </w:p>
    <w:p w14:paraId="65A5336F" w14:textId="77777777" w:rsidR="0069322D" w:rsidRPr="00763D08" w:rsidRDefault="0069322D" w:rsidP="0069322D">
      <w:pPr>
        <w:spacing w:before="0" w:after="120"/>
        <w:jc w:val="center"/>
        <w:rPr>
          <w:sz w:val="22"/>
          <w:lang w:val="es-ES_tradnl"/>
        </w:rPr>
      </w:pPr>
    </w:p>
    <w:p w14:paraId="0DB30C9C" w14:textId="77777777" w:rsidR="0069322D" w:rsidRPr="00763D08" w:rsidRDefault="0069322D" w:rsidP="0069322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2" w:name="iiannee"/>
      <w:bookmarkEnd w:id="22"/>
      <w:r w:rsidRPr="00763D08">
        <w:rPr>
          <w:sz w:val="20"/>
          <w:lang w:val="es-ES_tradnl"/>
        </w:rPr>
        <w:t>20</w:t>
      </w:r>
      <w:r w:rsidR="00B96572">
        <w:rPr>
          <w:sz w:val="20"/>
          <w:lang w:val="es-ES_tradnl"/>
        </w:rPr>
        <w:t>23</w:t>
      </w:r>
    </w:p>
    <w:p w14:paraId="28F763A3" w14:textId="77777777" w:rsidR="00D5024B" w:rsidRPr="00111E49" w:rsidRDefault="0069322D" w:rsidP="0069322D">
      <w:pPr>
        <w:rPr>
          <w:sz w:val="18"/>
          <w:szCs w:val="18"/>
          <w:lang w:val="es-ES"/>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35B62913" w14:textId="77777777" w:rsidR="007565CC" w:rsidRPr="00111E49" w:rsidRDefault="007565CC" w:rsidP="00A971A1">
      <w:pPr>
        <w:spacing w:before="160"/>
        <w:rPr>
          <w:i/>
          <w:sz w:val="20"/>
          <w:lang w:val="es-ES"/>
        </w:rPr>
        <w:sectPr w:rsidR="007565CC" w:rsidRPr="00111E49"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3AC2E90C" w14:textId="77777777" w:rsidR="0086339D" w:rsidRPr="0056409E" w:rsidRDefault="0086339D" w:rsidP="0086339D">
      <w:pPr>
        <w:pStyle w:val="RecNo"/>
        <w:spacing w:before="0"/>
        <w:rPr>
          <w:lang w:val="es-ES_tradnl"/>
        </w:rPr>
      </w:pPr>
      <w:bookmarkStart w:id="23" w:name="irecnoe"/>
      <w:bookmarkEnd w:id="23"/>
      <w:r w:rsidRPr="0056409E">
        <w:rPr>
          <w:lang w:val="es-ES_tradnl"/>
        </w:rPr>
        <w:lastRenderedPageBreak/>
        <w:t xml:space="preserve">RECOMENDACIÓN  </w:t>
      </w:r>
      <w:r w:rsidRPr="0056409E">
        <w:rPr>
          <w:rStyle w:val="href"/>
          <w:lang w:val="es-ES_tradnl"/>
        </w:rPr>
        <w:t>UIT-R  BS.1698-1</w:t>
      </w:r>
    </w:p>
    <w:p w14:paraId="62733D7C" w14:textId="593862F7" w:rsidR="0086339D" w:rsidRPr="0056409E" w:rsidRDefault="0086339D" w:rsidP="0086339D">
      <w:pPr>
        <w:pStyle w:val="Rectitle"/>
        <w:rPr>
          <w:lang w:val="es-ES_tradnl"/>
        </w:rPr>
      </w:pPr>
      <w:r w:rsidRPr="0056409E">
        <w:rPr>
          <w:bCs/>
          <w:lang w:val="es-ES_tradnl"/>
        </w:rPr>
        <w:t>Evaluación de los campos electromagnéticos de los sistemas transmisores de radiodifusión terrenal para evaluar la exposición de</w:t>
      </w:r>
      <w:r w:rsidR="00CA30A4">
        <w:rPr>
          <w:bCs/>
          <w:lang w:val="es-ES_tradnl"/>
        </w:rPr>
        <w:br/>
      </w:r>
      <w:r w:rsidRPr="0056409E">
        <w:rPr>
          <w:bCs/>
          <w:lang w:val="es-ES_tradnl"/>
        </w:rPr>
        <w:t>las personas a las emisiones no ionizantes</w:t>
      </w:r>
      <w:r w:rsidR="0006489C">
        <w:rPr>
          <w:rStyle w:val="FootnoteReference"/>
          <w:bCs/>
          <w:lang w:val="es-ES_tradnl"/>
        </w:rPr>
        <w:footnoteReference w:id="1"/>
      </w:r>
    </w:p>
    <w:p w14:paraId="7A0AACDD" w14:textId="77777777" w:rsidR="0086339D" w:rsidRPr="0056409E" w:rsidRDefault="0086339D" w:rsidP="0086339D">
      <w:pPr>
        <w:pStyle w:val="Recdate"/>
        <w:rPr>
          <w:lang w:val="es-ES_tradnl"/>
        </w:rPr>
      </w:pPr>
      <w:r w:rsidRPr="0056409E">
        <w:rPr>
          <w:lang w:val="es-ES_tradnl"/>
        </w:rPr>
        <w:t>(2005-2023)</w:t>
      </w:r>
    </w:p>
    <w:p w14:paraId="06968CEE" w14:textId="72CEB04F" w:rsidR="0086339D" w:rsidRPr="0056409E" w:rsidRDefault="00111E49" w:rsidP="0086339D">
      <w:pPr>
        <w:pStyle w:val="HeadingSum"/>
        <w:rPr>
          <w:lang w:bidi="he-IL"/>
        </w:rPr>
      </w:pPr>
      <w:r>
        <w:t>Cometido</w:t>
      </w:r>
    </w:p>
    <w:p w14:paraId="58A936A3" w14:textId="77777777" w:rsidR="0086339D" w:rsidRPr="00CA30A4" w:rsidRDefault="0086339D" w:rsidP="00CA30A4">
      <w:pPr>
        <w:pStyle w:val="Summary"/>
      </w:pPr>
      <w:r w:rsidRPr="00CA30A4">
        <w:t>El objetivo de la presente Recomendación es sentar las bases necesarias para la derivación y estimación de los valores relativos a los campos electromagnéticos (CEM) de una estación de radiodifusión que se producen a distancias particulares del emplazamiento transmisor. A partir de dicha información, las organizaciones responsables pueden desarrollar métodos adecuados de evaluación de los niveles correspondientes, que pueden utilizarse para proteger a las personas expuestas a los campos electromagnéticos. Los niveles reales que se apliquen en cualquier normativa dependerán, naturalmente, de las decisiones adoptadas por las instituciones sanitarias responsables, a nivel nacional y mundial.</w:t>
      </w:r>
    </w:p>
    <w:p w14:paraId="6EA2038C" w14:textId="77777777" w:rsidR="0086339D" w:rsidRPr="0056409E" w:rsidRDefault="0086339D" w:rsidP="0086339D">
      <w:pPr>
        <w:pStyle w:val="Headingb"/>
        <w:rPr>
          <w:rFonts w:eastAsia="SimSun"/>
          <w:lang w:val="es-ES_tradnl"/>
        </w:rPr>
      </w:pPr>
      <w:r w:rsidRPr="0056409E">
        <w:rPr>
          <w:rFonts w:eastAsia="SimSun"/>
          <w:lang w:val="es-ES_tradnl"/>
        </w:rPr>
        <w:t>Palabras clave</w:t>
      </w:r>
    </w:p>
    <w:p w14:paraId="586F071F" w14:textId="2E164DFB" w:rsidR="0086339D" w:rsidRPr="0056409E" w:rsidRDefault="007E724C" w:rsidP="0086339D">
      <w:pPr>
        <w:rPr>
          <w:lang w:val="es-ES_tradnl"/>
        </w:rPr>
      </w:pPr>
      <w:r>
        <w:rPr>
          <w:lang w:val="es-ES_tradnl"/>
        </w:rPr>
        <w:t>A</w:t>
      </w:r>
      <w:r w:rsidRPr="0056409E">
        <w:rPr>
          <w:lang w:val="es-ES_tradnl"/>
        </w:rPr>
        <w:t xml:space="preserve">nálisis de la exposición, CEM-RF, evaluación de la exposición, </w:t>
      </w:r>
      <w:r>
        <w:rPr>
          <w:lang w:val="es-ES_tradnl"/>
        </w:rPr>
        <w:t>l</w:t>
      </w:r>
      <w:r w:rsidR="0086339D" w:rsidRPr="0056409E">
        <w:rPr>
          <w:lang w:val="es-ES_tradnl"/>
        </w:rPr>
        <w:t>ímites de exposición, sistemas transmisores de radiodifusión terrenal</w:t>
      </w:r>
    </w:p>
    <w:p w14:paraId="36711471" w14:textId="77777777" w:rsidR="0086339D" w:rsidRPr="0056409E" w:rsidRDefault="0086339D" w:rsidP="0086339D">
      <w:pPr>
        <w:pStyle w:val="Headingb"/>
        <w:rPr>
          <w:rFonts w:eastAsia="SimSun"/>
          <w:lang w:val="es-ES_tradnl"/>
        </w:rPr>
      </w:pPr>
      <w:r w:rsidRPr="0056409E">
        <w:rPr>
          <w:rFonts w:eastAsia="SimSun"/>
          <w:lang w:val="es-ES_tradnl"/>
        </w:rPr>
        <w:t>Abreviaturas/Glosario</w:t>
      </w:r>
    </w:p>
    <w:p w14:paraId="13FA5687" w14:textId="77777777" w:rsidR="007E724C" w:rsidRPr="0056409E" w:rsidRDefault="007E724C" w:rsidP="0086339D">
      <w:pPr>
        <w:tabs>
          <w:tab w:val="clear" w:pos="794"/>
          <w:tab w:val="clear" w:pos="1191"/>
        </w:tabs>
        <w:ind w:left="1588" w:hanging="1588"/>
        <w:rPr>
          <w:lang w:val="es-ES_tradnl" w:eastAsia="ru-RU"/>
        </w:rPr>
      </w:pPr>
      <w:r w:rsidRPr="0056409E">
        <w:rPr>
          <w:lang w:val="es-ES_tradnl" w:eastAsia="ru-RU"/>
        </w:rPr>
        <w:t>CEM:</w:t>
      </w:r>
      <w:r w:rsidRPr="0056409E">
        <w:rPr>
          <w:lang w:val="es-ES_tradnl" w:eastAsia="ru-RU"/>
        </w:rPr>
        <w:tab/>
        <w:t>Campos electromagnéticos</w:t>
      </w:r>
    </w:p>
    <w:p w14:paraId="05D63776" w14:textId="77777777" w:rsidR="007E724C" w:rsidRPr="0056409E" w:rsidRDefault="007E724C" w:rsidP="0086339D">
      <w:pPr>
        <w:tabs>
          <w:tab w:val="clear" w:pos="794"/>
          <w:tab w:val="clear" w:pos="1191"/>
        </w:tabs>
        <w:ind w:left="1588" w:hanging="1588"/>
        <w:rPr>
          <w:lang w:val="es-ES_tradnl" w:eastAsia="ru-RU"/>
        </w:rPr>
      </w:pPr>
      <w:r w:rsidRPr="0056409E">
        <w:rPr>
          <w:lang w:val="es-ES_tradnl" w:eastAsia="ru-RU"/>
        </w:rPr>
        <w:t xml:space="preserve">HF: </w:t>
      </w:r>
      <w:r w:rsidRPr="0056409E">
        <w:rPr>
          <w:lang w:val="es-ES_tradnl" w:eastAsia="ru-RU"/>
        </w:rPr>
        <w:tab/>
        <w:t>Ondas decamétricas (también conocidas como ondas cortas)</w:t>
      </w:r>
    </w:p>
    <w:p w14:paraId="061A691C" w14:textId="77777777" w:rsidR="007E724C" w:rsidRPr="0056409E" w:rsidRDefault="007E724C" w:rsidP="0086339D">
      <w:pPr>
        <w:tabs>
          <w:tab w:val="clear" w:pos="794"/>
          <w:tab w:val="clear" w:pos="1191"/>
        </w:tabs>
        <w:ind w:left="1588" w:hanging="1588"/>
        <w:rPr>
          <w:lang w:val="es-ES_tradnl" w:eastAsia="ru-RU"/>
        </w:rPr>
      </w:pPr>
      <w:bookmarkStart w:id="24" w:name="_Hlk111249865"/>
      <w:r w:rsidRPr="0056409E">
        <w:rPr>
          <w:lang w:val="es-ES_tradnl" w:eastAsia="ru-RU"/>
        </w:rPr>
        <w:t>HR, HRS:</w:t>
      </w:r>
      <w:r w:rsidRPr="0056409E">
        <w:rPr>
          <w:lang w:val="es-ES_tradnl" w:eastAsia="ru-RU"/>
        </w:rPr>
        <w:tab/>
        <w:t xml:space="preserve">Antenas de cortina en ondas decamétricas; </w:t>
      </w:r>
      <w:bookmarkEnd w:id="24"/>
      <w:r w:rsidRPr="0056409E">
        <w:rPr>
          <w:lang w:val="es-ES_tradnl" w:eastAsia="ru-RU"/>
        </w:rPr>
        <w:t>altura (H), filas (R), orientable (S)</w:t>
      </w:r>
    </w:p>
    <w:p w14:paraId="3E3F1656" w14:textId="77777777" w:rsidR="007E724C" w:rsidRPr="0056409E" w:rsidRDefault="007E724C" w:rsidP="0086339D">
      <w:pPr>
        <w:tabs>
          <w:tab w:val="clear" w:pos="794"/>
          <w:tab w:val="clear" w:pos="1191"/>
        </w:tabs>
        <w:ind w:left="1588" w:hanging="1588"/>
        <w:rPr>
          <w:lang w:val="es-ES_tradnl" w:eastAsia="ru-RU"/>
        </w:rPr>
      </w:pPr>
      <w:r w:rsidRPr="0056409E">
        <w:rPr>
          <w:lang w:val="es-ES_tradnl" w:eastAsia="ru-RU"/>
        </w:rPr>
        <w:t xml:space="preserve">ICNIRP: </w:t>
      </w:r>
      <w:r w:rsidRPr="0056409E">
        <w:rPr>
          <w:lang w:val="es-ES_tradnl" w:eastAsia="ru-RU"/>
        </w:rPr>
        <w:tab/>
        <w:t>Comisión Internacional sobre Protección contra las Radiaciones No Ionizantes, organización no gubernamental reconocida oficialmente por la OMS</w:t>
      </w:r>
    </w:p>
    <w:p w14:paraId="1548BFCE" w14:textId="77777777" w:rsidR="007E724C" w:rsidRPr="0056409E" w:rsidRDefault="007E724C" w:rsidP="0086339D">
      <w:pPr>
        <w:tabs>
          <w:tab w:val="clear" w:pos="794"/>
          <w:tab w:val="clear" w:pos="1191"/>
        </w:tabs>
        <w:ind w:left="1588" w:hanging="1588"/>
        <w:rPr>
          <w:lang w:val="es-ES_tradnl" w:eastAsia="ru-RU"/>
        </w:rPr>
      </w:pPr>
      <w:r w:rsidRPr="0056409E">
        <w:rPr>
          <w:lang w:val="es-ES_tradnl" w:eastAsia="ru-RU"/>
        </w:rPr>
        <w:t xml:space="preserve">LF: </w:t>
      </w:r>
      <w:r w:rsidRPr="0056409E">
        <w:rPr>
          <w:lang w:val="es-ES_tradnl" w:eastAsia="ru-RU"/>
        </w:rPr>
        <w:tab/>
        <w:t>Ondas kilométricas (también conocidas como ondas largas)</w:t>
      </w:r>
    </w:p>
    <w:p w14:paraId="22F2FE28" w14:textId="77777777" w:rsidR="007E724C" w:rsidRPr="0056409E" w:rsidRDefault="007E724C" w:rsidP="0086339D">
      <w:pPr>
        <w:tabs>
          <w:tab w:val="clear" w:pos="794"/>
          <w:tab w:val="clear" w:pos="1191"/>
        </w:tabs>
        <w:ind w:left="1588" w:hanging="1588"/>
        <w:rPr>
          <w:lang w:val="es-ES_tradnl" w:eastAsia="ru-RU"/>
        </w:rPr>
      </w:pPr>
      <w:r w:rsidRPr="0056409E">
        <w:rPr>
          <w:lang w:val="es-ES_tradnl" w:eastAsia="ru-RU"/>
        </w:rPr>
        <w:t>MF:</w:t>
      </w:r>
      <w:r w:rsidRPr="0056409E">
        <w:rPr>
          <w:lang w:val="es-ES_tradnl" w:eastAsia="ru-RU"/>
        </w:rPr>
        <w:tab/>
        <w:t>Ondas hectométricas (también conocidas como ondas medias)</w:t>
      </w:r>
    </w:p>
    <w:p w14:paraId="5F0D0079" w14:textId="77777777" w:rsidR="007E724C" w:rsidRPr="0056409E" w:rsidRDefault="007E724C" w:rsidP="0086339D">
      <w:pPr>
        <w:tabs>
          <w:tab w:val="clear" w:pos="794"/>
          <w:tab w:val="clear" w:pos="1191"/>
        </w:tabs>
        <w:ind w:left="1588" w:hanging="1588"/>
        <w:rPr>
          <w:lang w:val="es-ES_tradnl" w:eastAsia="ru-RU"/>
        </w:rPr>
      </w:pPr>
      <w:r w:rsidRPr="0056409E">
        <w:rPr>
          <w:lang w:val="es-ES_tradnl" w:eastAsia="ru-RU"/>
        </w:rPr>
        <w:t>MOM:</w:t>
      </w:r>
      <w:r w:rsidRPr="0056409E">
        <w:rPr>
          <w:lang w:val="es-ES_tradnl" w:eastAsia="ru-RU"/>
        </w:rPr>
        <w:tab/>
        <w:t>Método de momentos</w:t>
      </w:r>
    </w:p>
    <w:p w14:paraId="10D807CA" w14:textId="77777777" w:rsidR="007E724C" w:rsidRPr="0056409E" w:rsidRDefault="007E724C" w:rsidP="0086339D">
      <w:pPr>
        <w:tabs>
          <w:tab w:val="clear" w:pos="794"/>
          <w:tab w:val="clear" w:pos="1191"/>
        </w:tabs>
        <w:ind w:left="1588" w:hanging="1588"/>
        <w:rPr>
          <w:lang w:val="es-ES_tradnl" w:eastAsia="ru-RU"/>
        </w:rPr>
      </w:pPr>
      <w:r w:rsidRPr="0056409E">
        <w:rPr>
          <w:lang w:val="es-ES_tradnl" w:eastAsia="ru-RU"/>
        </w:rPr>
        <w:t xml:space="preserve">PRA: </w:t>
      </w:r>
      <w:r w:rsidRPr="0056409E">
        <w:rPr>
          <w:lang w:val="es-ES_tradnl" w:eastAsia="ru-RU"/>
        </w:rPr>
        <w:tab/>
        <w:t>Potencia radiada aparente, relativa a un dipolo de media onda</w:t>
      </w:r>
    </w:p>
    <w:p w14:paraId="4AAF7E17" w14:textId="77777777" w:rsidR="007E724C" w:rsidRPr="0056409E" w:rsidRDefault="007E724C" w:rsidP="0086339D">
      <w:pPr>
        <w:tabs>
          <w:tab w:val="clear" w:pos="794"/>
          <w:tab w:val="clear" w:pos="1191"/>
        </w:tabs>
        <w:ind w:left="1588" w:hanging="1588"/>
        <w:rPr>
          <w:lang w:val="es-ES_tradnl" w:eastAsia="ru-RU"/>
        </w:rPr>
      </w:pPr>
      <w:r w:rsidRPr="0056409E">
        <w:rPr>
          <w:lang w:val="es-ES_tradnl" w:eastAsia="ru-RU"/>
        </w:rPr>
        <w:t>RF:</w:t>
      </w:r>
      <w:r w:rsidRPr="0056409E">
        <w:rPr>
          <w:lang w:val="es-ES_tradnl" w:eastAsia="ru-RU"/>
        </w:rPr>
        <w:tab/>
        <w:t>Radiofrecuencias</w:t>
      </w:r>
    </w:p>
    <w:p w14:paraId="49850A8D" w14:textId="77777777" w:rsidR="007E724C" w:rsidRPr="0056409E" w:rsidRDefault="007E724C" w:rsidP="0086339D">
      <w:pPr>
        <w:tabs>
          <w:tab w:val="clear" w:pos="794"/>
          <w:tab w:val="clear" w:pos="1191"/>
        </w:tabs>
        <w:ind w:left="1588" w:hanging="1588"/>
        <w:rPr>
          <w:lang w:val="es-ES_tradnl" w:eastAsia="ru-RU"/>
        </w:rPr>
      </w:pPr>
      <w:r w:rsidRPr="0056409E">
        <w:rPr>
          <w:lang w:val="es-ES_tradnl" w:eastAsia="ru-RU"/>
        </w:rPr>
        <w:t>RMS:</w:t>
      </w:r>
      <w:r w:rsidRPr="0056409E">
        <w:rPr>
          <w:lang w:val="es-ES_tradnl" w:eastAsia="ru-RU"/>
        </w:rPr>
        <w:tab/>
      </w:r>
      <w:r>
        <w:rPr>
          <w:lang w:val="es-ES_tradnl" w:eastAsia="ru-RU"/>
        </w:rPr>
        <w:t>Valor eficaz</w:t>
      </w:r>
    </w:p>
    <w:p w14:paraId="0FF2A708" w14:textId="77777777" w:rsidR="007E724C" w:rsidRPr="0056409E" w:rsidRDefault="007E724C" w:rsidP="0086339D">
      <w:pPr>
        <w:tabs>
          <w:tab w:val="clear" w:pos="794"/>
          <w:tab w:val="clear" w:pos="1191"/>
        </w:tabs>
        <w:ind w:left="1588" w:hanging="1588"/>
        <w:rPr>
          <w:lang w:val="es-ES_tradnl" w:eastAsia="ru-RU"/>
        </w:rPr>
      </w:pPr>
      <w:r w:rsidRPr="0056409E">
        <w:rPr>
          <w:lang w:val="es-ES_tradnl" w:eastAsia="ru-RU"/>
        </w:rPr>
        <w:t>SAR:</w:t>
      </w:r>
      <w:r w:rsidRPr="0056409E">
        <w:rPr>
          <w:lang w:val="es-ES_tradnl" w:eastAsia="ru-RU"/>
        </w:rPr>
        <w:tab/>
        <w:t>Tasa de absorción específica</w:t>
      </w:r>
    </w:p>
    <w:p w14:paraId="6AFE8F48" w14:textId="77777777" w:rsidR="007E724C" w:rsidRPr="0056409E" w:rsidRDefault="007E724C" w:rsidP="0086339D">
      <w:pPr>
        <w:tabs>
          <w:tab w:val="clear" w:pos="794"/>
          <w:tab w:val="clear" w:pos="1191"/>
        </w:tabs>
        <w:ind w:left="1588" w:hanging="1588"/>
        <w:rPr>
          <w:lang w:val="es-ES_tradnl" w:eastAsia="ru-RU"/>
        </w:rPr>
      </w:pPr>
      <w:r w:rsidRPr="0056409E">
        <w:rPr>
          <w:lang w:val="es-ES_tradnl" w:eastAsia="ru-RU"/>
        </w:rPr>
        <w:t>Z</w:t>
      </w:r>
      <w:r w:rsidRPr="0056409E">
        <w:rPr>
          <w:vertAlign w:val="subscript"/>
          <w:lang w:val="es-ES_tradnl" w:eastAsia="ru-RU"/>
        </w:rPr>
        <w:t>0</w:t>
      </w:r>
      <w:r w:rsidRPr="0056409E">
        <w:rPr>
          <w:lang w:val="es-ES_tradnl" w:eastAsia="ru-RU"/>
        </w:rPr>
        <w:t>:</w:t>
      </w:r>
      <w:r w:rsidRPr="0056409E">
        <w:rPr>
          <w:lang w:val="es-ES_tradnl" w:eastAsia="ru-RU"/>
        </w:rPr>
        <w:tab/>
        <w:t>Impedancia característica del espacio libre</w:t>
      </w:r>
    </w:p>
    <w:p w14:paraId="30D8DAD5" w14:textId="794D4F89" w:rsidR="0086339D" w:rsidRPr="0056409E" w:rsidRDefault="0086339D" w:rsidP="0086339D">
      <w:pPr>
        <w:pStyle w:val="Headingb"/>
        <w:rPr>
          <w:lang w:val="es-ES_tradnl" w:eastAsia="ru-RU"/>
        </w:rPr>
      </w:pPr>
      <w:r w:rsidRPr="0056409E">
        <w:rPr>
          <w:rFonts w:eastAsia="SimSun"/>
          <w:lang w:val="es-ES_tradnl"/>
        </w:rPr>
        <w:t>Recomendaciones, Informes y Manuales de la UIT conexos</w:t>
      </w:r>
    </w:p>
    <w:p w14:paraId="0A4FDDAC" w14:textId="13F77541" w:rsidR="0086339D" w:rsidRPr="0056409E" w:rsidRDefault="0086339D" w:rsidP="0086339D">
      <w:pPr>
        <w:pStyle w:val="Headingi"/>
        <w:tabs>
          <w:tab w:val="clear" w:pos="794"/>
          <w:tab w:val="clear" w:pos="1191"/>
        </w:tabs>
        <w:ind w:left="1588" w:hanging="1588"/>
        <w:rPr>
          <w:lang w:val="es-ES_tradnl"/>
        </w:rPr>
      </w:pPr>
      <w:bookmarkStart w:id="25" w:name="_Toc162001330"/>
      <w:bookmarkStart w:id="26" w:name="_Toc162005883"/>
      <w:bookmarkStart w:id="27" w:name="_Toc162005976"/>
      <w:bookmarkStart w:id="28" w:name="_Toc162006207"/>
      <w:bookmarkStart w:id="29" w:name="_Toc162008562"/>
      <w:bookmarkStart w:id="30" w:name="_Toc162442986"/>
      <w:bookmarkStart w:id="31" w:name="_Toc162443403"/>
      <w:bookmarkStart w:id="32" w:name="_Toc162443552"/>
      <w:bookmarkStart w:id="33" w:name="_Toc162443771"/>
      <w:bookmarkStart w:id="34" w:name="_Toc162444001"/>
      <w:bookmarkStart w:id="35" w:name="_Toc162444552"/>
      <w:r w:rsidRPr="0056409E">
        <w:rPr>
          <w:lang w:val="es-ES_tradnl"/>
        </w:rPr>
        <w:t xml:space="preserve">Recomendaciones UIT-R </w:t>
      </w:r>
      <w:r w:rsidR="003066E4" w:rsidRPr="00111E49">
        <w:rPr>
          <w:lang w:val="es-ES"/>
        </w:rPr>
        <w:t>–</w:t>
      </w:r>
      <w:r w:rsidRPr="0056409E">
        <w:rPr>
          <w:lang w:val="es-ES_tradnl"/>
        </w:rPr>
        <w:t xml:space="preserve"> Serie BS: Servicio de radiodifusión (sonora):</w:t>
      </w:r>
      <w:bookmarkEnd w:id="25"/>
      <w:bookmarkEnd w:id="26"/>
      <w:bookmarkEnd w:id="27"/>
      <w:bookmarkEnd w:id="28"/>
      <w:bookmarkEnd w:id="29"/>
      <w:bookmarkEnd w:id="30"/>
      <w:bookmarkEnd w:id="31"/>
      <w:bookmarkEnd w:id="32"/>
      <w:bookmarkEnd w:id="33"/>
      <w:bookmarkEnd w:id="34"/>
      <w:bookmarkEnd w:id="35"/>
    </w:p>
    <w:p w14:paraId="34F7BD1E" w14:textId="66FBA565" w:rsidR="0086339D" w:rsidRPr="0056409E" w:rsidRDefault="00FC5543" w:rsidP="00F61AE9">
      <w:pPr>
        <w:ind w:left="1191" w:hanging="1191"/>
        <w:rPr>
          <w:szCs w:val="24"/>
          <w:lang w:val="es-ES_tradnl"/>
        </w:rPr>
      </w:pPr>
      <w:hyperlink r:id="rId15" w:history="1">
        <w:r w:rsidR="0086339D" w:rsidRPr="0056409E">
          <w:rPr>
            <w:lang w:val="es-ES_tradnl"/>
          </w:rPr>
          <w:t>BS.705</w:t>
        </w:r>
      </w:hyperlink>
      <w:r w:rsidR="0086339D" w:rsidRPr="0056409E">
        <w:rPr>
          <w:lang w:val="es-ES_tradnl"/>
        </w:rPr>
        <w:t xml:space="preserve">: </w:t>
      </w:r>
      <w:r w:rsidR="0086339D" w:rsidRPr="0056409E">
        <w:rPr>
          <w:szCs w:val="24"/>
          <w:lang w:val="es-ES_tradnl"/>
        </w:rPr>
        <w:tab/>
      </w:r>
      <w:r w:rsidR="0086339D" w:rsidRPr="0056409E">
        <w:rPr>
          <w:lang w:val="es-ES_tradnl"/>
        </w:rPr>
        <w:t>Características y diagramas de las antenas transmisoras y receptoras en ondas decamétricas</w:t>
      </w:r>
    </w:p>
    <w:p w14:paraId="1F1EF321" w14:textId="77777777" w:rsidR="0086339D" w:rsidRPr="0056409E" w:rsidRDefault="00FC5543" w:rsidP="00F61AE9">
      <w:pPr>
        <w:ind w:left="1191" w:hanging="1191"/>
        <w:rPr>
          <w:szCs w:val="24"/>
          <w:lang w:val="es-ES_tradnl"/>
        </w:rPr>
      </w:pPr>
      <w:hyperlink r:id="rId16" w:history="1">
        <w:r w:rsidR="0086339D" w:rsidRPr="0056409E">
          <w:rPr>
            <w:lang w:val="es-ES_tradnl"/>
          </w:rPr>
          <w:t>BS.1195</w:t>
        </w:r>
      </w:hyperlink>
      <w:r w:rsidR="0086339D" w:rsidRPr="0056409E">
        <w:rPr>
          <w:lang w:val="es-ES_tradnl"/>
        </w:rPr>
        <w:t>:</w:t>
      </w:r>
      <w:r w:rsidR="0086339D" w:rsidRPr="0056409E">
        <w:rPr>
          <w:szCs w:val="24"/>
          <w:lang w:val="es-ES_tradnl"/>
        </w:rPr>
        <w:tab/>
      </w:r>
      <w:r w:rsidR="0086339D" w:rsidRPr="0056409E">
        <w:rPr>
          <w:lang w:val="es-ES_tradnl"/>
        </w:rPr>
        <w:t>Características de las antenas transmisoras en ondas métricas y decimétricas</w:t>
      </w:r>
    </w:p>
    <w:p w14:paraId="0161FA8E" w14:textId="77777777" w:rsidR="0086339D" w:rsidRPr="0056409E" w:rsidRDefault="00FC5543" w:rsidP="00F61AE9">
      <w:pPr>
        <w:ind w:left="1191" w:hanging="1191"/>
        <w:rPr>
          <w:szCs w:val="24"/>
          <w:lang w:val="es-ES_tradnl"/>
        </w:rPr>
      </w:pPr>
      <w:hyperlink r:id="rId17" w:history="1">
        <w:r w:rsidR="0086339D" w:rsidRPr="0056409E">
          <w:rPr>
            <w:lang w:val="es-ES_tradnl"/>
          </w:rPr>
          <w:t>BS.1386</w:t>
        </w:r>
      </w:hyperlink>
      <w:r w:rsidR="0086339D" w:rsidRPr="0056409E">
        <w:rPr>
          <w:lang w:val="es-ES_tradnl"/>
        </w:rPr>
        <w:t>:</w:t>
      </w:r>
      <w:r w:rsidR="0086339D" w:rsidRPr="0056409E">
        <w:rPr>
          <w:szCs w:val="24"/>
          <w:lang w:val="es-ES_tradnl"/>
        </w:rPr>
        <w:tab/>
      </w:r>
      <w:r w:rsidR="0086339D" w:rsidRPr="0056409E">
        <w:rPr>
          <w:lang w:val="es-ES_tradnl"/>
        </w:rPr>
        <w:t>Características y diagramas de las antenas transmisoras en ondas kilométricas y hectométricas</w:t>
      </w:r>
    </w:p>
    <w:p w14:paraId="26D5CA97" w14:textId="269E9062" w:rsidR="0086339D" w:rsidRPr="0056409E" w:rsidRDefault="0086339D" w:rsidP="0086339D">
      <w:pPr>
        <w:pStyle w:val="Headingi"/>
        <w:tabs>
          <w:tab w:val="clear" w:pos="794"/>
          <w:tab w:val="clear" w:pos="1191"/>
        </w:tabs>
        <w:ind w:left="1588" w:hanging="1588"/>
        <w:rPr>
          <w:lang w:val="es-ES_tradnl"/>
        </w:rPr>
      </w:pPr>
      <w:bookmarkStart w:id="36" w:name="_Toc162001331"/>
      <w:bookmarkStart w:id="37" w:name="_Toc162005884"/>
      <w:bookmarkStart w:id="38" w:name="_Toc162005977"/>
      <w:bookmarkStart w:id="39" w:name="_Toc162006208"/>
      <w:bookmarkStart w:id="40" w:name="_Toc162008563"/>
      <w:bookmarkStart w:id="41" w:name="_Toc162442987"/>
      <w:bookmarkStart w:id="42" w:name="_Toc162443404"/>
      <w:bookmarkStart w:id="43" w:name="_Toc162443553"/>
      <w:bookmarkStart w:id="44" w:name="_Toc162443772"/>
      <w:bookmarkStart w:id="45" w:name="_Toc162444002"/>
      <w:bookmarkStart w:id="46" w:name="_Toc162444553"/>
      <w:r w:rsidRPr="0056409E">
        <w:rPr>
          <w:lang w:val="es-ES_tradnl"/>
        </w:rPr>
        <w:t xml:space="preserve">Informes UIT-R </w:t>
      </w:r>
      <w:r w:rsidR="003066E4" w:rsidRPr="00111E49">
        <w:rPr>
          <w:lang w:val="es-ES"/>
        </w:rPr>
        <w:t>–</w:t>
      </w:r>
      <w:r w:rsidRPr="0056409E">
        <w:rPr>
          <w:lang w:val="es-ES_tradnl"/>
        </w:rPr>
        <w:t xml:space="preserve"> Serie SM: Gestión del espectro:</w:t>
      </w:r>
      <w:bookmarkEnd w:id="36"/>
      <w:bookmarkEnd w:id="37"/>
      <w:bookmarkEnd w:id="38"/>
      <w:bookmarkEnd w:id="39"/>
      <w:bookmarkEnd w:id="40"/>
      <w:bookmarkEnd w:id="41"/>
      <w:bookmarkEnd w:id="42"/>
      <w:bookmarkEnd w:id="43"/>
      <w:bookmarkEnd w:id="44"/>
      <w:bookmarkEnd w:id="45"/>
      <w:bookmarkEnd w:id="46"/>
    </w:p>
    <w:p w14:paraId="72C9D4C0" w14:textId="171AEB14" w:rsidR="0086339D" w:rsidRPr="0056409E" w:rsidRDefault="0086339D" w:rsidP="0086339D">
      <w:pPr>
        <w:tabs>
          <w:tab w:val="clear" w:pos="794"/>
          <w:tab w:val="clear" w:pos="1191"/>
        </w:tabs>
        <w:rPr>
          <w:lang w:val="es-ES_tradnl" w:eastAsia="zh-CN"/>
        </w:rPr>
      </w:pPr>
      <w:r w:rsidRPr="0056409E">
        <w:rPr>
          <w:lang w:val="es-ES_tradnl" w:eastAsia="zh-CN"/>
        </w:rPr>
        <w:t xml:space="preserve">Informe UIT-R </w:t>
      </w:r>
      <w:hyperlink r:id="rId18" w:history="1">
        <w:r w:rsidRPr="00F61AE9">
          <w:rPr>
            <w:rStyle w:val="Hyperlink"/>
            <w:color w:val="auto"/>
            <w:u w:val="none"/>
            <w:lang w:val="es-ES_tradnl" w:eastAsia="zh-CN"/>
          </w:rPr>
          <w:t>SM.2452</w:t>
        </w:r>
      </w:hyperlink>
      <w:r w:rsidRPr="0056409E">
        <w:rPr>
          <w:lang w:val="es-ES_tradnl" w:eastAsia="zh-CN"/>
        </w:rPr>
        <w:t>: Medición de campos electromagnéticos para la evaluación de la exposición de las personas</w:t>
      </w:r>
    </w:p>
    <w:p w14:paraId="43F3C38C" w14:textId="441AC473" w:rsidR="0086339D" w:rsidRPr="0056409E" w:rsidRDefault="0086339D" w:rsidP="0086339D">
      <w:pPr>
        <w:pStyle w:val="Headingi"/>
        <w:tabs>
          <w:tab w:val="clear" w:pos="794"/>
          <w:tab w:val="clear" w:pos="1191"/>
        </w:tabs>
        <w:ind w:left="1588" w:hanging="1588"/>
        <w:rPr>
          <w:lang w:val="es-ES_tradnl"/>
        </w:rPr>
      </w:pPr>
      <w:bookmarkStart w:id="47" w:name="_Toc162001332"/>
      <w:bookmarkStart w:id="48" w:name="_Toc162005885"/>
      <w:bookmarkStart w:id="49" w:name="_Toc162005978"/>
      <w:bookmarkStart w:id="50" w:name="_Toc162006209"/>
      <w:bookmarkStart w:id="51" w:name="_Toc162008564"/>
      <w:bookmarkStart w:id="52" w:name="_Toc162442988"/>
      <w:bookmarkStart w:id="53" w:name="_Toc162443405"/>
      <w:bookmarkStart w:id="54" w:name="_Toc162443554"/>
      <w:bookmarkStart w:id="55" w:name="_Toc162443773"/>
      <w:bookmarkStart w:id="56" w:name="_Toc162444003"/>
      <w:bookmarkStart w:id="57" w:name="_Toc162444554"/>
      <w:r w:rsidRPr="0056409E">
        <w:rPr>
          <w:lang w:val="es-ES_tradnl"/>
        </w:rPr>
        <w:t xml:space="preserve">Manuales del UIT-R </w:t>
      </w:r>
      <w:r w:rsidR="00F61AE9">
        <w:rPr>
          <w:lang w:val="es-ES_tradnl"/>
        </w:rPr>
        <w:t>–</w:t>
      </w:r>
      <w:r w:rsidRPr="0056409E">
        <w:rPr>
          <w:lang w:val="es-ES_tradnl"/>
        </w:rPr>
        <w:t xml:space="preserve"> Comisión de Estudio 1: Gestión del espectro:</w:t>
      </w:r>
      <w:bookmarkEnd w:id="47"/>
      <w:bookmarkEnd w:id="48"/>
      <w:bookmarkEnd w:id="49"/>
      <w:bookmarkEnd w:id="50"/>
      <w:bookmarkEnd w:id="51"/>
      <w:bookmarkEnd w:id="52"/>
      <w:bookmarkEnd w:id="53"/>
      <w:bookmarkEnd w:id="54"/>
      <w:bookmarkEnd w:id="55"/>
      <w:bookmarkEnd w:id="56"/>
      <w:bookmarkEnd w:id="57"/>
    </w:p>
    <w:p w14:paraId="79A1A267" w14:textId="77777777" w:rsidR="0086339D" w:rsidRPr="0056409E" w:rsidRDefault="0086339D" w:rsidP="0086339D">
      <w:pPr>
        <w:tabs>
          <w:tab w:val="clear" w:pos="794"/>
          <w:tab w:val="clear" w:pos="1191"/>
        </w:tabs>
        <w:rPr>
          <w:lang w:val="es-ES_tradnl"/>
        </w:rPr>
      </w:pPr>
      <w:r w:rsidRPr="0056409E">
        <w:rPr>
          <w:lang w:val="es-ES_tradnl"/>
        </w:rPr>
        <w:t xml:space="preserve">Manual sobre comprobación técnica del espectro </w:t>
      </w:r>
      <w:r w:rsidRPr="0056409E">
        <w:rPr>
          <w:lang w:val="es-ES_tradnl" w:eastAsia="zh-CN"/>
        </w:rPr>
        <w:t>(</w:t>
      </w:r>
      <w:r w:rsidRPr="0056409E">
        <w:rPr>
          <w:lang w:val="es-ES_tradnl"/>
        </w:rPr>
        <w:t>sección 5.6, relativa a la medición de radiaciones no ionizantes)</w:t>
      </w:r>
    </w:p>
    <w:p w14:paraId="48E053BC" w14:textId="6E7ABE51" w:rsidR="0086339D" w:rsidRPr="0056409E" w:rsidRDefault="0086339D" w:rsidP="0086339D">
      <w:pPr>
        <w:pStyle w:val="Headingi"/>
        <w:tabs>
          <w:tab w:val="clear" w:pos="794"/>
          <w:tab w:val="clear" w:pos="1191"/>
        </w:tabs>
        <w:ind w:left="1588" w:hanging="1588"/>
        <w:rPr>
          <w:lang w:val="es-ES_tradnl"/>
        </w:rPr>
      </w:pPr>
      <w:bookmarkStart w:id="58" w:name="_Toc162001333"/>
      <w:bookmarkStart w:id="59" w:name="_Toc162005886"/>
      <w:bookmarkStart w:id="60" w:name="_Toc162005979"/>
      <w:bookmarkStart w:id="61" w:name="_Toc162006210"/>
      <w:bookmarkStart w:id="62" w:name="_Toc162008565"/>
      <w:bookmarkStart w:id="63" w:name="_Toc162442989"/>
      <w:bookmarkStart w:id="64" w:name="_Toc162443406"/>
      <w:bookmarkStart w:id="65" w:name="_Toc162443555"/>
      <w:bookmarkStart w:id="66" w:name="_Toc162443774"/>
      <w:bookmarkStart w:id="67" w:name="_Toc162444004"/>
      <w:bookmarkStart w:id="68" w:name="_Toc162444555"/>
      <w:r w:rsidRPr="0056409E">
        <w:rPr>
          <w:lang w:val="es-ES_tradnl"/>
        </w:rPr>
        <w:t xml:space="preserve">Recomendaciones UIT-T </w:t>
      </w:r>
      <w:r w:rsidR="003066E4" w:rsidRPr="00111E49">
        <w:rPr>
          <w:lang w:val="es-ES"/>
        </w:rPr>
        <w:t>–</w:t>
      </w:r>
      <w:r w:rsidRPr="0056409E">
        <w:rPr>
          <w:lang w:val="es-ES_tradnl"/>
        </w:rPr>
        <w:t xml:space="preserve"> Serie K: Protección contra interferencias:</w:t>
      </w:r>
      <w:bookmarkEnd w:id="58"/>
      <w:bookmarkEnd w:id="59"/>
      <w:bookmarkEnd w:id="60"/>
      <w:bookmarkEnd w:id="61"/>
      <w:bookmarkEnd w:id="62"/>
      <w:bookmarkEnd w:id="63"/>
      <w:bookmarkEnd w:id="64"/>
      <w:bookmarkEnd w:id="65"/>
      <w:bookmarkEnd w:id="66"/>
      <w:bookmarkEnd w:id="67"/>
      <w:bookmarkEnd w:id="68"/>
    </w:p>
    <w:p w14:paraId="60F9391F" w14:textId="77010FEE" w:rsidR="0086339D" w:rsidRPr="0056409E" w:rsidRDefault="00FC5543" w:rsidP="0086339D">
      <w:pPr>
        <w:tabs>
          <w:tab w:val="clear" w:pos="794"/>
          <w:tab w:val="clear" w:pos="1191"/>
        </w:tabs>
        <w:ind w:left="1588" w:hanging="1588"/>
        <w:rPr>
          <w:szCs w:val="24"/>
          <w:lang w:val="es-ES_tradnl"/>
        </w:rPr>
      </w:pPr>
      <w:hyperlink r:id="rId19" w:history="1">
        <w:r w:rsidR="0086339D" w:rsidRPr="0056409E">
          <w:rPr>
            <w:lang w:val="es-ES_tradnl"/>
          </w:rPr>
          <w:t>K.52</w:t>
        </w:r>
      </w:hyperlink>
      <w:r w:rsidR="0086339D" w:rsidRPr="0056409E">
        <w:rPr>
          <w:lang w:val="es-ES_tradnl"/>
        </w:rPr>
        <w:t>:</w:t>
      </w:r>
      <w:r w:rsidR="0086339D" w:rsidRPr="0056409E">
        <w:rPr>
          <w:szCs w:val="24"/>
          <w:lang w:val="es-ES_tradnl"/>
        </w:rPr>
        <w:tab/>
      </w:r>
      <w:r w:rsidR="0086339D" w:rsidRPr="0056409E">
        <w:rPr>
          <w:lang w:val="es-ES_tradnl"/>
        </w:rPr>
        <w:t>Orientación sobre el cumplimiento de los límites de exposición de las personas a los campos electromagnéticos</w:t>
      </w:r>
    </w:p>
    <w:p w14:paraId="541154B2" w14:textId="77777777" w:rsidR="0086339D" w:rsidRPr="0056409E" w:rsidRDefault="00FC5543" w:rsidP="0086339D">
      <w:pPr>
        <w:tabs>
          <w:tab w:val="clear" w:pos="794"/>
          <w:tab w:val="clear" w:pos="1191"/>
        </w:tabs>
        <w:ind w:left="1588" w:hanging="1588"/>
        <w:rPr>
          <w:lang w:val="es-ES_tradnl"/>
        </w:rPr>
      </w:pPr>
      <w:hyperlink r:id="rId20" w:history="1">
        <w:r w:rsidR="0086339D" w:rsidRPr="0056409E">
          <w:rPr>
            <w:lang w:val="es-ES_tradnl"/>
          </w:rPr>
          <w:t>K.61</w:t>
        </w:r>
      </w:hyperlink>
      <w:r w:rsidR="0086339D" w:rsidRPr="0056409E">
        <w:rPr>
          <w:lang w:val="es-ES_tradnl"/>
        </w:rPr>
        <w:t>:</w:t>
      </w:r>
      <w:r w:rsidR="0086339D" w:rsidRPr="0056409E">
        <w:rPr>
          <w:szCs w:val="24"/>
          <w:lang w:val="es-ES_tradnl"/>
        </w:rPr>
        <w:tab/>
      </w:r>
      <w:r w:rsidR="0086339D" w:rsidRPr="0056409E">
        <w:rPr>
          <w:lang w:val="es-ES_tradnl"/>
        </w:rPr>
        <w:t>Directrices sobre la medición y la predicción numérica de los campos electromagnéticos para comprobar que las instalaciones de telecomunicaciones cumplen los límites de exposición de las personas</w:t>
      </w:r>
    </w:p>
    <w:p w14:paraId="37EB02DC" w14:textId="77777777" w:rsidR="0086339D" w:rsidRPr="0056409E" w:rsidRDefault="00FC5543" w:rsidP="0086339D">
      <w:pPr>
        <w:tabs>
          <w:tab w:val="clear" w:pos="794"/>
          <w:tab w:val="clear" w:pos="1191"/>
        </w:tabs>
        <w:ind w:left="1588" w:hanging="1588"/>
        <w:rPr>
          <w:szCs w:val="24"/>
          <w:lang w:val="es-ES_tradnl"/>
        </w:rPr>
      </w:pPr>
      <w:hyperlink r:id="rId21" w:history="1">
        <w:r w:rsidR="0086339D" w:rsidRPr="0056409E">
          <w:rPr>
            <w:lang w:val="es-ES_tradnl"/>
          </w:rPr>
          <w:t>K.70</w:t>
        </w:r>
      </w:hyperlink>
      <w:r w:rsidR="0086339D" w:rsidRPr="0056409E">
        <w:rPr>
          <w:lang w:val="es-ES_tradnl"/>
        </w:rPr>
        <w:t>:</w:t>
      </w:r>
      <w:r w:rsidR="0086339D" w:rsidRPr="0056409E">
        <w:rPr>
          <w:szCs w:val="24"/>
          <w:lang w:val="es-ES_tradnl"/>
        </w:rPr>
        <w:tab/>
      </w:r>
      <w:r w:rsidR="0086339D" w:rsidRPr="0056409E">
        <w:rPr>
          <w:lang w:val="es-ES_tradnl"/>
        </w:rPr>
        <w:t>Técnicas para limitar la exposición humana a los campos electromagnéticos en cercanías a estaciones de radiocomunicaciones</w:t>
      </w:r>
    </w:p>
    <w:p w14:paraId="4DD995BA" w14:textId="77777777" w:rsidR="0086339D" w:rsidRPr="0056409E" w:rsidRDefault="00FC5543" w:rsidP="0086339D">
      <w:pPr>
        <w:tabs>
          <w:tab w:val="clear" w:pos="794"/>
          <w:tab w:val="clear" w:pos="1191"/>
        </w:tabs>
        <w:ind w:left="1588" w:hanging="1588"/>
        <w:rPr>
          <w:szCs w:val="24"/>
          <w:lang w:val="es-ES_tradnl"/>
        </w:rPr>
      </w:pPr>
      <w:hyperlink r:id="rId22" w:history="1">
        <w:r w:rsidR="0086339D" w:rsidRPr="0056409E">
          <w:rPr>
            <w:lang w:val="es-ES_tradnl"/>
          </w:rPr>
          <w:t>K.83</w:t>
        </w:r>
      </w:hyperlink>
      <w:r w:rsidR="0086339D" w:rsidRPr="0056409E">
        <w:rPr>
          <w:lang w:val="es-ES_tradnl"/>
        </w:rPr>
        <w:t>:</w:t>
      </w:r>
      <w:r w:rsidR="0086339D" w:rsidRPr="0056409E">
        <w:rPr>
          <w:szCs w:val="24"/>
          <w:lang w:val="es-ES_tradnl"/>
        </w:rPr>
        <w:tab/>
      </w:r>
      <w:r w:rsidR="0086339D" w:rsidRPr="0056409E">
        <w:rPr>
          <w:lang w:val="es-ES_tradnl"/>
        </w:rPr>
        <w:t>Supervisión de los niveles de intensidad del campo electromagnético</w:t>
      </w:r>
    </w:p>
    <w:bookmarkStart w:id="69" w:name="_Hlk94904952"/>
    <w:p w14:paraId="2F51D850" w14:textId="77777777" w:rsidR="0086339D" w:rsidRPr="0056409E" w:rsidRDefault="0086339D" w:rsidP="0086339D">
      <w:pPr>
        <w:tabs>
          <w:tab w:val="clear" w:pos="794"/>
          <w:tab w:val="clear" w:pos="1191"/>
        </w:tabs>
        <w:ind w:left="1588" w:hanging="1588"/>
        <w:rPr>
          <w:lang w:val="es-ES_tradnl"/>
        </w:rPr>
      </w:pPr>
      <w:r w:rsidRPr="0056409E">
        <w:rPr>
          <w:lang w:val="es-ES_tradnl"/>
        </w:rPr>
        <w:fldChar w:fldCharType="begin"/>
      </w:r>
      <w:r w:rsidRPr="0056409E">
        <w:rPr>
          <w:szCs w:val="24"/>
          <w:lang w:val="es-ES_tradnl"/>
        </w:rPr>
        <w:instrText xml:space="preserve"> HYPERLINK "https://www.itu.int/itu-t/recommendations/rec.aspx?rec=14876" </w:instrText>
      </w:r>
      <w:r w:rsidRPr="0056409E">
        <w:rPr>
          <w:lang w:val="es-ES_tradnl"/>
        </w:rPr>
      </w:r>
      <w:r w:rsidRPr="0056409E">
        <w:rPr>
          <w:szCs w:val="24"/>
          <w:lang w:val="es-ES_tradnl"/>
        </w:rPr>
        <w:fldChar w:fldCharType="separate"/>
      </w:r>
      <w:r w:rsidRPr="0056409E">
        <w:rPr>
          <w:lang w:val="es-ES_tradnl"/>
        </w:rPr>
        <w:t>K.91</w:t>
      </w:r>
      <w:r w:rsidRPr="0056409E">
        <w:rPr>
          <w:lang w:val="es-ES_tradnl"/>
        </w:rPr>
        <w:fldChar w:fldCharType="end"/>
      </w:r>
      <w:r w:rsidRPr="0056409E">
        <w:rPr>
          <w:lang w:val="es-ES_tradnl"/>
        </w:rPr>
        <w:t>:</w:t>
      </w:r>
      <w:r w:rsidRPr="0056409E">
        <w:rPr>
          <w:szCs w:val="24"/>
          <w:lang w:val="es-ES_tradnl"/>
        </w:rPr>
        <w:tab/>
      </w:r>
      <w:r w:rsidRPr="0056409E">
        <w:rPr>
          <w:lang w:val="es-ES_tradnl"/>
        </w:rPr>
        <w:t>Orientación para la valoración, la evaluación y el seguimiento de la exposición humana a los campos electromagnéticos de las radiofrecuencias</w:t>
      </w:r>
    </w:p>
    <w:bookmarkEnd w:id="69"/>
    <w:p w14:paraId="71E4436F" w14:textId="644600E7" w:rsidR="0086339D" w:rsidRPr="0056409E" w:rsidRDefault="0086339D" w:rsidP="0086339D">
      <w:pPr>
        <w:tabs>
          <w:tab w:val="clear" w:pos="794"/>
          <w:tab w:val="clear" w:pos="1191"/>
        </w:tabs>
        <w:ind w:left="1588" w:hanging="1588"/>
        <w:rPr>
          <w:lang w:val="es-ES_tradnl"/>
        </w:rPr>
      </w:pPr>
      <w:r w:rsidRPr="0056409E">
        <w:rPr>
          <w:lang w:val="es-ES_tradnl"/>
        </w:rPr>
        <w:fldChar w:fldCharType="begin"/>
      </w:r>
      <w:r w:rsidRPr="0056409E">
        <w:rPr>
          <w:lang w:val="es-ES_tradnl"/>
        </w:rPr>
        <w:instrText xml:space="preserve"> HYPERLINK "https://www.itu.int/itu-t/recommendations/rec.aspx?rec=14725" </w:instrText>
      </w:r>
      <w:r w:rsidRPr="0056409E">
        <w:rPr>
          <w:lang w:val="es-ES_tradnl"/>
        </w:rPr>
      </w:r>
      <w:r w:rsidRPr="0056409E">
        <w:rPr>
          <w:lang w:val="es-ES_tradnl"/>
        </w:rPr>
        <w:fldChar w:fldCharType="separate"/>
      </w:r>
      <w:r w:rsidRPr="0056409E">
        <w:rPr>
          <w:lang w:val="es-ES_tradnl"/>
        </w:rPr>
        <w:t>K.100</w:t>
      </w:r>
      <w:r w:rsidRPr="0056409E">
        <w:rPr>
          <w:lang w:val="es-ES_tradnl"/>
        </w:rPr>
        <w:fldChar w:fldCharType="end"/>
      </w:r>
      <w:r w:rsidRPr="0056409E">
        <w:rPr>
          <w:lang w:val="es-ES_tradnl"/>
        </w:rPr>
        <w:t>:</w:t>
      </w:r>
      <w:r w:rsidRPr="0056409E">
        <w:rPr>
          <w:lang w:val="es-ES_tradnl"/>
        </w:rPr>
        <w:tab/>
        <w:t>Medición de los campos electromagnéticos de radiofrecuencia para determinar el cumplimiento de los límites de exposición de las personas cuando se pone en servicio una estación de base</w:t>
      </w:r>
    </w:p>
    <w:p w14:paraId="5CFBF960" w14:textId="77777777" w:rsidR="0086339D" w:rsidRPr="0056409E" w:rsidRDefault="00FC5543" w:rsidP="0086339D">
      <w:pPr>
        <w:tabs>
          <w:tab w:val="clear" w:pos="794"/>
          <w:tab w:val="clear" w:pos="1191"/>
        </w:tabs>
        <w:ind w:left="1588" w:hanging="1588"/>
        <w:rPr>
          <w:lang w:val="es-ES_tradnl"/>
        </w:rPr>
      </w:pPr>
      <w:hyperlink r:id="rId23" w:history="1">
        <w:r w:rsidR="0086339D" w:rsidRPr="0056409E">
          <w:rPr>
            <w:lang w:val="es-ES_tradnl"/>
          </w:rPr>
          <w:t>K.113</w:t>
        </w:r>
      </w:hyperlink>
      <w:r w:rsidR="0086339D" w:rsidRPr="0056409E">
        <w:rPr>
          <w:lang w:val="es-ES_tradnl"/>
        </w:rPr>
        <w:t>:</w:t>
      </w:r>
      <w:r w:rsidR="0086339D" w:rsidRPr="0056409E">
        <w:rPr>
          <w:lang w:val="es-ES_tradnl"/>
        </w:rPr>
        <w:tab/>
        <w:t>Trazado de mapas de campos electromagnéticos de radiofrecuencias</w:t>
      </w:r>
    </w:p>
    <w:p w14:paraId="499AC20C" w14:textId="68927A3E" w:rsidR="0086339D" w:rsidRPr="0056409E" w:rsidRDefault="00FC5543" w:rsidP="0086339D">
      <w:pPr>
        <w:tabs>
          <w:tab w:val="clear" w:pos="794"/>
          <w:tab w:val="clear" w:pos="1191"/>
        </w:tabs>
        <w:ind w:left="1588" w:hanging="1588"/>
        <w:rPr>
          <w:lang w:val="es-ES_tradnl"/>
        </w:rPr>
      </w:pPr>
      <w:hyperlink r:id="rId24" w:history="1">
        <w:r w:rsidR="0086339D" w:rsidRPr="0056409E">
          <w:rPr>
            <w:lang w:val="es-ES_tradnl"/>
          </w:rPr>
          <w:t>K.121</w:t>
        </w:r>
      </w:hyperlink>
      <w:r w:rsidR="0086339D" w:rsidRPr="0056409E">
        <w:rPr>
          <w:lang w:val="es-ES_tradnl"/>
        </w:rPr>
        <w:t>:</w:t>
      </w:r>
      <w:r w:rsidR="0086339D" w:rsidRPr="0056409E">
        <w:rPr>
          <w:lang w:val="es-ES_tradnl"/>
        </w:rPr>
        <w:tab/>
        <w:t>Orientaciones en materia de gestión medioambiental para el respeto de los límites de los campos electromagnéticos de las frecuencias radioeléctricas para las estaciones base de radiocomunicaciones</w:t>
      </w:r>
    </w:p>
    <w:p w14:paraId="51132EF5" w14:textId="77777777" w:rsidR="0086339D" w:rsidRPr="0056409E" w:rsidRDefault="00FC5543" w:rsidP="0086339D">
      <w:pPr>
        <w:tabs>
          <w:tab w:val="clear" w:pos="794"/>
          <w:tab w:val="clear" w:pos="1191"/>
        </w:tabs>
        <w:ind w:left="1588" w:hanging="1588"/>
        <w:rPr>
          <w:lang w:val="es-ES_tradnl"/>
        </w:rPr>
      </w:pPr>
      <w:hyperlink r:id="rId25" w:history="1">
        <w:r w:rsidR="0086339D" w:rsidRPr="0056409E">
          <w:rPr>
            <w:lang w:val="es-ES_tradnl"/>
          </w:rPr>
          <w:t>K.122</w:t>
        </w:r>
      </w:hyperlink>
      <w:r w:rsidR="0086339D" w:rsidRPr="0056409E">
        <w:rPr>
          <w:lang w:val="es-ES_tradnl"/>
        </w:rPr>
        <w:t>:</w:t>
      </w:r>
      <w:r w:rsidR="0086339D" w:rsidRPr="0056409E">
        <w:rPr>
          <w:lang w:val="es-ES_tradnl"/>
        </w:rPr>
        <w:tab/>
        <w:t>Niveles de exposición a proximidad inmediata de antenas de radiocomunicaciones</w:t>
      </w:r>
    </w:p>
    <w:p w14:paraId="67FD5CB8" w14:textId="3BE0462E" w:rsidR="0086339D" w:rsidRPr="0056409E" w:rsidRDefault="00FC5543" w:rsidP="0086339D">
      <w:pPr>
        <w:tabs>
          <w:tab w:val="clear" w:pos="794"/>
          <w:tab w:val="clear" w:pos="1191"/>
        </w:tabs>
        <w:ind w:left="1588" w:hanging="1588"/>
        <w:rPr>
          <w:lang w:val="es-ES_tradnl"/>
        </w:rPr>
      </w:pPr>
      <w:hyperlink r:id="rId26" w:history="1">
        <w:r w:rsidR="0086339D" w:rsidRPr="0056409E">
          <w:rPr>
            <w:lang w:val="es-ES_tradnl"/>
          </w:rPr>
          <w:t>K.145</w:t>
        </w:r>
      </w:hyperlink>
      <w:r w:rsidR="0086339D" w:rsidRPr="0056409E">
        <w:rPr>
          <w:lang w:val="es-ES_tradnl"/>
        </w:rPr>
        <w:t>:</w:t>
      </w:r>
      <w:r w:rsidR="0086339D" w:rsidRPr="0056409E">
        <w:rPr>
          <w:lang w:val="es-ES_tradnl"/>
        </w:rPr>
        <w:tab/>
        <w:t>Evaluación y gestión del cumplimiento de los límites de exposición a los campos electromagnéticos de radiofrecuencia para los trabajadores en los emplazamientos e instalaciones de radiocomunicaciones</w:t>
      </w:r>
    </w:p>
    <w:p w14:paraId="6CDB462C" w14:textId="77777777" w:rsidR="00146226" w:rsidRDefault="0086339D" w:rsidP="0086339D">
      <w:pPr>
        <w:rPr>
          <w:lang w:val="es-ES_tradnl"/>
        </w:rPr>
      </w:pPr>
      <w:r w:rsidRPr="0056409E">
        <w:rPr>
          <w:i/>
          <w:iCs/>
          <w:lang w:val="es-ES_tradnl"/>
        </w:rPr>
        <w:t>Cuestión 7/2 del UIT-D – Estrategias y políticas relativas a la exposición de las personas a los campos electromagnéticos</w:t>
      </w:r>
      <w:r w:rsidRPr="0056409E">
        <w:rPr>
          <w:lang w:val="es-ES_tradnl"/>
        </w:rPr>
        <w:t>:</w:t>
      </w:r>
      <w:r w:rsidR="00146226">
        <w:rPr>
          <w:lang w:val="es-ES_tradnl"/>
        </w:rPr>
        <w:t xml:space="preserve"> </w:t>
      </w:r>
    </w:p>
    <w:p w14:paraId="54776C8A" w14:textId="5B47CEF4" w:rsidR="0086339D" w:rsidRPr="0056409E" w:rsidRDefault="0086339D" w:rsidP="0086339D">
      <w:pPr>
        <w:rPr>
          <w:szCs w:val="24"/>
          <w:lang w:val="es-ES_tradnl"/>
        </w:rPr>
      </w:pPr>
      <w:r w:rsidRPr="0056409E">
        <w:rPr>
          <w:lang w:val="es-ES_tradnl"/>
        </w:rPr>
        <w:t>Informe de resultados sobre la Cuestión 7/2 del UIT-D, octubre de 2021.</w:t>
      </w:r>
    </w:p>
    <w:p w14:paraId="048BD91B" w14:textId="77777777" w:rsidR="0086339D" w:rsidRPr="0056409E" w:rsidRDefault="0086339D" w:rsidP="0086339D">
      <w:pPr>
        <w:pStyle w:val="Normalaftertitle"/>
        <w:rPr>
          <w:lang w:val="es-ES_tradnl"/>
        </w:rPr>
      </w:pPr>
      <w:r w:rsidRPr="0056409E">
        <w:rPr>
          <w:lang w:val="es-ES_tradnl"/>
        </w:rPr>
        <w:t>La Asamblea de Radiocomunicaciones de la UIT,</w:t>
      </w:r>
    </w:p>
    <w:p w14:paraId="041494AA" w14:textId="77777777" w:rsidR="0086339D" w:rsidRPr="0056409E" w:rsidRDefault="0086339D" w:rsidP="0086339D">
      <w:pPr>
        <w:pStyle w:val="Call"/>
        <w:rPr>
          <w:lang w:val="es-ES_tradnl"/>
        </w:rPr>
      </w:pPr>
      <w:r w:rsidRPr="0056409E">
        <w:rPr>
          <w:lang w:val="es-ES_tradnl"/>
        </w:rPr>
        <w:t>considerando</w:t>
      </w:r>
    </w:p>
    <w:p w14:paraId="2497E58C" w14:textId="77777777" w:rsidR="0086339D" w:rsidRPr="0056409E" w:rsidRDefault="0086339D" w:rsidP="0086339D">
      <w:pPr>
        <w:rPr>
          <w:lang w:val="es-ES_tradnl"/>
        </w:rPr>
      </w:pPr>
      <w:r w:rsidRPr="009760E7">
        <w:rPr>
          <w:i/>
          <w:iCs/>
          <w:lang w:val="es-ES_tradnl"/>
        </w:rPr>
        <w:t>a)</w:t>
      </w:r>
      <w:r w:rsidRPr="0056409E">
        <w:rPr>
          <w:lang w:val="es-ES_tradnl"/>
        </w:rPr>
        <w:tab/>
        <w:t>que un nivel elevado de energía de radiofrecuencia podría tener efectos perjudiciales en el cuerpo humano;</w:t>
      </w:r>
    </w:p>
    <w:p w14:paraId="724DF0A4" w14:textId="77777777" w:rsidR="0086339D" w:rsidRPr="0056409E" w:rsidRDefault="0086339D" w:rsidP="0086339D">
      <w:pPr>
        <w:rPr>
          <w:lang w:val="es-ES_tradnl"/>
        </w:rPr>
      </w:pPr>
      <w:r w:rsidRPr="009760E7">
        <w:rPr>
          <w:i/>
          <w:iCs/>
          <w:lang w:val="es-ES_tradnl"/>
        </w:rPr>
        <w:t>b)</w:t>
      </w:r>
      <w:r w:rsidRPr="0056409E">
        <w:rPr>
          <w:lang w:val="es-ES_tradnl"/>
        </w:rPr>
        <w:tab/>
        <w:t>que la energía de radiofrecuencia podría crear potenciales eléctricos perjudiciales en los materiales conductores;</w:t>
      </w:r>
    </w:p>
    <w:p w14:paraId="3315BA0A" w14:textId="77777777" w:rsidR="0086339D" w:rsidRPr="0056409E" w:rsidRDefault="0086339D" w:rsidP="0086339D">
      <w:pPr>
        <w:rPr>
          <w:lang w:val="es-ES_tradnl"/>
        </w:rPr>
      </w:pPr>
      <w:r w:rsidRPr="009760E7">
        <w:rPr>
          <w:i/>
          <w:iCs/>
          <w:lang w:val="es-ES_tradnl"/>
        </w:rPr>
        <w:lastRenderedPageBreak/>
        <w:t>c)</w:t>
      </w:r>
      <w:r w:rsidRPr="0056409E">
        <w:rPr>
          <w:lang w:val="es-ES_tradnl"/>
        </w:rPr>
        <w:tab/>
        <w:t>que un nivel elevado de energía de radiofrecuencia podría tener efectos indirectos sobre la salud de las personas al interferir con dispositivos médicos;</w:t>
      </w:r>
    </w:p>
    <w:p w14:paraId="638EF237" w14:textId="77777777" w:rsidR="0086339D" w:rsidRPr="00111E49" w:rsidRDefault="0086339D" w:rsidP="009760E7">
      <w:pPr>
        <w:rPr>
          <w:lang w:val="es-ES"/>
        </w:rPr>
      </w:pPr>
      <w:r w:rsidRPr="009760E7">
        <w:rPr>
          <w:i/>
          <w:iCs/>
          <w:lang w:val="es-ES_tradnl"/>
        </w:rPr>
        <w:t>d)</w:t>
      </w:r>
      <w:r w:rsidRPr="0056409E">
        <w:rPr>
          <w:lang w:val="es-ES_tradnl"/>
        </w:rPr>
        <w:tab/>
        <w:t xml:space="preserve">que la </w:t>
      </w:r>
      <w:r w:rsidRPr="00111E49">
        <w:rPr>
          <w:lang w:val="es-ES"/>
        </w:rPr>
        <w:t>energía de radiofrecuencia podría dar lugar a la ignición no deseada de materiales inflamables o explosivos;</w:t>
      </w:r>
    </w:p>
    <w:p w14:paraId="7DEF06FC" w14:textId="77777777" w:rsidR="0086339D" w:rsidRPr="00111E49" w:rsidRDefault="0086339D" w:rsidP="009760E7">
      <w:pPr>
        <w:rPr>
          <w:lang w:val="es-ES"/>
        </w:rPr>
      </w:pPr>
      <w:r w:rsidRPr="00111E49">
        <w:rPr>
          <w:i/>
          <w:iCs/>
          <w:lang w:val="es-ES"/>
        </w:rPr>
        <w:t>e)</w:t>
      </w:r>
      <w:r w:rsidRPr="00111E49">
        <w:rPr>
          <w:lang w:val="es-ES"/>
        </w:rPr>
        <w:tab/>
        <w:t>que las autoridades competentes están efectuando determinaciones de los niveles perjudiciales de exposición y de los potenciales eléctricos, en términos de contenido espectral, intensidad, efectos acumulados, etc.;</w:t>
      </w:r>
    </w:p>
    <w:p w14:paraId="55EBFE09" w14:textId="77777777" w:rsidR="0086339D" w:rsidRPr="0056409E" w:rsidRDefault="0086339D" w:rsidP="009760E7">
      <w:pPr>
        <w:rPr>
          <w:lang w:val="es-ES_tradnl"/>
        </w:rPr>
      </w:pPr>
      <w:r w:rsidRPr="001A0386">
        <w:rPr>
          <w:i/>
          <w:iCs/>
          <w:lang w:val="es-ES_tradnl"/>
        </w:rPr>
        <w:t>f)</w:t>
      </w:r>
      <w:r w:rsidRPr="0056409E">
        <w:rPr>
          <w:lang w:val="es-ES_tradnl"/>
        </w:rPr>
        <w:tab/>
        <w:t>que las autoridades competentes están determinando las zonas en que los campos de radiofrecuencia y los potenciales eléctricos rebasan los niveles de seguridad;</w:t>
      </w:r>
    </w:p>
    <w:p w14:paraId="597D8F49" w14:textId="77777777" w:rsidR="0086339D" w:rsidRPr="0056409E" w:rsidRDefault="0086339D" w:rsidP="009760E7">
      <w:pPr>
        <w:rPr>
          <w:lang w:val="es-ES_tradnl"/>
        </w:rPr>
      </w:pPr>
      <w:r w:rsidRPr="001A0386">
        <w:rPr>
          <w:i/>
          <w:iCs/>
          <w:lang w:val="es-ES_tradnl"/>
        </w:rPr>
        <w:t>g)</w:t>
      </w:r>
      <w:r w:rsidRPr="0056409E">
        <w:rPr>
          <w:lang w:val="es-ES_tradnl"/>
        </w:rPr>
        <w:tab/>
        <w:t>que las personas ajenas a dichos sistemas podrían verse expuestas involuntariamente a campos electromagnéticos o a potenciales eléctricos;</w:t>
      </w:r>
    </w:p>
    <w:p w14:paraId="40EED290" w14:textId="77777777" w:rsidR="0086339D" w:rsidRPr="0056409E" w:rsidRDefault="0086339D" w:rsidP="0086339D">
      <w:pPr>
        <w:rPr>
          <w:lang w:val="es-ES_tradnl"/>
        </w:rPr>
      </w:pPr>
      <w:r w:rsidRPr="001A0386">
        <w:rPr>
          <w:i/>
          <w:iCs/>
          <w:lang w:val="es-ES_tradnl"/>
        </w:rPr>
        <w:t>h)</w:t>
      </w:r>
      <w:r w:rsidRPr="0056409E">
        <w:rPr>
          <w:lang w:val="es-ES_tradnl"/>
        </w:rPr>
        <w:tab/>
        <w:t>que los trabajadores encargados de</w:t>
      </w:r>
      <w:r>
        <w:rPr>
          <w:lang w:val="es-ES_tradnl"/>
        </w:rPr>
        <w:t xml:space="preserve">l funcionamiento </w:t>
      </w:r>
      <w:r w:rsidRPr="0056409E">
        <w:rPr>
          <w:lang w:val="es-ES_tradnl"/>
        </w:rPr>
        <w:t>de los sistemas de radiodifusión terrenal podrían tener que trabajar en las inmediaciones de la fuente de dichas emisiones de radiofrecuencia,</w:t>
      </w:r>
    </w:p>
    <w:p w14:paraId="2510BF7F" w14:textId="77777777" w:rsidR="0086339D" w:rsidRPr="0056409E" w:rsidRDefault="0086339D" w:rsidP="0086339D">
      <w:pPr>
        <w:pStyle w:val="Call"/>
        <w:rPr>
          <w:lang w:val="es-ES_tradnl"/>
        </w:rPr>
      </w:pPr>
      <w:r w:rsidRPr="0056409E">
        <w:rPr>
          <w:lang w:val="es-ES_tradnl"/>
        </w:rPr>
        <w:t>recomienda</w:t>
      </w:r>
    </w:p>
    <w:p w14:paraId="0E8F352B" w14:textId="77777777" w:rsidR="0086339D" w:rsidRPr="0056409E" w:rsidRDefault="0086339D" w:rsidP="0086339D">
      <w:pPr>
        <w:rPr>
          <w:lang w:val="es-ES_tradnl"/>
        </w:rPr>
      </w:pPr>
      <w:r w:rsidRPr="0056409E">
        <w:rPr>
          <w:lang w:val="es-ES_tradnl"/>
        </w:rPr>
        <w:t>que se utilice el Anexo 1 a la presente Recomendación para evaluar los campos electro</w:t>
      </w:r>
      <w:r w:rsidRPr="0056409E">
        <w:rPr>
          <w:lang w:val="es-ES_tradnl"/>
        </w:rPr>
        <w:softHyphen/>
        <w:t>magnéticos generados por los sistemas transmisores de radiodifusión terrenal, con miras a determinar la exposición de las personas a las emisiones no ionizantes.</w:t>
      </w:r>
    </w:p>
    <w:p w14:paraId="4EA5259B" w14:textId="77777777" w:rsidR="001A0386" w:rsidRPr="00111E49" w:rsidRDefault="001A0386" w:rsidP="003066E4">
      <w:pPr>
        <w:rPr>
          <w:lang w:val="es-ES"/>
        </w:rPr>
      </w:pPr>
    </w:p>
    <w:p w14:paraId="26F777C8" w14:textId="3594677E" w:rsidR="0086339D" w:rsidRPr="00111E49" w:rsidRDefault="0086339D" w:rsidP="009B7BC8">
      <w:pPr>
        <w:pStyle w:val="AnnexNoTitle"/>
        <w:rPr>
          <w:lang w:val="es-ES"/>
        </w:rPr>
      </w:pPr>
      <w:bookmarkStart w:id="70" w:name="_Toc162444556"/>
      <w:bookmarkStart w:id="71" w:name="_Toc162518190"/>
      <w:bookmarkStart w:id="72" w:name="_Toc162518712"/>
      <w:r w:rsidRPr="00111E49">
        <w:rPr>
          <w:lang w:val="es-ES"/>
        </w:rPr>
        <w:t>Anexo 1</w:t>
      </w:r>
      <w:r w:rsidRPr="00111E49">
        <w:rPr>
          <w:lang w:val="es-ES"/>
        </w:rPr>
        <w:br/>
      </w:r>
      <w:r w:rsidRPr="00111E49">
        <w:rPr>
          <w:lang w:val="es-ES"/>
        </w:rPr>
        <w:br/>
        <w:t xml:space="preserve">Evaluación de los campos electromagnéticos de los sistemas transmisores de radiodifusión terrenal para evaluar la exposición de las personas </w:t>
      </w:r>
      <w:r w:rsidR="00F61AE9">
        <w:rPr>
          <w:lang w:val="es-ES"/>
        </w:rPr>
        <w:br/>
      </w:r>
      <w:r w:rsidRPr="00111E49">
        <w:rPr>
          <w:lang w:val="es-ES"/>
        </w:rPr>
        <w:t>a las emisiones no ionizantes</w:t>
      </w:r>
      <w:bookmarkEnd w:id="70"/>
      <w:bookmarkEnd w:id="71"/>
      <w:bookmarkEnd w:id="72"/>
    </w:p>
    <w:p w14:paraId="6704C9B2" w14:textId="77777777" w:rsidR="0086339D" w:rsidRPr="003066E4" w:rsidRDefault="0086339D" w:rsidP="00AB59A2">
      <w:pPr>
        <w:pStyle w:val="Header"/>
        <w:tabs>
          <w:tab w:val="clear" w:pos="4848"/>
          <w:tab w:val="clear" w:pos="9696"/>
          <w:tab w:val="left" w:pos="794"/>
          <w:tab w:val="left" w:pos="1191"/>
          <w:tab w:val="left" w:pos="1588"/>
          <w:tab w:val="left" w:pos="1985"/>
        </w:tabs>
        <w:spacing w:before="240"/>
        <w:rPr>
          <w:bCs/>
          <w:lang w:val="es-ES_tradnl"/>
        </w:rPr>
      </w:pPr>
      <w:r w:rsidRPr="003066E4">
        <w:rPr>
          <w:bCs/>
          <w:lang w:val="es-ES_tradnl"/>
        </w:rPr>
        <w:t>ÍNDICE</w:t>
      </w:r>
    </w:p>
    <w:p w14:paraId="3DBAB204" w14:textId="77777777" w:rsidR="0086339D" w:rsidRPr="0056409E" w:rsidRDefault="0086339D" w:rsidP="0086339D">
      <w:pPr>
        <w:pStyle w:val="toc0"/>
        <w:rPr>
          <w:lang w:val="es-ES_tradnl"/>
        </w:rPr>
      </w:pPr>
      <w:r w:rsidRPr="003066E4">
        <w:rPr>
          <w:lang w:val="es-ES_tradnl"/>
        </w:rPr>
        <w:tab/>
        <w:t>Página</w:t>
      </w:r>
    </w:p>
    <w:bookmarkStart w:id="73" w:name="_Toc65545964"/>
    <w:bookmarkStart w:id="74" w:name="_Toc65546151"/>
    <w:bookmarkStart w:id="75" w:name="_Toc65546313"/>
    <w:bookmarkStart w:id="76" w:name="_Toc86461497"/>
    <w:bookmarkStart w:id="77" w:name="_Toc162005887"/>
    <w:bookmarkStart w:id="78" w:name="_Toc162006211"/>
    <w:p w14:paraId="1A8479C9" w14:textId="47C865DF" w:rsidR="00AB272E" w:rsidRDefault="00AB272E">
      <w:pPr>
        <w:pStyle w:val="TOC1"/>
        <w:rPr>
          <w:rFonts w:asciiTheme="minorHAnsi" w:eastAsiaTheme="minorEastAsia" w:hAnsiTheme="minorHAnsi" w:cstheme="minorBidi"/>
          <w:noProof/>
          <w:kern w:val="2"/>
          <w:sz w:val="22"/>
          <w:szCs w:val="22"/>
          <w:lang w:val="en-GB" w:eastAsia="en-GB"/>
          <w14:ligatures w14:val="standardContextual"/>
        </w:rPr>
      </w:pPr>
      <w:r>
        <w:rPr>
          <w:lang w:val="es-ES_tradnl"/>
        </w:rPr>
        <w:fldChar w:fldCharType="begin"/>
      </w:r>
      <w:r>
        <w:rPr>
          <w:lang w:val="es-ES_tradnl"/>
        </w:rPr>
        <w:instrText xml:space="preserve"> TOC \h \z \t "Heading 1,1,Heading 2,2,Annex_NoTitle,1,Appendix_NoTitle,1" </w:instrText>
      </w:r>
      <w:r>
        <w:rPr>
          <w:lang w:val="es-ES_tradnl"/>
        </w:rPr>
        <w:fldChar w:fldCharType="separate"/>
      </w:r>
      <w:hyperlink w:anchor="_Toc162518711" w:history="1">
        <w:r w:rsidRPr="00651DB3">
          <w:rPr>
            <w:rStyle w:val="Hyperlink"/>
            <w:noProof/>
            <w:lang w:val="es-ES_tradnl"/>
          </w:rPr>
          <w:t>Política sobre Derechos de Propiedad Intelectual (IPR)</w:t>
        </w:r>
        <w:r>
          <w:rPr>
            <w:noProof/>
            <w:webHidden/>
          </w:rPr>
          <w:tab/>
        </w:r>
        <w:r w:rsidR="00AB59A2">
          <w:rPr>
            <w:noProof/>
            <w:webHidden/>
          </w:rPr>
          <w:tab/>
        </w:r>
        <w:r>
          <w:rPr>
            <w:noProof/>
            <w:webHidden/>
          </w:rPr>
          <w:fldChar w:fldCharType="begin"/>
        </w:r>
        <w:r>
          <w:rPr>
            <w:noProof/>
            <w:webHidden/>
          </w:rPr>
          <w:instrText xml:space="preserve"> PAGEREF _Toc162518711 \h </w:instrText>
        </w:r>
        <w:r>
          <w:rPr>
            <w:noProof/>
            <w:webHidden/>
          </w:rPr>
        </w:r>
        <w:r>
          <w:rPr>
            <w:noProof/>
            <w:webHidden/>
          </w:rPr>
          <w:fldChar w:fldCharType="separate"/>
        </w:r>
        <w:r w:rsidR="00736DAC">
          <w:rPr>
            <w:noProof/>
            <w:webHidden/>
          </w:rPr>
          <w:t>ii</w:t>
        </w:r>
        <w:r>
          <w:rPr>
            <w:noProof/>
            <w:webHidden/>
          </w:rPr>
          <w:fldChar w:fldCharType="end"/>
        </w:r>
      </w:hyperlink>
    </w:p>
    <w:p w14:paraId="6740C518" w14:textId="40F77720" w:rsidR="00AB272E" w:rsidRDefault="00AB272E">
      <w:pPr>
        <w:pStyle w:val="TOC1"/>
        <w:rPr>
          <w:rFonts w:asciiTheme="minorHAnsi" w:eastAsiaTheme="minorEastAsia" w:hAnsiTheme="minorHAnsi" w:cstheme="minorBidi"/>
          <w:noProof/>
          <w:kern w:val="2"/>
          <w:sz w:val="22"/>
          <w:szCs w:val="22"/>
          <w:lang w:val="en-GB" w:eastAsia="en-GB"/>
          <w14:ligatures w14:val="standardContextual"/>
        </w:rPr>
      </w:pPr>
      <w:hyperlink w:anchor="_Toc162518712" w:history="1">
        <w:r w:rsidRPr="00651DB3">
          <w:rPr>
            <w:rStyle w:val="Hyperlink"/>
            <w:noProof/>
            <w:lang w:val="es-ES"/>
          </w:rPr>
          <w:t xml:space="preserve">Anexo 1 </w:t>
        </w:r>
        <w:r w:rsidR="00AB59A2">
          <w:rPr>
            <w:rStyle w:val="Hyperlink"/>
            <w:noProof/>
            <w:lang w:val="es-ES"/>
          </w:rPr>
          <w:t>–</w:t>
        </w:r>
        <w:r w:rsidRPr="00651DB3">
          <w:rPr>
            <w:rStyle w:val="Hyperlink"/>
            <w:noProof/>
            <w:lang w:val="es-ES"/>
          </w:rPr>
          <w:t xml:space="preserve"> Evaluación de los campos electromagnéticos de los sistemas transmisores de radiodifusión terrenal para evaluar la exposición de las personas  a las emisiones no ionizantes</w:t>
        </w:r>
        <w:r>
          <w:rPr>
            <w:noProof/>
            <w:webHidden/>
          </w:rPr>
          <w:tab/>
        </w:r>
        <w:r w:rsidR="00AB59A2">
          <w:rPr>
            <w:noProof/>
            <w:webHidden/>
          </w:rPr>
          <w:tab/>
        </w:r>
        <w:r>
          <w:rPr>
            <w:noProof/>
            <w:webHidden/>
          </w:rPr>
          <w:fldChar w:fldCharType="begin"/>
        </w:r>
        <w:r>
          <w:rPr>
            <w:noProof/>
            <w:webHidden/>
          </w:rPr>
          <w:instrText xml:space="preserve"> PAGEREF _Toc162518712 \h </w:instrText>
        </w:r>
        <w:r>
          <w:rPr>
            <w:noProof/>
            <w:webHidden/>
          </w:rPr>
        </w:r>
        <w:r>
          <w:rPr>
            <w:noProof/>
            <w:webHidden/>
          </w:rPr>
          <w:fldChar w:fldCharType="separate"/>
        </w:r>
        <w:r w:rsidR="00736DAC">
          <w:rPr>
            <w:noProof/>
            <w:webHidden/>
          </w:rPr>
          <w:t>3</w:t>
        </w:r>
        <w:r>
          <w:rPr>
            <w:noProof/>
            <w:webHidden/>
          </w:rPr>
          <w:fldChar w:fldCharType="end"/>
        </w:r>
      </w:hyperlink>
    </w:p>
    <w:p w14:paraId="3AD628F3" w14:textId="0D388663" w:rsidR="00AB272E" w:rsidRDefault="00AB272E">
      <w:pPr>
        <w:pStyle w:val="TOC1"/>
        <w:rPr>
          <w:rFonts w:asciiTheme="minorHAnsi" w:eastAsiaTheme="minorEastAsia" w:hAnsiTheme="minorHAnsi" w:cstheme="minorBidi"/>
          <w:noProof/>
          <w:kern w:val="2"/>
          <w:sz w:val="22"/>
          <w:szCs w:val="22"/>
          <w:lang w:val="en-GB" w:eastAsia="en-GB"/>
          <w14:ligatures w14:val="standardContextual"/>
        </w:rPr>
      </w:pPr>
      <w:hyperlink w:anchor="_Toc162518713" w:history="1">
        <w:r w:rsidRPr="00651DB3">
          <w:rPr>
            <w:rStyle w:val="Hyperlink"/>
            <w:noProof/>
            <w:lang w:val="es-ES_tradnl"/>
          </w:rPr>
          <w:t>1</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Introducción</w:t>
        </w:r>
        <w:r>
          <w:rPr>
            <w:noProof/>
            <w:webHidden/>
          </w:rPr>
          <w:tab/>
        </w:r>
        <w:r w:rsidR="00AB59A2">
          <w:rPr>
            <w:noProof/>
            <w:webHidden/>
          </w:rPr>
          <w:tab/>
        </w:r>
        <w:r>
          <w:rPr>
            <w:noProof/>
            <w:webHidden/>
          </w:rPr>
          <w:fldChar w:fldCharType="begin"/>
        </w:r>
        <w:r>
          <w:rPr>
            <w:noProof/>
            <w:webHidden/>
          </w:rPr>
          <w:instrText xml:space="preserve"> PAGEREF _Toc162518713 \h </w:instrText>
        </w:r>
        <w:r>
          <w:rPr>
            <w:noProof/>
            <w:webHidden/>
          </w:rPr>
        </w:r>
        <w:r>
          <w:rPr>
            <w:noProof/>
            <w:webHidden/>
          </w:rPr>
          <w:fldChar w:fldCharType="separate"/>
        </w:r>
        <w:r w:rsidR="00736DAC">
          <w:rPr>
            <w:noProof/>
            <w:webHidden/>
          </w:rPr>
          <w:t>5</w:t>
        </w:r>
        <w:r>
          <w:rPr>
            <w:noProof/>
            <w:webHidden/>
          </w:rPr>
          <w:fldChar w:fldCharType="end"/>
        </w:r>
      </w:hyperlink>
    </w:p>
    <w:p w14:paraId="44EDB616" w14:textId="23FF967B" w:rsidR="00AB272E" w:rsidRDefault="00AB272E">
      <w:pPr>
        <w:pStyle w:val="TOC1"/>
        <w:rPr>
          <w:rFonts w:asciiTheme="minorHAnsi" w:eastAsiaTheme="minorEastAsia" w:hAnsiTheme="minorHAnsi" w:cstheme="minorBidi"/>
          <w:noProof/>
          <w:kern w:val="2"/>
          <w:sz w:val="22"/>
          <w:szCs w:val="22"/>
          <w:lang w:val="en-GB" w:eastAsia="en-GB"/>
          <w14:ligatures w14:val="standardContextual"/>
        </w:rPr>
      </w:pPr>
      <w:hyperlink w:anchor="_Toc162518714" w:history="1">
        <w:r w:rsidRPr="00651DB3">
          <w:rPr>
            <w:rStyle w:val="Hyperlink"/>
            <w:noProof/>
            <w:lang w:val="es-ES_tradnl"/>
          </w:rPr>
          <w:t>2</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Características de los campos electromagnéticos</w:t>
        </w:r>
        <w:r>
          <w:rPr>
            <w:noProof/>
            <w:webHidden/>
          </w:rPr>
          <w:tab/>
        </w:r>
        <w:r w:rsidR="00AB59A2">
          <w:rPr>
            <w:noProof/>
            <w:webHidden/>
          </w:rPr>
          <w:tab/>
        </w:r>
        <w:r>
          <w:rPr>
            <w:noProof/>
            <w:webHidden/>
          </w:rPr>
          <w:fldChar w:fldCharType="begin"/>
        </w:r>
        <w:r>
          <w:rPr>
            <w:noProof/>
            <w:webHidden/>
          </w:rPr>
          <w:instrText xml:space="preserve"> PAGEREF _Toc162518714 \h </w:instrText>
        </w:r>
        <w:r>
          <w:rPr>
            <w:noProof/>
            <w:webHidden/>
          </w:rPr>
        </w:r>
        <w:r>
          <w:rPr>
            <w:noProof/>
            <w:webHidden/>
          </w:rPr>
          <w:fldChar w:fldCharType="separate"/>
        </w:r>
        <w:r w:rsidR="00736DAC">
          <w:rPr>
            <w:noProof/>
            <w:webHidden/>
          </w:rPr>
          <w:t>6</w:t>
        </w:r>
        <w:r>
          <w:rPr>
            <w:noProof/>
            <w:webHidden/>
          </w:rPr>
          <w:fldChar w:fldCharType="end"/>
        </w:r>
      </w:hyperlink>
    </w:p>
    <w:p w14:paraId="6E6F5297" w14:textId="7423D333" w:rsidR="00AB272E" w:rsidRDefault="00AB272E">
      <w:pPr>
        <w:pStyle w:val="TOC2"/>
        <w:rPr>
          <w:rFonts w:asciiTheme="minorHAnsi" w:eastAsiaTheme="minorEastAsia" w:hAnsiTheme="minorHAnsi" w:cstheme="minorBidi"/>
          <w:noProof/>
          <w:kern w:val="2"/>
          <w:sz w:val="22"/>
          <w:szCs w:val="22"/>
          <w:lang w:val="en-GB" w:eastAsia="en-GB"/>
          <w14:ligatures w14:val="standardContextual"/>
        </w:rPr>
      </w:pPr>
      <w:hyperlink w:anchor="_Toc162518715" w:history="1">
        <w:r w:rsidRPr="00651DB3">
          <w:rPr>
            <w:rStyle w:val="Hyperlink"/>
            <w:noProof/>
            <w:lang w:val="es-ES_tradnl"/>
          </w:rPr>
          <w:t>2.1</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Características generales de los campos electromagnéticos</w:t>
        </w:r>
        <w:r>
          <w:rPr>
            <w:noProof/>
            <w:webHidden/>
          </w:rPr>
          <w:tab/>
        </w:r>
        <w:r w:rsidR="00AB59A2">
          <w:rPr>
            <w:noProof/>
            <w:webHidden/>
          </w:rPr>
          <w:tab/>
        </w:r>
        <w:r>
          <w:rPr>
            <w:noProof/>
            <w:webHidden/>
          </w:rPr>
          <w:fldChar w:fldCharType="begin"/>
        </w:r>
        <w:r>
          <w:rPr>
            <w:noProof/>
            <w:webHidden/>
          </w:rPr>
          <w:instrText xml:space="preserve"> PAGEREF _Toc162518715 \h </w:instrText>
        </w:r>
        <w:r>
          <w:rPr>
            <w:noProof/>
            <w:webHidden/>
          </w:rPr>
        </w:r>
        <w:r>
          <w:rPr>
            <w:noProof/>
            <w:webHidden/>
          </w:rPr>
          <w:fldChar w:fldCharType="separate"/>
        </w:r>
        <w:r w:rsidR="00736DAC">
          <w:rPr>
            <w:noProof/>
            <w:webHidden/>
          </w:rPr>
          <w:t>6</w:t>
        </w:r>
        <w:r>
          <w:rPr>
            <w:noProof/>
            <w:webHidden/>
          </w:rPr>
          <w:fldChar w:fldCharType="end"/>
        </w:r>
      </w:hyperlink>
    </w:p>
    <w:p w14:paraId="3FC05A93" w14:textId="130789C0" w:rsidR="00AB272E" w:rsidRDefault="00AB272E">
      <w:pPr>
        <w:pStyle w:val="TOC2"/>
        <w:rPr>
          <w:rFonts w:asciiTheme="minorHAnsi" w:eastAsiaTheme="minorEastAsia" w:hAnsiTheme="minorHAnsi" w:cstheme="minorBidi"/>
          <w:noProof/>
          <w:kern w:val="2"/>
          <w:sz w:val="22"/>
          <w:szCs w:val="22"/>
          <w:lang w:val="en-GB" w:eastAsia="en-GB"/>
          <w14:ligatures w14:val="standardContextual"/>
        </w:rPr>
      </w:pPr>
      <w:hyperlink w:anchor="_Toc162518716" w:history="1">
        <w:r w:rsidRPr="00651DB3">
          <w:rPr>
            <w:rStyle w:val="Hyperlink"/>
            <w:noProof/>
            <w:lang w:val="es-ES_tradnl"/>
          </w:rPr>
          <w:t>2.2</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Niveles de exposición a la intensidad de campo cerca de las antenas de radiodifusión</w:t>
        </w:r>
        <w:r>
          <w:rPr>
            <w:noProof/>
            <w:webHidden/>
          </w:rPr>
          <w:tab/>
        </w:r>
        <w:r w:rsidR="00AB59A2">
          <w:rPr>
            <w:noProof/>
            <w:webHidden/>
          </w:rPr>
          <w:tab/>
        </w:r>
        <w:r>
          <w:rPr>
            <w:noProof/>
            <w:webHidden/>
          </w:rPr>
          <w:fldChar w:fldCharType="begin"/>
        </w:r>
        <w:r>
          <w:rPr>
            <w:noProof/>
            <w:webHidden/>
          </w:rPr>
          <w:instrText xml:space="preserve"> PAGEREF _Toc162518716 \h </w:instrText>
        </w:r>
        <w:r>
          <w:rPr>
            <w:noProof/>
            <w:webHidden/>
          </w:rPr>
        </w:r>
        <w:r>
          <w:rPr>
            <w:noProof/>
            <w:webHidden/>
          </w:rPr>
          <w:fldChar w:fldCharType="separate"/>
        </w:r>
        <w:r w:rsidR="00736DAC">
          <w:rPr>
            <w:noProof/>
            <w:webHidden/>
          </w:rPr>
          <w:t>10</w:t>
        </w:r>
        <w:r>
          <w:rPr>
            <w:noProof/>
            <w:webHidden/>
          </w:rPr>
          <w:fldChar w:fldCharType="end"/>
        </w:r>
      </w:hyperlink>
    </w:p>
    <w:p w14:paraId="515F8CA6" w14:textId="5BA18C6B" w:rsidR="00AB272E" w:rsidRDefault="00AB272E">
      <w:pPr>
        <w:pStyle w:val="TOC2"/>
        <w:rPr>
          <w:rFonts w:asciiTheme="minorHAnsi" w:eastAsiaTheme="minorEastAsia" w:hAnsiTheme="minorHAnsi" w:cstheme="minorBidi"/>
          <w:noProof/>
          <w:kern w:val="2"/>
          <w:sz w:val="22"/>
          <w:szCs w:val="22"/>
          <w:lang w:val="en-GB" w:eastAsia="en-GB"/>
          <w14:ligatures w14:val="standardContextual"/>
        </w:rPr>
      </w:pPr>
      <w:hyperlink w:anchor="_Toc162518717" w:history="1">
        <w:r w:rsidRPr="00651DB3">
          <w:rPr>
            <w:rStyle w:val="Hyperlink"/>
            <w:noProof/>
            <w:lang w:val="es-ES_tradnl"/>
          </w:rPr>
          <w:t>2.3</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Campo de frecuencias combinado</w:t>
        </w:r>
        <w:r>
          <w:rPr>
            <w:noProof/>
            <w:webHidden/>
          </w:rPr>
          <w:tab/>
        </w:r>
        <w:r w:rsidR="00AB59A2">
          <w:rPr>
            <w:noProof/>
            <w:webHidden/>
          </w:rPr>
          <w:tab/>
        </w:r>
        <w:r>
          <w:rPr>
            <w:noProof/>
            <w:webHidden/>
          </w:rPr>
          <w:fldChar w:fldCharType="begin"/>
        </w:r>
        <w:r>
          <w:rPr>
            <w:noProof/>
            <w:webHidden/>
          </w:rPr>
          <w:instrText xml:space="preserve"> PAGEREF _Toc162518717 \h </w:instrText>
        </w:r>
        <w:r>
          <w:rPr>
            <w:noProof/>
            <w:webHidden/>
          </w:rPr>
        </w:r>
        <w:r>
          <w:rPr>
            <w:noProof/>
            <w:webHidden/>
          </w:rPr>
          <w:fldChar w:fldCharType="separate"/>
        </w:r>
        <w:r w:rsidR="00736DAC">
          <w:rPr>
            <w:noProof/>
            <w:webHidden/>
          </w:rPr>
          <w:t>13</w:t>
        </w:r>
        <w:r>
          <w:rPr>
            <w:noProof/>
            <w:webHidden/>
          </w:rPr>
          <w:fldChar w:fldCharType="end"/>
        </w:r>
      </w:hyperlink>
    </w:p>
    <w:p w14:paraId="59A38E93" w14:textId="6B0E5F23" w:rsidR="00AB272E" w:rsidRDefault="00AB272E">
      <w:pPr>
        <w:pStyle w:val="TOC2"/>
        <w:rPr>
          <w:rStyle w:val="Hyperlink"/>
          <w:noProof/>
        </w:rPr>
      </w:pPr>
      <w:hyperlink w:anchor="_Toc162518718" w:history="1">
        <w:r w:rsidRPr="00651DB3">
          <w:rPr>
            <w:rStyle w:val="Hyperlink"/>
            <w:noProof/>
            <w:lang w:val="es-ES_tradnl"/>
          </w:rPr>
          <w:t>2.4</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CEM en el interior de edificios</w:t>
        </w:r>
        <w:r>
          <w:rPr>
            <w:noProof/>
            <w:webHidden/>
          </w:rPr>
          <w:tab/>
        </w:r>
        <w:r w:rsidR="00AB59A2">
          <w:rPr>
            <w:noProof/>
            <w:webHidden/>
          </w:rPr>
          <w:tab/>
        </w:r>
        <w:r>
          <w:rPr>
            <w:noProof/>
            <w:webHidden/>
          </w:rPr>
          <w:fldChar w:fldCharType="begin"/>
        </w:r>
        <w:r>
          <w:rPr>
            <w:noProof/>
            <w:webHidden/>
          </w:rPr>
          <w:instrText xml:space="preserve"> PAGEREF _Toc162518718 \h </w:instrText>
        </w:r>
        <w:r>
          <w:rPr>
            <w:noProof/>
            <w:webHidden/>
          </w:rPr>
        </w:r>
        <w:r>
          <w:rPr>
            <w:noProof/>
            <w:webHidden/>
          </w:rPr>
          <w:fldChar w:fldCharType="separate"/>
        </w:r>
        <w:r w:rsidR="00736DAC">
          <w:rPr>
            <w:noProof/>
            <w:webHidden/>
          </w:rPr>
          <w:t>13</w:t>
        </w:r>
        <w:r>
          <w:rPr>
            <w:noProof/>
            <w:webHidden/>
          </w:rPr>
          <w:fldChar w:fldCharType="end"/>
        </w:r>
      </w:hyperlink>
    </w:p>
    <w:p w14:paraId="7C46C841" w14:textId="77777777" w:rsidR="00907AFB" w:rsidRPr="0056409E" w:rsidRDefault="00907AFB" w:rsidP="00907AFB">
      <w:pPr>
        <w:pStyle w:val="toc0"/>
        <w:keepNext/>
        <w:keepLines/>
        <w:rPr>
          <w:noProof/>
          <w:lang w:val="es-ES_tradnl"/>
        </w:rPr>
      </w:pPr>
      <w:r w:rsidRPr="003066E4">
        <w:rPr>
          <w:noProof/>
          <w:lang w:val="es-ES_tradnl"/>
        </w:rPr>
        <w:lastRenderedPageBreak/>
        <w:tab/>
        <w:t>Página</w:t>
      </w:r>
    </w:p>
    <w:p w14:paraId="72A1882C" w14:textId="2EBB655D" w:rsidR="00AB272E" w:rsidRDefault="00AB272E" w:rsidP="00907AFB">
      <w:pPr>
        <w:pStyle w:val="TOC1"/>
        <w:keepNext/>
        <w:rPr>
          <w:rFonts w:asciiTheme="minorHAnsi" w:eastAsiaTheme="minorEastAsia" w:hAnsiTheme="minorHAnsi" w:cstheme="minorBidi"/>
          <w:noProof/>
          <w:kern w:val="2"/>
          <w:sz w:val="22"/>
          <w:szCs w:val="22"/>
          <w:lang w:val="en-GB" w:eastAsia="en-GB"/>
          <w14:ligatures w14:val="standardContextual"/>
        </w:rPr>
      </w:pPr>
      <w:hyperlink w:anchor="_Toc162518719" w:history="1">
        <w:r w:rsidRPr="00651DB3">
          <w:rPr>
            <w:rStyle w:val="Hyperlink"/>
            <w:noProof/>
            <w:lang w:val="es-ES_tradnl"/>
          </w:rPr>
          <w:t>3</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Cálculo</w:t>
        </w:r>
        <w:r>
          <w:rPr>
            <w:noProof/>
            <w:webHidden/>
          </w:rPr>
          <w:tab/>
        </w:r>
        <w:r w:rsidR="00AB59A2">
          <w:rPr>
            <w:noProof/>
            <w:webHidden/>
          </w:rPr>
          <w:tab/>
        </w:r>
        <w:r>
          <w:rPr>
            <w:noProof/>
            <w:webHidden/>
          </w:rPr>
          <w:fldChar w:fldCharType="begin"/>
        </w:r>
        <w:r>
          <w:rPr>
            <w:noProof/>
            <w:webHidden/>
          </w:rPr>
          <w:instrText xml:space="preserve"> PAGEREF _Toc162518719 \h </w:instrText>
        </w:r>
        <w:r>
          <w:rPr>
            <w:noProof/>
            <w:webHidden/>
          </w:rPr>
        </w:r>
        <w:r>
          <w:rPr>
            <w:noProof/>
            <w:webHidden/>
          </w:rPr>
          <w:fldChar w:fldCharType="separate"/>
        </w:r>
        <w:r w:rsidR="00736DAC">
          <w:rPr>
            <w:noProof/>
            <w:webHidden/>
          </w:rPr>
          <w:t>14</w:t>
        </w:r>
        <w:r>
          <w:rPr>
            <w:noProof/>
            <w:webHidden/>
          </w:rPr>
          <w:fldChar w:fldCharType="end"/>
        </w:r>
      </w:hyperlink>
    </w:p>
    <w:p w14:paraId="39F1F9F8" w14:textId="4F0AF01B" w:rsidR="00AB272E" w:rsidRDefault="00AB272E">
      <w:pPr>
        <w:pStyle w:val="TOC2"/>
        <w:rPr>
          <w:rFonts w:asciiTheme="minorHAnsi" w:eastAsiaTheme="minorEastAsia" w:hAnsiTheme="minorHAnsi" w:cstheme="minorBidi"/>
          <w:noProof/>
          <w:kern w:val="2"/>
          <w:sz w:val="22"/>
          <w:szCs w:val="22"/>
          <w:lang w:val="en-GB" w:eastAsia="en-GB"/>
          <w14:ligatures w14:val="standardContextual"/>
        </w:rPr>
      </w:pPr>
      <w:hyperlink w:anchor="_Toc162518720" w:history="1">
        <w:r w:rsidRPr="00651DB3">
          <w:rPr>
            <w:rStyle w:val="Hyperlink"/>
            <w:noProof/>
            <w:lang w:val="es-ES_tradnl"/>
          </w:rPr>
          <w:t>3.1</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Procedimientos</w:t>
        </w:r>
        <w:r>
          <w:rPr>
            <w:noProof/>
            <w:webHidden/>
          </w:rPr>
          <w:tab/>
        </w:r>
        <w:r w:rsidR="00AB59A2">
          <w:rPr>
            <w:noProof/>
            <w:webHidden/>
          </w:rPr>
          <w:tab/>
        </w:r>
        <w:r>
          <w:rPr>
            <w:noProof/>
            <w:webHidden/>
          </w:rPr>
          <w:fldChar w:fldCharType="begin"/>
        </w:r>
        <w:r>
          <w:rPr>
            <w:noProof/>
            <w:webHidden/>
          </w:rPr>
          <w:instrText xml:space="preserve"> PAGEREF _Toc162518720 \h </w:instrText>
        </w:r>
        <w:r>
          <w:rPr>
            <w:noProof/>
            <w:webHidden/>
          </w:rPr>
        </w:r>
        <w:r>
          <w:rPr>
            <w:noProof/>
            <w:webHidden/>
          </w:rPr>
          <w:fldChar w:fldCharType="separate"/>
        </w:r>
        <w:r w:rsidR="00736DAC">
          <w:rPr>
            <w:noProof/>
            <w:webHidden/>
          </w:rPr>
          <w:t>14</w:t>
        </w:r>
        <w:r>
          <w:rPr>
            <w:noProof/>
            <w:webHidden/>
          </w:rPr>
          <w:fldChar w:fldCharType="end"/>
        </w:r>
      </w:hyperlink>
    </w:p>
    <w:p w14:paraId="130F6DD9" w14:textId="23C2C1DA" w:rsidR="00AB272E" w:rsidRDefault="00AB272E">
      <w:pPr>
        <w:pStyle w:val="TOC2"/>
        <w:rPr>
          <w:rStyle w:val="Hyperlink"/>
          <w:noProof/>
        </w:rPr>
      </w:pPr>
      <w:hyperlink w:anchor="_Toc162518721" w:history="1">
        <w:r w:rsidRPr="00651DB3">
          <w:rPr>
            <w:rStyle w:val="Hyperlink"/>
            <w:noProof/>
            <w:lang w:val="es-ES_tradnl"/>
          </w:rPr>
          <w:t>3.2</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Soluciones cerradas</w:t>
        </w:r>
        <w:r>
          <w:rPr>
            <w:noProof/>
            <w:webHidden/>
          </w:rPr>
          <w:tab/>
        </w:r>
        <w:r w:rsidR="00AB59A2">
          <w:rPr>
            <w:noProof/>
            <w:webHidden/>
          </w:rPr>
          <w:tab/>
        </w:r>
        <w:r>
          <w:rPr>
            <w:noProof/>
            <w:webHidden/>
          </w:rPr>
          <w:fldChar w:fldCharType="begin"/>
        </w:r>
        <w:r>
          <w:rPr>
            <w:noProof/>
            <w:webHidden/>
          </w:rPr>
          <w:instrText xml:space="preserve"> PAGEREF _Toc162518721 \h </w:instrText>
        </w:r>
        <w:r>
          <w:rPr>
            <w:noProof/>
            <w:webHidden/>
          </w:rPr>
        </w:r>
        <w:r>
          <w:rPr>
            <w:noProof/>
            <w:webHidden/>
          </w:rPr>
          <w:fldChar w:fldCharType="separate"/>
        </w:r>
        <w:r w:rsidR="00736DAC">
          <w:rPr>
            <w:noProof/>
            <w:webHidden/>
          </w:rPr>
          <w:t>14</w:t>
        </w:r>
        <w:r>
          <w:rPr>
            <w:noProof/>
            <w:webHidden/>
          </w:rPr>
          <w:fldChar w:fldCharType="end"/>
        </w:r>
      </w:hyperlink>
    </w:p>
    <w:p w14:paraId="51F5CDA3" w14:textId="13F63066" w:rsidR="00AB272E" w:rsidRDefault="00AB272E" w:rsidP="00AB59A2">
      <w:pPr>
        <w:pStyle w:val="TOC1"/>
        <w:keepNext/>
        <w:rPr>
          <w:rFonts w:asciiTheme="minorHAnsi" w:eastAsiaTheme="minorEastAsia" w:hAnsiTheme="minorHAnsi" w:cstheme="minorBidi"/>
          <w:noProof/>
          <w:kern w:val="2"/>
          <w:sz w:val="22"/>
          <w:szCs w:val="22"/>
          <w:lang w:val="en-GB" w:eastAsia="en-GB"/>
          <w14:ligatures w14:val="standardContextual"/>
        </w:rPr>
      </w:pPr>
      <w:hyperlink w:anchor="_Toc162518722" w:history="1">
        <w:r w:rsidRPr="00651DB3">
          <w:rPr>
            <w:rStyle w:val="Hyperlink"/>
            <w:noProof/>
            <w:lang w:val="es-ES_tradnl"/>
          </w:rPr>
          <w:t>4</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Mediciones</w:t>
        </w:r>
        <w:r>
          <w:rPr>
            <w:noProof/>
            <w:webHidden/>
          </w:rPr>
          <w:tab/>
        </w:r>
        <w:r w:rsidR="00AB59A2">
          <w:rPr>
            <w:noProof/>
            <w:webHidden/>
          </w:rPr>
          <w:tab/>
        </w:r>
        <w:r>
          <w:rPr>
            <w:noProof/>
            <w:webHidden/>
          </w:rPr>
          <w:fldChar w:fldCharType="begin"/>
        </w:r>
        <w:r>
          <w:rPr>
            <w:noProof/>
            <w:webHidden/>
          </w:rPr>
          <w:instrText xml:space="preserve"> PAGEREF _Toc162518722 \h </w:instrText>
        </w:r>
        <w:r>
          <w:rPr>
            <w:noProof/>
            <w:webHidden/>
          </w:rPr>
        </w:r>
        <w:r>
          <w:rPr>
            <w:noProof/>
            <w:webHidden/>
          </w:rPr>
          <w:fldChar w:fldCharType="separate"/>
        </w:r>
        <w:r w:rsidR="00736DAC">
          <w:rPr>
            <w:noProof/>
            <w:webHidden/>
          </w:rPr>
          <w:t>15</w:t>
        </w:r>
        <w:r>
          <w:rPr>
            <w:noProof/>
            <w:webHidden/>
          </w:rPr>
          <w:fldChar w:fldCharType="end"/>
        </w:r>
      </w:hyperlink>
    </w:p>
    <w:p w14:paraId="5DDEBBB5" w14:textId="59E83526" w:rsidR="00AB272E" w:rsidRDefault="00AB272E">
      <w:pPr>
        <w:pStyle w:val="TOC2"/>
        <w:rPr>
          <w:rFonts w:asciiTheme="minorHAnsi" w:eastAsiaTheme="minorEastAsia" w:hAnsiTheme="minorHAnsi" w:cstheme="minorBidi"/>
          <w:noProof/>
          <w:kern w:val="2"/>
          <w:sz w:val="22"/>
          <w:szCs w:val="22"/>
          <w:lang w:val="en-GB" w:eastAsia="en-GB"/>
          <w14:ligatures w14:val="standardContextual"/>
        </w:rPr>
      </w:pPr>
      <w:hyperlink w:anchor="_Toc162518723" w:history="1">
        <w:r w:rsidRPr="00651DB3">
          <w:rPr>
            <w:rStyle w:val="Hyperlink"/>
            <w:noProof/>
            <w:lang w:val="es-ES_tradnl"/>
          </w:rPr>
          <w:t>4.1</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Procedimientos</w:t>
        </w:r>
        <w:r>
          <w:rPr>
            <w:noProof/>
            <w:webHidden/>
          </w:rPr>
          <w:tab/>
        </w:r>
        <w:r w:rsidR="00AB59A2">
          <w:rPr>
            <w:noProof/>
            <w:webHidden/>
          </w:rPr>
          <w:tab/>
        </w:r>
        <w:r>
          <w:rPr>
            <w:noProof/>
            <w:webHidden/>
          </w:rPr>
          <w:fldChar w:fldCharType="begin"/>
        </w:r>
        <w:r>
          <w:rPr>
            <w:noProof/>
            <w:webHidden/>
          </w:rPr>
          <w:instrText xml:space="preserve"> PAGEREF _Toc162518723 \h </w:instrText>
        </w:r>
        <w:r>
          <w:rPr>
            <w:noProof/>
            <w:webHidden/>
          </w:rPr>
        </w:r>
        <w:r>
          <w:rPr>
            <w:noProof/>
            <w:webHidden/>
          </w:rPr>
          <w:fldChar w:fldCharType="separate"/>
        </w:r>
        <w:r w:rsidR="00736DAC">
          <w:rPr>
            <w:noProof/>
            <w:webHidden/>
          </w:rPr>
          <w:t>15</w:t>
        </w:r>
        <w:r>
          <w:rPr>
            <w:noProof/>
            <w:webHidden/>
          </w:rPr>
          <w:fldChar w:fldCharType="end"/>
        </w:r>
      </w:hyperlink>
    </w:p>
    <w:p w14:paraId="44D3F242" w14:textId="4224D10E" w:rsidR="00AB272E" w:rsidRDefault="00AB272E">
      <w:pPr>
        <w:pStyle w:val="TOC2"/>
        <w:rPr>
          <w:rFonts w:asciiTheme="minorHAnsi" w:eastAsiaTheme="minorEastAsia" w:hAnsiTheme="minorHAnsi" w:cstheme="minorBidi"/>
          <w:noProof/>
          <w:kern w:val="2"/>
          <w:sz w:val="22"/>
          <w:szCs w:val="22"/>
          <w:lang w:val="en-GB" w:eastAsia="en-GB"/>
          <w14:ligatures w14:val="standardContextual"/>
        </w:rPr>
      </w:pPr>
      <w:hyperlink w:anchor="_Toc162518724" w:history="1">
        <w:r w:rsidRPr="00651DB3">
          <w:rPr>
            <w:rStyle w:val="Hyperlink"/>
            <w:noProof/>
            <w:lang w:val="es-ES_tradnl"/>
          </w:rPr>
          <w:t>4.2</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Instrumentos</w:t>
        </w:r>
        <w:r>
          <w:rPr>
            <w:noProof/>
            <w:webHidden/>
          </w:rPr>
          <w:tab/>
        </w:r>
        <w:r w:rsidR="00AB59A2">
          <w:rPr>
            <w:noProof/>
            <w:webHidden/>
          </w:rPr>
          <w:tab/>
        </w:r>
        <w:r>
          <w:rPr>
            <w:noProof/>
            <w:webHidden/>
          </w:rPr>
          <w:fldChar w:fldCharType="begin"/>
        </w:r>
        <w:r>
          <w:rPr>
            <w:noProof/>
            <w:webHidden/>
          </w:rPr>
          <w:instrText xml:space="preserve"> PAGEREF _Toc162518724 \h </w:instrText>
        </w:r>
        <w:r>
          <w:rPr>
            <w:noProof/>
            <w:webHidden/>
          </w:rPr>
        </w:r>
        <w:r>
          <w:rPr>
            <w:noProof/>
            <w:webHidden/>
          </w:rPr>
          <w:fldChar w:fldCharType="separate"/>
        </w:r>
        <w:r w:rsidR="00736DAC">
          <w:rPr>
            <w:noProof/>
            <w:webHidden/>
          </w:rPr>
          <w:t>16</w:t>
        </w:r>
        <w:r>
          <w:rPr>
            <w:noProof/>
            <w:webHidden/>
          </w:rPr>
          <w:fldChar w:fldCharType="end"/>
        </w:r>
      </w:hyperlink>
    </w:p>
    <w:p w14:paraId="1201B036" w14:textId="32C54406" w:rsidR="00AB272E" w:rsidRDefault="00AB272E">
      <w:pPr>
        <w:pStyle w:val="TOC2"/>
        <w:rPr>
          <w:rFonts w:asciiTheme="minorHAnsi" w:eastAsiaTheme="minorEastAsia" w:hAnsiTheme="minorHAnsi" w:cstheme="minorBidi"/>
          <w:noProof/>
          <w:kern w:val="2"/>
          <w:sz w:val="22"/>
          <w:szCs w:val="22"/>
          <w:lang w:val="en-GB" w:eastAsia="en-GB"/>
          <w14:ligatures w14:val="standardContextual"/>
        </w:rPr>
      </w:pPr>
      <w:hyperlink w:anchor="_Toc162518725" w:history="1">
        <w:r w:rsidRPr="00651DB3">
          <w:rPr>
            <w:rStyle w:val="Hyperlink"/>
            <w:noProof/>
            <w:lang w:val="es-ES_tradnl"/>
          </w:rPr>
          <w:t>4.3</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Comparación entre predicciones y mediciones</w:t>
        </w:r>
        <w:r>
          <w:rPr>
            <w:noProof/>
            <w:webHidden/>
          </w:rPr>
          <w:tab/>
        </w:r>
        <w:r w:rsidR="00AB59A2">
          <w:rPr>
            <w:noProof/>
            <w:webHidden/>
          </w:rPr>
          <w:tab/>
        </w:r>
        <w:r>
          <w:rPr>
            <w:noProof/>
            <w:webHidden/>
          </w:rPr>
          <w:fldChar w:fldCharType="begin"/>
        </w:r>
        <w:r>
          <w:rPr>
            <w:noProof/>
            <w:webHidden/>
          </w:rPr>
          <w:instrText xml:space="preserve"> PAGEREF _Toc162518725 \h </w:instrText>
        </w:r>
        <w:r>
          <w:rPr>
            <w:noProof/>
            <w:webHidden/>
          </w:rPr>
        </w:r>
        <w:r>
          <w:rPr>
            <w:noProof/>
            <w:webHidden/>
          </w:rPr>
          <w:fldChar w:fldCharType="separate"/>
        </w:r>
        <w:r w:rsidR="00736DAC">
          <w:rPr>
            <w:noProof/>
            <w:webHidden/>
          </w:rPr>
          <w:t>19</w:t>
        </w:r>
        <w:r>
          <w:rPr>
            <w:noProof/>
            <w:webHidden/>
          </w:rPr>
          <w:fldChar w:fldCharType="end"/>
        </w:r>
      </w:hyperlink>
    </w:p>
    <w:p w14:paraId="65D1C01C" w14:textId="31CE8197" w:rsidR="00AB272E" w:rsidRDefault="00AB272E">
      <w:pPr>
        <w:pStyle w:val="TOC1"/>
        <w:rPr>
          <w:rFonts w:asciiTheme="minorHAnsi" w:eastAsiaTheme="minorEastAsia" w:hAnsiTheme="minorHAnsi" w:cstheme="minorBidi"/>
          <w:noProof/>
          <w:kern w:val="2"/>
          <w:sz w:val="22"/>
          <w:szCs w:val="22"/>
          <w:lang w:val="en-GB" w:eastAsia="en-GB"/>
          <w14:ligatures w14:val="standardContextual"/>
        </w:rPr>
      </w:pPr>
      <w:hyperlink w:anchor="_Toc162518726" w:history="1">
        <w:r w:rsidRPr="00651DB3">
          <w:rPr>
            <w:rStyle w:val="Hyperlink"/>
            <w:noProof/>
            <w:lang w:val="es-ES_tradnl"/>
          </w:rPr>
          <w:t>5</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Precauciones en las estaciones transmisoras de radiodifusión y sus proximidades</w:t>
        </w:r>
        <w:r>
          <w:rPr>
            <w:noProof/>
            <w:webHidden/>
          </w:rPr>
          <w:tab/>
        </w:r>
        <w:r w:rsidR="00AB59A2">
          <w:rPr>
            <w:noProof/>
            <w:webHidden/>
          </w:rPr>
          <w:tab/>
        </w:r>
        <w:r>
          <w:rPr>
            <w:noProof/>
            <w:webHidden/>
          </w:rPr>
          <w:fldChar w:fldCharType="begin"/>
        </w:r>
        <w:r>
          <w:rPr>
            <w:noProof/>
            <w:webHidden/>
          </w:rPr>
          <w:instrText xml:space="preserve"> PAGEREF _Toc162518726 \h </w:instrText>
        </w:r>
        <w:r>
          <w:rPr>
            <w:noProof/>
            <w:webHidden/>
          </w:rPr>
        </w:r>
        <w:r>
          <w:rPr>
            <w:noProof/>
            <w:webHidden/>
          </w:rPr>
          <w:fldChar w:fldCharType="separate"/>
        </w:r>
        <w:r w:rsidR="00736DAC">
          <w:rPr>
            <w:noProof/>
            <w:webHidden/>
          </w:rPr>
          <w:t>19</w:t>
        </w:r>
        <w:r>
          <w:rPr>
            <w:noProof/>
            <w:webHidden/>
          </w:rPr>
          <w:fldChar w:fldCharType="end"/>
        </w:r>
      </w:hyperlink>
    </w:p>
    <w:p w14:paraId="3AC3F0BA" w14:textId="0856928F" w:rsidR="00AB272E" w:rsidRDefault="00AB272E">
      <w:pPr>
        <w:pStyle w:val="TOC2"/>
        <w:rPr>
          <w:rFonts w:asciiTheme="minorHAnsi" w:eastAsiaTheme="minorEastAsia" w:hAnsiTheme="minorHAnsi" w:cstheme="minorBidi"/>
          <w:noProof/>
          <w:kern w:val="2"/>
          <w:sz w:val="22"/>
          <w:szCs w:val="22"/>
          <w:lang w:val="en-GB" w:eastAsia="en-GB"/>
          <w14:ligatures w14:val="standardContextual"/>
        </w:rPr>
      </w:pPr>
      <w:hyperlink w:anchor="_Toc162518727" w:history="1">
        <w:r w:rsidRPr="00651DB3">
          <w:rPr>
            <w:rStyle w:val="Hyperlink"/>
            <w:noProof/>
            <w:lang w:val="es-ES_tradnl"/>
          </w:rPr>
          <w:t>5.1</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Precauciones para controlar los efectos directos sobre la salud de las emisiones de RF de alto nivel</w:t>
        </w:r>
        <w:r>
          <w:rPr>
            <w:noProof/>
            <w:webHidden/>
          </w:rPr>
          <w:tab/>
        </w:r>
        <w:r w:rsidR="00AB59A2">
          <w:rPr>
            <w:noProof/>
            <w:webHidden/>
          </w:rPr>
          <w:tab/>
        </w:r>
        <w:r>
          <w:rPr>
            <w:noProof/>
            <w:webHidden/>
          </w:rPr>
          <w:fldChar w:fldCharType="begin"/>
        </w:r>
        <w:r>
          <w:rPr>
            <w:noProof/>
            <w:webHidden/>
          </w:rPr>
          <w:instrText xml:space="preserve"> PAGEREF _Toc162518727 \h </w:instrText>
        </w:r>
        <w:r>
          <w:rPr>
            <w:noProof/>
            <w:webHidden/>
          </w:rPr>
        </w:r>
        <w:r>
          <w:rPr>
            <w:noProof/>
            <w:webHidden/>
          </w:rPr>
          <w:fldChar w:fldCharType="separate"/>
        </w:r>
        <w:r w:rsidR="00736DAC">
          <w:rPr>
            <w:noProof/>
            <w:webHidden/>
          </w:rPr>
          <w:t>19</w:t>
        </w:r>
        <w:r>
          <w:rPr>
            <w:noProof/>
            <w:webHidden/>
          </w:rPr>
          <w:fldChar w:fldCharType="end"/>
        </w:r>
      </w:hyperlink>
    </w:p>
    <w:p w14:paraId="09F6E165" w14:textId="6ACCEA89" w:rsidR="00AB272E" w:rsidRDefault="00AB272E">
      <w:pPr>
        <w:pStyle w:val="TOC2"/>
        <w:rPr>
          <w:rFonts w:asciiTheme="minorHAnsi" w:eastAsiaTheme="minorEastAsia" w:hAnsiTheme="minorHAnsi" w:cstheme="minorBidi"/>
          <w:noProof/>
          <w:kern w:val="2"/>
          <w:sz w:val="22"/>
          <w:szCs w:val="22"/>
          <w:lang w:val="en-GB" w:eastAsia="en-GB"/>
          <w14:ligatures w14:val="standardContextual"/>
        </w:rPr>
      </w:pPr>
      <w:hyperlink w:anchor="_Toc162518728" w:history="1">
        <w:r w:rsidRPr="00651DB3">
          <w:rPr>
            <w:rStyle w:val="Hyperlink"/>
            <w:noProof/>
            <w:lang w:val="es-ES_tradnl"/>
          </w:rPr>
          <w:t>5.2</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Precauciones para controlar los peligros de la exposición indirecta a RF</w:t>
        </w:r>
        <w:r>
          <w:rPr>
            <w:noProof/>
            <w:webHidden/>
          </w:rPr>
          <w:tab/>
        </w:r>
        <w:r w:rsidR="00AB59A2">
          <w:rPr>
            <w:noProof/>
            <w:webHidden/>
          </w:rPr>
          <w:tab/>
        </w:r>
        <w:r>
          <w:rPr>
            <w:noProof/>
            <w:webHidden/>
          </w:rPr>
          <w:fldChar w:fldCharType="begin"/>
        </w:r>
        <w:r>
          <w:rPr>
            <w:noProof/>
            <w:webHidden/>
          </w:rPr>
          <w:instrText xml:space="preserve"> PAGEREF _Toc162518728 \h </w:instrText>
        </w:r>
        <w:r>
          <w:rPr>
            <w:noProof/>
            <w:webHidden/>
          </w:rPr>
        </w:r>
        <w:r>
          <w:rPr>
            <w:noProof/>
            <w:webHidden/>
          </w:rPr>
          <w:fldChar w:fldCharType="separate"/>
        </w:r>
        <w:r w:rsidR="00736DAC">
          <w:rPr>
            <w:noProof/>
            <w:webHidden/>
          </w:rPr>
          <w:t>21</w:t>
        </w:r>
        <w:r>
          <w:rPr>
            <w:noProof/>
            <w:webHidden/>
          </w:rPr>
          <w:fldChar w:fldCharType="end"/>
        </w:r>
      </w:hyperlink>
    </w:p>
    <w:p w14:paraId="5F31A0A7" w14:textId="2763C5FC" w:rsidR="00AB272E" w:rsidRDefault="00AB272E">
      <w:pPr>
        <w:pStyle w:val="TOC1"/>
        <w:rPr>
          <w:rFonts w:asciiTheme="minorHAnsi" w:eastAsiaTheme="minorEastAsia" w:hAnsiTheme="minorHAnsi" w:cstheme="minorBidi"/>
          <w:noProof/>
          <w:kern w:val="2"/>
          <w:sz w:val="22"/>
          <w:szCs w:val="22"/>
          <w:lang w:val="en-GB" w:eastAsia="en-GB"/>
          <w14:ligatures w14:val="standardContextual"/>
        </w:rPr>
      </w:pPr>
      <w:hyperlink w:anchor="_Toc162518729" w:history="1">
        <w:r w:rsidRPr="00651DB3">
          <w:rPr>
            <w:rStyle w:val="Hyperlink"/>
            <w:noProof/>
            <w:lang w:val="es-ES_tradnl"/>
          </w:rPr>
          <w:t xml:space="preserve">Adjunto 1 al </w:t>
        </w:r>
        <w:r w:rsidRPr="00651DB3">
          <w:rPr>
            <w:rStyle w:val="Hyperlink"/>
            <w:noProof/>
            <w:lang w:val="es-ES"/>
          </w:rPr>
          <w:t>Anexo</w:t>
        </w:r>
        <w:r w:rsidRPr="00651DB3">
          <w:rPr>
            <w:rStyle w:val="Hyperlink"/>
            <w:noProof/>
            <w:lang w:val="es-ES_tradnl"/>
          </w:rPr>
          <w:t xml:space="preserve"> 1 </w:t>
        </w:r>
        <w:r w:rsidR="00AB59A2">
          <w:rPr>
            <w:rStyle w:val="Hyperlink"/>
            <w:noProof/>
            <w:lang w:val="es-ES_tradnl"/>
          </w:rPr>
          <w:t>–</w:t>
        </w:r>
        <w:r w:rsidRPr="00651DB3">
          <w:rPr>
            <w:rStyle w:val="Hyperlink"/>
            <w:noProof/>
            <w:lang w:val="es-ES_tradnl"/>
          </w:rPr>
          <w:t xml:space="preserve"> Ejemplos de cálculos de intensidades de campo en las proximidades de las antenas de radiodifusión</w:t>
        </w:r>
        <w:r>
          <w:rPr>
            <w:noProof/>
            <w:webHidden/>
          </w:rPr>
          <w:tab/>
        </w:r>
        <w:r w:rsidR="00AB59A2">
          <w:rPr>
            <w:noProof/>
            <w:webHidden/>
          </w:rPr>
          <w:tab/>
        </w:r>
        <w:r>
          <w:rPr>
            <w:noProof/>
            <w:webHidden/>
          </w:rPr>
          <w:fldChar w:fldCharType="begin"/>
        </w:r>
        <w:r>
          <w:rPr>
            <w:noProof/>
            <w:webHidden/>
          </w:rPr>
          <w:instrText xml:space="preserve"> PAGEREF _Toc162518729 \h </w:instrText>
        </w:r>
        <w:r>
          <w:rPr>
            <w:noProof/>
            <w:webHidden/>
          </w:rPr>
        </w:r>
        <w:r>
          <w:rPr>
            <w:noProof/>
            <w:webHidden/>
          </w:rPr>
          <w:fldChar w:fldCharType="separate"/>
        </w:r>
        <w:r w:rsidR="00736DAC">
          <w:rPr>
            <w:noProof/>
            <w:webHidden/>
          </w:rPr>
          <w:t>22</w:t>
        </w:r>
        <w:r>
          <w:rPr>
            <w:noProof/>
            <w:webHidden/>
          </w:rPr>
          <w:fldChar w:fldCharType="end"/>
        </w:r>
      </w:hyperlink>
    </w:p>
    <w:p w14:paraId="0DED1305" w14:textId="0F0F4F19" w:rsidR="00AB272E" w:rsidRDefault="00AB272E">
      <w:pPr>
        <w:pStyle w:val="TOC1"/>
        <w:rPr>
          <w:rFonts w:asciiTheme="minorHAnsi" w:eastAsiaTheme="minorEastAsia" w:hAnsiTheme="minorHAnsi" w:cstheme="minorBidi"/>
          <w:noProof/>
          <w:kern w:val="2"/>
          <w:sz w:val="22"/>
          <w:szCs w:val="22"/>
          <w:lang w:val="en-GB" w:eastAsia="en-GB"/>
          <w14:ligatures w14:val="standardContextual"/>
        </w:rPr>
      </w:pPr>
      <w:hyperlink w:anchor="_Toc162518730" w:history="1">
        <w:r w:rsidRPr="00651DB3">
          <w:rPr>
            <w:rStyle w:val="Hyperlink"/>
            <w:noProof/>
            <w:lang w:val="es-ES_tradnl"/>
          </w:rPr>
          <w:t>1</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Ejemplo A – Diagramas de intensidades de campo eléctrico y magnético</w:t>
        </w:r>
        <w:r>
          <w:rPr>
            <w:noProof/>
            <w:webHidden/>
          </w:rPr>
          <w:tab/>
        </w:r>
        <w:r w:rsidR="00AB59A2">
          <w:rPr>
            <w:noProof/>
            <w:webHidden/>
          </w:rPr>
          <w:tab/>
        </w:r>
        <w:r>
          <w:rPr>
            <w:noProof/>
            <w:webHidden/>
          </w:rPr>
          <w:fldChar w:fldCharType="begin"/>
        </w:r>
        <w:r>
          <w:rPr>
            <w:noProof/>
            <w:webHidden/>
          </w:rPr>
          <w:instrText xml:space="preserve"> PAGEREF _Toc162518730 \h </w:instrText>
        </w:r>
        <w:r>
          <w:rPr>
            <w:noProof/>
            <w:webHidden/>
          </w:rPr>
        </w:r>
        <w:r>
          <w:rPr>
            <w:noProof/>
            <w:webHidden/>
          </w:rPr>
          <w:fldChar w:fldCharType="separate"/>
        </w:r>
        <w:r w:rsidR="00736DAC">
          <w:rPr>
            <w:noProof/>
            <w:webHidden/>
          </w:rPr>
          <w:t>22</w:t>
        </w:r>
        <w:r>
          <w:rPr>
            <w:noProof/>
            <w:webHidden/>
          </w:rPr>
          <w:fldChar w:fldCharType="end"/>
        </w:r>
      </w:hyperlink>
    </w:p>
    <w:p w14:paraId="5AFF4CF4" w14:textId="75313028" w:rsidR="00AB272E" w:rsidRDefault="00AB272E">
      <w:pPr>
        <w:pStyle w:val="TOC1"/>
        <w:rPr>
          <w:rFonts w:asciiTheme="minorHAnsi" w:eastAsiaTheme="minorEastAsia" w:hAnsiTheme="minorHAnsi" w:cstheme="minorBidi"/>
          <w:noProof/>
          <w:kern w:val="2"/>
          <w:sz w:val="22"/>
          <w:szCs w:val="22"/>
          <w:lang w:val="en-GB" w:eastAsia="en-GB"/>
          <w14:ligatures w14:val="standardContextual"/>
        </w:rPr>
      </w:pPr>
      <w:hyperlink w:anchor="_Toc162518731" w:history="1">
        <w:r w:rsidRPr="00651DB3">
          <w:rPr>
            <w:rStyle w:val="Hyperlink"/>
            <w:noProof/>
            <w:lang w:val="es-ES_tradnl"/>
          </w:rPr>
          <w:t>2</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Ejemplo B – Determinación de la intensidad del campo magnético en la zona del campo cercano de las antenas de alta potencia en ondas kilométricas/hectométricas</w:t>
        </w:r>
        <w:r>
          <w:rPr>
            <w:noProof/>
            <w:webHidden/>
          </w:rPr>
          <w:tab/>
        </w:r>
        <w:r w:rsidR="00AB59A2">
          <w:rPr>
            <w:noProof/>
            <w:webHidden/>
          </w:rPr>
          <w:tab/>
        </w:r>
        <w:r>
          <w:rPr>
            <w:noProof/>
            <w:webHidden/>
          </w:rPr>
          <w:fldChar w:fldCharType="begin"/>
        </w:r>
        <w:r>
          <w:rPr>
            <w:noProof/>
            <w:webHidden/>
          </w:rPr>
          <w:instrText xml:space="preserve"> PAGEREF _Toc162518731 \h </w:instrText>
        </w:r>
        <w:r>
          <w:rPr>
            <w:noProof/>
            <w:webHidden/>
          </w:rPr>
        </w:r>
        <w:r>
          <w:rPr>
            <w:noProof/>
            <w:webHidden/>
          </w:rPr>
          <w:fldChar w:fldCharType="separate"/>
        </w:r>
        <w:r w:rsidR="00736DAC">
          <w:rPr>
            <w:noProof/>
            <w:webHidden/>
          </w:rPr>
          <w:t>28</w:t>
        </w:r>
        <w:r>
          <w:rPr>
            <w:noProof/>
            <w:webHidden/>
          </w:rPr>
          <w:fldChar w:fldCharType="end"/>
        </w:r>
      </w:hyperlink>
    </w:p>
    <w:p w14:paraId="0F3817F1" w14:textId="66F75249" w:rsidR="00AB272E" w:rsidRDefault="00AB272E">
      <w:pPr>
        <w:pStyle w:val="TOC1"/>
        <w:rPr>
          <w:rFonts w:asciiTheme="minorHAnsi" w:eastAsiaTheme="minorEastAsia" w:hAnsiTheme="minorHAnsi" w:cstheme="minorBidi"/>
          <w:noProof/>
          <w:kern w:val="2"/>
          <w:sz w:val="22"/>
          <w:szCs w:val="22"/>
          <w:lang w:val="en-GB" w:eastAsia="en-GB"/>
          <w14:ligatures w14:val="standardContextual"/>
        </w:rPr>
      </w:pPr>
      <w:hyperlink w:anchor="_Toc162518732" w:history="1">
        <w:r w:rsidRPr="00651DB3">
          <w:rPr>
            <w:rStyle w:val="Hyperlink"/>
            <w:noProof/>
            <w:lang w:val="es-ES_tradnl"/>
          </w:rPr>
          <w:t>3</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Ejemplo C – Campo electromagnético cercano de las antenas de cortina transmisoras en ondas decamétricas</w:t>
        </w:r>
        <w:r>
          <w:rPr>
            <w:noProof/>
            <w:webHidden/>
          </w:rPr>
          <w:tab/>
        </w:r>
        <w:r w:rsidR="00AB59A2">
          <w:rPr>
            <w:noProof/>
            <w:webHidden/>
          </w:rPr>
          <w:tab/>
        </w:r>
        <w:r>
          <w:rPr>
            <w:noProof/>
            <w:webHidden/>
          </w:rPr>
          <w:fldChar w:fldCharType="begin"/>
        </w:r>
        <w:r>
          <w:rPr>
            <w:noProof/>
            <w:webHidden/>
          </w:rPr>
          <w:instrText xml:space="preserve"> PAGEREF _Toc162518732 \h </w:instrText>
        </w:r>
        <w:r>
          <w:rPr>
            <w:noProof/>
            <w:webHidden/>
          </w:rPr>
        </w:r>
        <w:r>
          <w:rPr>
            <w:noProof/>
            <w:webHidden/>
          </w:rPr>
          <w:fldChar w:fldCharType="separate"/>
        </w:r>
        <w:r w:rsidR="00736DAC">
          <w:rPr>
            <w:noProof/>
            <w:webHidden/>
          </w:rPr>
          <w:t>29</w:t>
        </w:r>
        <w:r>
          <w:rPr>
            <w:noProof/>
            <w:webHidden/>
          </w:rPr>
          <w:fldChar w:fldCharType="end"/>
        </w:r>
      </w:hyperlink>
    </w:p>
    <w:p w14:paraId="75FB3038" w14:textId="1BDE37C8" w:rsidR="00AB272E" w:rsidRDefault="00AB272E">
      <w:pPr>
        <w:pStyle w:val="TOC2"/>
        <w:rPr>
          <w:rFonts w:asciiTheme="minorHAnsi" w:eastAsiaTheme="minorEastAsia" w:hAnsiTheme="minorHAnsi" w:cstheme="minorBidi"/>
          <w:noProof/>
          <w:kern w:val="2"/>
          <w:sz w:val="22"/>
          <w:szCs w:val="22"/>
          <w:lang w:val="en-GB" w:eastAsia="en-GB"/>
          <w14:ligatures w14:val="standardContextual"/>
        </w:rPr>
      </w:pPr>
      <w:hyperlink w:anchor="_Toc162518733" w:history="1">
        <w:r w:rsidRPr="00651DB3">
          <w:rPr>
            <w:rStyle w:val="Hyperlink"/>
            <w:noProof/>
            <w:lang w:val="es-ES_tradnl"/>
          </w:rPr>
          <w:t>3.1</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Introducción</w:t>
        </w:r>
        <w:r>
          <w:rPr>
            <w:noProof/>
            <w:webHidden/>
          </w:rPr>
          <w:tab/>
        </w:r>
        <w:r w:rsidR="00AB59A2">
          <w:rPr>
            <w:noProof/>
            <w:webHidden/>
          </w:rPr>
          <w:tab/>
        </w:r>
        <w:r>
          <w:rPr>
            <w:noProof/>
            <w:webHidden/>
          </w:rPr>
          <w:fldChar w:fldCharType="begin"/>
        </w:r>
        <w:r>
          <w:rPr>
            <w:noProof/>
            <w:webHidden/>
          </w:rPr>
          <w:instrText xml:space="preserve"> PAGEREF _Toc162518733 \h </w:instrText>
        </w:r>
        <w:r>
          <w:rPr>
            <w:noProof/>
            <w:webHidden/>
          </w:rPr>
        </w:r>
        <w:r>
          <w:rPr>
            <w:noProof/>
            <w:webHidden/>
          </w:rPr>
          <w:fldChar w:fldCharType="separate"/>
        </w:r>
        <w:r w:rsidR="00736DAC">
          <w:rPr>
            <w:noProof/>
            <w:webHidden/>
          </w:rPr>
          <w:t>29</w:t>
        </w:r>
        <w:r>
          <w:rPr>
            <w:noProof/>
            <w:webHidden/>
          </w:rPr>
          <w:fldChar w:fldCharType="end"/>
        </w:r>
      </w:hyperlink>
    </w:p>
    <w:p w14:paraId="4075D2F9" w14:textId="4A173F0A" w:rsidR="00AB272E" w:rsidRDefault="00AB272E">
      <w:pPr>
        <w:pStyle w:val="TOC2"/>
        <w:rPr>
          <w:rFonts w:asciiTheme="minorHAnsi" w:eastAsiaTheme="minorEastAsia" w:hAnsiTheme="minorHAnsi" w:cstheme="minorBidi"/>
          <w:noProof/>
          <w:kern w:val="2"/>
          <w:sz w:val="22"/>
          <w:szCs w:val="22"/>
          <w:lang w:val="en-GB" w:eastAsia="en-GB"/>
          <w14:ligatures w14:val="standardContextual"/>
        </w:rPr>
      </w:pPr>
      <w:hyperlink w:anchor="_Toc162518734" w:history="1">
        <w:r w:rsidRPr="00651DB3">
          <w:rPr>
            <w:rStyle w:val="Hyperlink"/>
            <w:noProof/>
            <w:lang w:val="es-ES_tradnl"/>
          </w:rPr>
          <w:t>3.2</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Campos eléctricos y magnéticos cercanos de las antenas de cortina</w:t>
        </w:r>
        <w:r>
          <w:rPr>
            <w:noProof/>
            <w:webHidden/>
          </w:rPr>
          <w:tab/>
        </w:r>
        <w:r w:rsidR="00AB59A2">
          <w:rPr>
            <w:noProof/>
            <w:webHidden/>
          </w:rPr>
          <w:tab/>
        </w:r>
        <w:r>
          <w:rPr>
            <w:noProof/>
            <w:webHidden/>
          </w:rPr>
          <w:fldChar w:fldCharType="begin"/>
        </w:r>
        <w:r>
          <w:rPr>
            <w:noProof/>
            <w:webHidden/>
          </w:rPr>
          <w:instrText xml:space="preserve"> PAGEREF _Toc162518734 \h </w:instrText>
        </w:r>
        <w:r>
          <w:rPr>
            <w:noProof/>
            <w:webHidden/>
          </w:rPr>
        </w:r>
        <w:r>
          <w:rPr>
            <w:noProof/>
            <w:webHidden/>
          </w:rPr>
          <w:fldChar w:fldCharType="separate"/>
        </w:r>
        <w:r w:rsidR="00736DAC">
          <w:rPr>
            <w:noProof/>
            <w:webHidden/>
          </w:rPr>
          <w:t>29</w:t>
        </w:r>
        <w:r>
          <w:rPr>
            <w:noProof/>
            <w:webHidden/>
          </w:rPr>
          <w:fldChar w:fldCharType="end"/>
        </w:r>
      </w:hyperlink>
    </w:p>
    <w:p w14:paraId="032B7367" w14:textId="65BC51BC" w:rsidR="00AB272E" w:rsidRDefault="00AB272E">
      <w:pPr>
        <w:pStyle w:val="TOC1"/>
        <w:rPr>
          <w:rFonts w:asciiTheme="minorHAnsi" w:eastAsiaTheme="minorEastAsia" w:hAnsiTheme="minorHAnsi" w:cstheme="minorBidi"/>
          <w:noProof/>
          <w:kern w:val="2"/>
          <w:sz w:val="22"/>
          <w:szCs w:val="22"/>
          <w:lang w:val="en-GB" w:eastAsia="en-GB"/>
          <w14:ligatures w14:val="standardContextual"/>
        </w:rPr>
      </w:pPr>
      <w:hyperlink w:anchor="_Toc162518735" w:history="1">
        <w:r w:rsidRPr="00651DB3">
          <w:rPr>
            <w:rStyle w:val="Hyperlink"/>
            <w:noProof/>
            <w:lang w:val="es-ES_tradnl"/>
          </w:rPr>
          <w:t>4</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Conclusiones</w:t>
        </w:r>
        <w:r>
          <w:rPr>
            <w:noProof/>
            <w:webHidden/>
          </w:rPr>
          <w:tab/>
        </w:r>
        <w:r w:rsidR="00AB59A2">
          <w:rPr>
            <w:noProof/>
            <w:webHidden/>
          </w:rPr>
          <w:tab/>
        </w:r>
        <w:r>
          <w:rPr>
            <w:noProof/>
            <w:webHidden/>
          </w:rPr>
          <w:fldChar w:fldCharType="begin"/>
        </w:r>
        <w:r>
          <w:rPr>
            <w:noProof/>
            <w:webHidden/>
          </w:rPr>
          <w:instrText xml:space="preserve"> PAGEREF _Toc162518735 \h </w:instrText>
        </w:r>
        <w:r>
          <w:rPr>
            <w:noProof/>
            <w:webHidden/>
          </w:rPr>
        </w:r>
        <w:r>
          <w:rPr>
            <w:noProof/>
            <w:webHidden/>
          </w:rPr>
          <w:fldChar w:fldCharType="separate"/>
        </w:r>
        <w:r w:rsidR="00736DAC">
          <w:rPr>
            <w:noProof/>
            <w:webHidden/>
          </w:rPr>
          <w:t>32</w:t>
        </w:r>
        <w:r>
          <w:rPr>
            <w:noProof/>
            <w:webHidden/>
          </w:rPr>
          <w:fldChar w:fldCharType="end"/>
        </w:r>
      </w:hyperlink>
    </w:p>
    <w:p w14:paraId="34F6DAD6" w14:textId="67B3D551" w:rsidR="00AB272E" w:rsidRDefault="00AB272E">
      <w:pPr>
        <w:pStyle w:val="TOC1"/>
        <w:rPr>
          <w:rFonts w:asciiTheme="minorHAnsi" w:eastAsiaTheme="minorEastAsia" w:hAnsiTheme="minorHAnsi" w:cstheme="minorBidi"/>
          <w:noProof/>
          <w:kern w:val="2"/>
          <w:sz w:val="22"/>
          <w:szCs w:val="22"/>
          <w:lang w:val="en-GB" w:eastAsia="en-GB"/>
          <w14:ligatures w14:val="standardContextual"/>
        </w:rPr>
      </w:pPr>
      <w:hyperlink w:anchor="_Toc162518736" w:history="1">
        <w:r w:rsidRPr="00651DB3">
          <w:rPr>
            <w:rStyle w:val="Hyperlink"/>
            <w:noProof/>
            <w:lang w:val="es-ES"/>
          </w:rPr>
          <w:t>Adjunto</w:t>
        </w:r>
        <w:r w:rsidRPr="00651DB3">
          <w:rPr>
            <w:rStyle w:val="Hyperlink"/>
            <w:noProof/>
            <w:lang w:val="es-ES_tradnl"/>
          </w:rPr>
          <w:t xml:space="preserve"> 2 al Anexo 1 </w:t>
        </w:r>
        <w:r w:rsidR="00AB59A2">
          <w:rPr>
            <w:rStyle w:val="Hyperlink"/>
            <w:noProof/>
            <w:lang w:val="es-ES_tradnl"/>
          </w:rPr>
          <w:t>–</w:t>
        </w:r>
        <w:r w:rsidRPr="00651DB3">
          <w:rPr>
            <w:rStyle w:val="Hyperlink"/>
            <w:noProof/>
            <w:lang w:val="es-ES_tradnl"/>
          </w:rPr>
          <w:t xml:space="preserve"> Comparaciones entre predicciones y mediciones</w:t>
        </w:r>
        <w:r>
          <w:rPr>
            <w:noProof/>
            <w:webHidden/>
          </w:rPr>
          <w:tab/>
        </w:r>
        <w:r w:rsidR="00AB59A2">
          <w:rPr>
            <w:noProof/>
            <w:webHidden/>
          </w:rPr>
          <w:tab/>
        </w:r>
        <w:r>
          <w:rPr>
            <w:noProof/>
            <w:webHidden/>
          </w:rPr>
          <w:fldChar w:fldCharType="begin"/>
        </w:r>
        <w:r>
          <w:rPr>
            <w:noProof/>
            <w:webHidden/>
          </w:rPr>
          <w:instrText xml:space="preserve"> PAGEREF _Toc162518736 \h </w:instrText>
        </w:r>
        <w:r>
          <w:rPr>
            <w:noProof/>
            <w:webHidden/>
          </w:rPr>
        </w:r>
        <w:r>
          <w:rPr>
            <w:noProof/>
            <w:webHidden/>
          </w:rPr>
          <w:fldChar w:fldCharType="separate"/>
        </w:r>
        <w:r w:rsidR="00736DAC">
          <w:rPr>
            <w:noProof/>
            <w:webHidden/>
          </w:rPr>
          <w:t>32</w:t>
        </w:r>
        <w:r>
          <w:rPr>
            <w:noProof/>
            <w:webHidden/>
          </w:rPr>
          <w:fldChar w:fldCharType="end"/>
        </w:r>
      </w:hyperlink>
    </w:p>
    <w:p w14:paraId="7D3601DB" w14:textId="45B8D687" w:rsidR="00AB272E" w:rsidRDefault="00AB272E">
      <w:pPr>
        <w:pStyle w:val="TOC1"/>
        <w:rPr>
          <w:rFonts w:asciiTheme="minorHAnsi" w:eastAsiaTheme="minorEastAsia" w:hAnsiTheme="minorHAnsi" w:cstheme="minorBidi"/>
          <w:noProof/>
          <w:kern w:val="2"/>
          <w:sz w:val="22"/>
          <w:szCs w:val="22"/>
          <w:lang w:val="en-GB" w:eastAsia="en-GB"/>
          <w14:ligatures w14:val="standardContextual"/>
        </w:rPr>
      </w:pPr>
      <w:hyperlink w:anchor="_Toc162518737" w:history="1">
        <w:r w:rsidRPr="00651DB3">
          <w:rPr>
            <w:rStyle w:val="Hyperlink"/>
            <w:noProof/>
            <w:lang w:val="es-ES_tradnl"/>
          </w:rPr>
          <w:t>1</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Introducción</w:t>
        </w:r>
        <w:r>
          <w:rPr>
            <w:noProof/>
            <w:webHidden/>
          </w:rPr>
          <w:tab/>
        </w:r>
        <w:r w:rsidR="00AB59A2">
          <w:rPr>
            <w:noProof/>
            <w:webHidden/>
          </w:rPr>
          <w:tab/>
        </w:r>
        <w:r>
          <w:rPr>
            <w:noProof/>
            <w:webHidden/>
          </w:rPr>
          <w:fldChar w:fldCharType="begin"/>
        </w:r>
        <w:r>
          <w:rPr>
            <w:noProof/>
            <w:webHidden/>
          </w:rPr>
          <w:instrText xml:space="preserve"> PAGEREF _Toc162518737 \h </w:instrText>
        </w:r>
        <w:r>
          <w:rPr>
            <w:noProof/>
            <w:webHidden/>
          </w:rPr>
        </w:r>
        <w:r>
          <w:rPr>
            <w:noProof/>
            <w:webHidden/>
          </w:rPr>
          <w:fldChar w:fldCharType="separate"/>
        </w:r>
        <w:r w:rsidR="00736DAC">
          <w:rPr>
            <w:noProof/>
            <w:webHidden/>
          </w:rPr>
          <w:t>32</w:t>
        </w:r>
        <w:r>
          <w:rPr>
            <w:noProof/>
            <w:webHidden/>
          </w:rPr>
          <w:fldChar w:fldCharType="end"/>
        </w:r>
      </w:hyperlink>
    </w:p>
    <w:p w14:paraId="1BF235A8" w14:textId="3E3A6EE9" w:rsidR="00AB272E" w:rsidRDefault="00AB272E">
      <w:pPr>
        <w:pStyle w:val="TOC2"/>
        <w:rPr>
          <w:rFonts w:asciiTheme="minorHAnsi" w:eastAsiaTheme="minorEastAsia" w:hAnsiTheme="minorHAnsi" w:cstheme="minorBidi"/>
          <w:noProof/>
          <w:kern w:val="2"/>
          <w:sz w:val="22"/>
          <w:szCs w:val="22"/>
          <w:lang w:val="en-GB" w:eastAsia="en-GB"/>
          <w14:ligatures w14:val="standardContextual"/>
        </w:rPr>
      </w:pPr>
      <w:hyperlink w:anchor="_Toc162518738" w:history="1">
        <w:r w:rsidRPr="00651DB3">
          <w:rPr>
            <w:rStyle w:val="Hyperlink"/>
            <w:noProof/>
            <w:lang w:val="es-ES_tradnl"/>
          </w:rPr>
          <w:t>1.1</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Modelo utilizado para el sistema de antenas</w:t>
        </w:r>
        <w:r>
          <w:rPr>
            <w:noProof/>
            <w:webHidden/>
          </w:rPr>
          <w:tab/>
        </w:r>
        <w:r w:rsidR="00AB59A2">
          <w:rPr>
            <w:noProof/>
            <w:webHidden/>
          </w:rPr>
          <w:tab/>
        </w:r>
        <w:r>
          <w:rPr>
            <w:noProof/>
            <w:webHidden/>
          </w:rPr>
          <w:fldChar w:fldCharType="begin"/>
        </w:r>
        <w:r>
          <w:rPr>
            <w:noProof/>
            <w:webHidden/>
          </w:rPr>
          <w:instrText xml:space="preserve"> PAGEREF _Toc162518738 \h </w:instrText>
        </w:r>
        <w:r>
          <w:rPr>
            <w:noProof/>
            <w:webHidden/>
          </w:rPr>
        </w:r>
        <w:r>
          <w:rPr>
            <w:noProof/>
            <w:webHidden/>
          </w:rPr>
          <w:fldChar w:fldCharType="separate"/>
        </w:r>
        <w:r w:rsidR="00736DAC">
          <w:rPr>
            <w:noProof/>
            <w:webHidden/>
          </w:rPr>
          <w:t>33</w:t>
        </w:r>
        <w:r>
          <w:rPr>
            <w:noProof/>
            <w:webHidden/>
          </w:rPr>
          <w:fldChar w:fldCharType="end"/>
        </w:r>
      </w:hyperlink>
    </w:p>
    <w:p w14:paraId="360134B1" w14:textId="23743B0C" w:rsidR="00AB272E" w:rsidRDefault="00AB272E">
      <w:pPr>
        <w:pStyle w:val="TOC2"/>
        <w:rPr>
          <w:rFonts w:asciiTheme="minorHAnsi" w:eastAsiaTheme="minorEastAsia" w:hAnsiTheme="minorHAnsi" w:cstheme="minorBidi"/>
          <w:noProof/>
          <w:kern w:val="2"/>
          <w:sz w:val="22"/>
          <w:szCs w:val="22"/>
          <w:lang w:val="en-GB" w:eastAsia="en-GB"/>
          <w14:ligatures w14:val="standardContextual"/>
        </w:rPr>
      </w:pPr>
      <w:hyperlink w:anchor="_Toc162518739" w:history="1">
        <w:r w:rsidRPr="00651DB3">
          <w:rPr>
            <w:rStyle w:val="Hyperlink"/>
            <w:noProof/>
            <w:lang w:val="es-ES_tradnl"/>
          </w:rPr>
          <w:t>1.2</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Ventajas y limitaciones del modelo del sistema de antenas</w:t>
        </w:r>
        <w:r>
          <w:rPr>
            <w:noProof/>
            <w:webHidden/>
          </w:rPr>
          <w:tab/>
        </w:r>
        <w:r w:rsidR="00AB59A2">
          <w:rPr>
            <w:noProof/>
            <w:webHidden/>
          </w:rPr>
          <w:tab/>
        </w:r>
        <w:r>
          <w:rPr>
            <w:noProof/>
            <w:webHidden/>
          </w:rPr>
          <w:fldChar w:fldCharType="begin"/>
        </w:r>
        <w:r>
          <w:rPr>
            <w:noProof/>
            <w:webHidden/>
          </w:rPr>
          <w:instrText xml:space="preserve"> PAGEREF _Toc162518739 \h </w:instrText>
        </w:r>
        <w:r>
          <w:rPr>
            <w:noProof/>
            <w:webHidden/>
          </w:rPr>
        </w:r>
        <w:r>
          <w:rPr>
            <w:noProof/>
            <w:webHidden/>
          </w:rPr>
          <w:fldChar w:fldCharType="separate"/>
        </w:r>
        <w:r w:rsidR="00736DAC">
          <w:rPr>
            <w:noProof/>
            <w:webHidden/>
          </w:rPr>
          <w:t>34</w:t>
        </w:r>
        <w:r>
          <w:rPr>
            <w:noProof/>
            <w:webHidden/>
          </w:rPr>
          <w:fldChar w:fldCharType="end"/>
        </w:r>
      </w:hyperlink>
    </w:p>
    <w:p w14:paraId="674F28CA" w14:textId="46691C5F" w:rsidR="00AB272E" w:rsidRDefault="00AB272E">
      <w:pPr>
        <w:pStyle w:val="TOC1"/>
        <w:rPr>
          <w:rFonts w:asciiTheme="minorHAnsi" w:eastAsiaTheme="minorEastAsia" w:hAnsiTheme="minorHAnsi" w:cstheme="minorBidi"/>
          <w:noProof/>
          <w:kern w:val="2"/>
          <w:sz w:val="22"/>
          <w:szCs w:val="22"/>
          <w:lang w:val="en-GB" w:eastAsia="en-GB"/>
          <w14:ligatures w14:val="standardContextual"/>
        </w:rPr>
      </w:pPr>
      <w:hyperlink w:anchor="_Toc162518740" w:history="1">
        <w:r w:rsidRPr="00651DB3">
          <w:rPr>
            <w:rStyle w:val="Hyperlink"/>
            <w:noProof/>
            <w:lang w:val="es-ES_tradnl"/>
          </w:rPr>
          <w:t>2</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Compa</w:t>
        </w:r>
        <w:r w:rsidRPr="00651DB3">
          <w:rPr>
            <w:rStyle w:val="Hyperlink"/>
            <w:noProof/>
            <w:lang w:val="es-ES_tradnl"/>
          </w:rPr>
          <w:t>r</w:t>
        </w:r>
        <w:r w:rsidRPr="00651DB3">
          <w:rPr>
            <w:rStyle w:val="Hyperlink"/>
            <w:noProof/>
            <w:lang w:val="es-ES_tradnl"/>
          </w:rPr>
          <w:t>ación entre predicciones y mediciones</w:t>
        </w:r>
        <w:r>
          <w:rPr>
            <w:noProof/>
            <w:webHidden/>
          </w:rPr>
          <w:tab/>
        </w:r>
        <w:r w:rsidR="00AB59A2">
          <w:rPr>
            <w:noProof/>
            <w:webHidden/>
          </w:rPr>
          <w:tab/>
        </w:r>
        <w:r>
          <w:rPr>
            <w:noProof/>
            <w:webHidden/>
          </w:rPr>
          <w:fldChar w:fldCharType="begin"/>
        </w:r>
        <w:r>
          <w:rPr>
            <w:noProof/>
            <w:webHidden/>
          </w:rPr>
          <w:instrText xml:space="preserve"> PAGEREF _Toc162518740 \h </w:instrText>
        </w:r>
        <w:r>
          <w:rPr>
            <w:noProof/>
            <w:webHidden/>
          </w:rPr>
        </w:r>
        <w:r>
          <w:rPr>
            <w:noProof/>
            <w:webHidden/>
          </w:rPr>
          <w:fldChar w:fldCharType="separate"/>
        </w:r>
        <w:r w:rsidR="00736DAC">
          <w:rPr>
            <w:noProof/>
            <w:webHidden/>
          </w:rPr>
          <w:t>36</w:t>
        </w:r>
        <w:r>
          <w:rPr>
            <w:noProof/>
            <w:webHidden/>
          </w:rPr>
          <w:fldChar w:fldCharType="end"/>
        </w:r>
      </w:hyperlink>
    </w:p>
    <w:p w14:paraId="62DCB9F4" w14:textId="410BF57C" w:rsidR="00AB272E" w:rsidRDefault="00AB272E">
      <w:pPr>
        <w:pStyle w:val="TOC2"/>
        <w:rPr>
          <w:rFonts w:asciiTheme="minorHAnsi" w:eastAsiaTheme="minorEastAsia" w:hAnsiTheme="minorHAnsi" w:cstheme="minorBidi"/>
          <w:noProof/>
          <w:kern w:val="2"/>
          <w:sz w:val="22"/>
          <w:szCs w:val="22"/>
          <w:lang w:val="en-GB" w:eastAsia="en-GB"/>
          <w14:ligatures w14:val="standardContextual"/>
        </w:rPr>
      </w:pPr>
      <w:hyperlink w:anchor="_Toc162518741" w:history="1">
        <w:r w:rsidRPr="00651DB3">
          <w:rPr>
            <w:rStyle w:val="Hyperlink"/>
            <w:noProof/>
            <w:lang w:val="es-ES_tradnl"/>
          </w:rPr>
          <w:t>2.1</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Análisis numérico de estructuras filiformes: Ejemplo</w:t>
        </w:r>
        <w:r>
          <w:rPr>
            <w:noProof/>
            <w:webHidden/>
          </w:rPr>
          <w:tab/>
        </w:r>
        <w:r w:rsidR="00AB59A2">
          <w:rPr>
            <w:noProof/>
            <w:webHidden/>
          </w:rPr>
          <w:tab/>
        </w:r>
        <w:r>
          <w:rPr>
            <w:noProof/>
            <w:webHidden/>
          </w:rPr>
          <w:fldChar w:fldCharType="begin"/>
        </w:r>
        <w:r>
          <w:rPr>
            <w:noProof/>
            <w:webHidden/>
          </w:rPr>
          <w:instrText xml:space="preserve"> PAGEREF _Toc162518741 \h </w:instrText>
        </w:r>
        <w:r>
          <w:rPr>
            <w:noProof/>
            <w:webHidden/>
          </w:rPr>
        </w:r>
        <w:r>
          <w:rPr>
            <w:noProof/>
            <w:webHidden/>
          </w:rPr>
          <w:fldChar w:fldCharType="separate"/>
        </w:r>
        <w:r w:rsidR="00736DAC">
          <w:rPr>
            <w:noProof/>
            <w:webHidden/>
          </w:rPr>
          <w:t>36</w:t>
        </w:r>
        <w:r>
          <w:rPr>
            <w:noProof/>
            <w:webHidden/>
          </w:rPr>
          <w:fldChar w:fldCharType="end"/>
        </w:r>
      </w:hyperlink>
    </w:p>
    <w:p w14:paraId="48D6A70C" w14:textId="52F294F6" w:rsidR="00AB272E" w:rsidRDefault="00AB272E">
      <w:pPr>
        <w:pStyle w:val="TOC2"/>
        <w:rPr>
          <w:rFonts w:asciiTheme="minorHAnsi" w:eastAsiaTheme="minorEastAsia" w:hAnsiTheme="minorHAnsi" w:cstheme="minorBidi"/>
          <w:noProof/>
          <w:kern w:val="2"/>
          <w:sz w:val="22"/>
          <w:szCs w:val="22"/>
          <w:lang w:val="en-GB" w:eastAsia="en-GB"/>
          <w14:ligatures w14:val="standardContextual"/>
        </w:rPr>
      </w:pPr>
      <w:hyperlink w:anchor="_Toc162518742" w:history="1">
        <w:r w:rsidRPr="00651DB3">
          <w:rPr>
            <w:rStyle w:val="Hyperlink"/>
            <w:noProof/>
            <w:lang w:val="es-ES_tradnl"/>
          </w:rPr>
          <w:t>2.2</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18 MHz</w:t>
        </w:r>
        <w:r>
          <w:rPr>
            <w:noProof/>
            <w:webHidden/>
          </w:rPr>
          <w:tab/>
        </w:r>
        <w:r w:rsidR="00AB59A2">
          <w:rPr>
            <w:noProof/>
            <w:webHidden/>
          </w:rPr>
          <w:tab/>
        </w:r>
        <w:r>
          <w:rPr>
            <w:noProof/>
            <w:webHidden/>
          </w:rPr>
          <w:fldChar w:fldCharType="begin"/>
        </w:r>
        <w:r>
          <w:rPr>
            <w:noProof/>
            <w:webHidden/>
          </w:rPr>
          <w:instrText xml:space="preserve"> PAGEREF _Toc162518742 \h </w:instrText>
        </w:r>
        <w:r>
          <w:rPr>
            <w:noProof/>
            <w:webHidden/>
          </w:rPr>
        </w:r>
        <w:r>
          <w:rPr>
            <w:noProof/>
            <w:webHidden/>
          </w:rPr>
          <w:fldChar w:fldCharType="separate"/>
        </w:r>
        <w:r w:rsidR="00736DAC">
          <w:rPr>
            <w:noProof/>
            <w:webHidden/>
          </w:rPr>
          <w:t>44</w:t>
        </w:r>
        <w:r>
          <w:rPr>
            <w:noProof/>
            <w:webHidden/>
          </w:rPr>
          <w:fldChar w:fldCharType="end"/>
        </w:r>
      </w:hyperlink>
    </w:p>
    <w:p w14:paraId="6DD3564B" w14:textId="025BB9AC" w:rsidR="00AB272E" w:rsidRDefault="00AB272E">
      <w:pPr>
        <w:pStyle w:val="TOC2"/>
        <w:rPr>
          <w:rFonts w:asciiTheme="minorHAnsi" w:eastAsiaTheme="minorEastAsia" w:hAnsiTheme="minorHAnsi" w:cstheme="minorBidi"/>
          <w:noProof/>
          <w:kern w:val="2"/>
          <w:sz w:val="22"/>
          <w:szCs w:val="22"/>
          <w:lang w:val="en-GB" w:eastAsia="en-GB"/>
          <w14:ligatures w14:val="standardContextual"/>
        </w:rPr>
      </w:pPr>
      <w:hyperlink w:anchor="_Toc162518743" w:history="1">
        <w:r w:rsidRPr="00651DB3">
          <w:rPr>
            <w:rStyle w:val="Hyperlink"/>
            <w:noProof/>
            <w:lang w:val="es-ES_tradnl"/>
          </w:rPr>
          <w:t>2.3</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Comparación entre mediciones y predicciones de la intensidad de campo en la zona cercana</w:t>
        </w:r>
        <w:r>
          <w:rPr>
            <w:noProof/>
            <w:webHidden/>
          </w:rPr>
          <w:tab/>
        </w:r>
        <w:r w:rsidR="00AB59A2">
          <w:rPr>
            <w:noProof/>
            <w:webHidden/>
          </w:rPr>
          <w:tab/>
        </w:r>
        <w:r>
          <w:rPr>
            <w:noProof/>
            <w:webHidden/>
          </w:rPr>
          <w:fldChar w:fldCharType="begin"/>
        </w:r>
        <w:r>
          <w:rPr>
            <w:noProof/>
            <w:webHidden/>
          </w:rPr>
          <w:instrText xml:space="preserve"> PAGEREF _Toc162518743 \h </w:instrText>
        </w:r>
        <w:r>
          <w:rPr>
            <w:noProof/>
            <w:webHidden/>
          </w:rPr>
        </w:r>
        <w:r>
          <w:rPr>
            <w:noProof/>
            <w:webHidden/>
          </w:rPr>
          <w:fldChar w:fldCharType="separate"/>
        </w:r>
        <w:r w:rsidR="00736DAC">
          <w:rPr>
            <w:noProof/>
            <w:webHidden/>
          </w:rPr>
          <w:t>51</w:t>
        </w:r>
        <w:r>
          <w:rPr>
            <w:noProof/>
            <w:webHidden/>
          </w:rPr>
          <w:fldChar w:fldCharType="end"/>
        </w:r>
      </w:hyperlink>
    </w:p>
    <w:p w14:paraId="5FA25A67" w14:textId="472AFFFF" w:rsidR="00AB272E" w:rsidRDefault="00AB272E">
      <w:pPr>
        <w:pStyle w:val="TOC1"/>
        <w:rPr>
          <w:rStyle w:val="Hyperlink"/>
          <w:noProof/>
        </w:rPr>
      </w:pPr>
      <w:hyperlink w:anchor="_Toc162518744" w:history="1">
        <w:r w:rsidRPr="00651DB3">
          <w:rPr>
            <w:rStyle w:val="Hyperlink"/>
            <w:noProof/>
            <w:lang w:val="es-ES_tradnl"/>
          </w:rPr>
          <w:t>3</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Conclusiones</w:t>
        </w:r>
        <w:r>
          <w:rPr>
            <w:noProof/>
            <w:webHidden/>
          </w:rPr>
          <w:tab/>
        </w:r>
        <w:r w:rsidR="00AB59A2">
          <w:rPr>
            <w:noProof/>
            <w:webHidden/>
          </w:rPr>
          <w:tab/>
        </w:r>
        <w:r>
          <w:rPr>
            <w:noProof/>
            <w:webHidden/>
          </w:rPr>
          <w:fldChar w:fldCharType="begin"/>
        </w:r>
        <w:r>
          <w:rPr>
            <w:noProof/>
            <w:webHidden/>
          </w:rPr>
          <w:instrText xml:space="preserve"> PAGEREF _Toc162518744 \h </w:instrText>
        </w:r>
        <w:r>
          <w:rPr>
            <w:noProof/>
            <w:webHidden/>
          </w:rPr>
        </w:r>
        <w:r>
          <w:rPr>
            <w:noProof/>
            <w:webHidden/>
          </w:rPr>
          <w:fldChar w:fldCharType="separate"/>
        </w:r>
        <w:r w:rsidR="00736DAC">
          <w:rPr>
            <w:noProof/>
            <w:webHidden/>
          </w:rPr>
          <w:t>51</w:t>
        </w:r>
        <w:r>
          <w:rPr>
            <w:noProof/>
            <w:webHidden/>
          </w:rPr>
          <w:fldChar w:fldCharType="end"/>
        </w:r>
      </w:hyperlink>
    </w:p>
    <w:p w14:paraId="770980AA" w14:textId="77777777" w:rsidR="00907AFB" w:rsidRPr="0056409E" w:rsidRDefault="00907AFB" w:rsidP="00907AFB">
      <w:pPr>
        <w:pStyle w:val="toc0"/>
        <w:rPr>
          <w:noProof/>
          <w:lang w:val="es-ES_tradnl"/>
        </w:rPr>
      </w:pPr>
      <w:r w:rsidRPr="003066E4">
        <w:rPr>
          <w:noProof/>
          <w:lang w:val="es-ES_tradnl"/>
        </w:rPr>
        <w:lastRenderedPageBreak/>
        <w:tab/>
        <w:t>Página</w:t>
      </w:r>
    </w:p>
    <w:p w14:paraId="727315A1" w14:textId="735B869B" w:rsidR="00AB272E" w:rsidRDefault="00AB272E">
      <w:pPr>
        <w:pStyle w:val="TOC1"/>
        <w:rPr>
          <w:rFonts w:asciiTheme="minorHAnsi" w:eastAsiaTheme="minorEastAsia" w:hAnsiTheme="minorHAnsi" w:cstheme="minorBidi"/>
          <w:noProof/>
          <w:kern w:val="2"/>
          <w:sz w:val="22"/>
          <w:szCs w:val="22"/>
          <w:lang w:val="en-GB" w:eastAsia="en-GB"/>
          <w14:ligatures w14:val="standardContextual"/>
        </w:rPr>
      </w:pPr>
      <w:hyperlink w:anchor="_Toc162518745" w:history="1">
        <w:r w:rsidRPr="00651DB3">
          <w:rPr>
            <w:rStyle w:val="Hyperlink"/>
            <w:noProof/>
            <w:lang w:val="es-ES_tradnl"/>
          </w:rPr>
          <w:t xml:space="preserve">Adjunto 3 al Anexo 1 </w:t>
        </w:r>
        <w:r w:rsidR="00AB59A2">
          <w:rPr>
            <w:rStyle w:val="Hyperlink"/>
            <w:noProof/>
            <w:lang w:val="es-ES_tradnl"/>
          </w:rPr>
          <w:t>–</w:t>
        </w:r>
        <w:r w:rsidRPr="00651DB3">
          <w:rPr>
            <w:rStyle w:val="Hyperlink"/>
            <w:noProof/>
            <w:lang w:val="es-ES_tradnl"/>
          </w:rPr>
          <w:t xml:space="preserve"> Límites y niveles internacionales</w:t>
        </w:r>
        <w:r>
          <w:rPr>
            <w:noProof/>
            <w:webHidden/>
          </w:rPr>
          <w:tab/>
        </w:r>
        <w:r w:rsidR="00AB59A2">
          <w:rPr>
            <w:noProof/>
            <w:webHidden/>
          </w:rPr>
          <w:tab/>
        </w:r>
        <w:r>
          <w:rPr>
            <w:noProof/>
            <w:webHidden/>
          </w:rPr>
          <w:fldChar w:fldCharType="begin"/>
        </w:r>
        <w:r>
          <w:rPr>
            <w:noProof/>
            <w:webHidden/>
          </w:rPr>
          <w:instrText xml:space="preserve"> PAGEREF _Toc162518745 \h </w:instrText>
        </w:r>
        <w:r>
          <w:rPr>
            <w:noProof/>
            <w:webHidden/>
          </w:rPr>
        </w:r>
        <w:r>
          <w:rPr>
            <w:noProof/>
            <w:webHidden/>
          </w:rPr>
          <w:fldChar w:fldCharType="separate"/>
        </w:r>
        <w:r w:rsidR="00736DAC">
          <w:rPr>
            <w:noProof/>
            <w:webHidden/>
          </w:rPr>
          <w:t>52</w:t>
        </w:r>
        <w:r>
          <w:rPr>
            <w:noProof/>
            <w:webHidden/>
          </w:rPr>
          <w:fldChar w:fldCharType="end"/>
        </w:r>
      </w:hyperlink>
    </w:p>
    <w:p w14:paraId="4411B720" w14:textId="771CF66B" w:rsidR="00AB272E" w:rsidRDefault="00AB272E">
      <w:pPr>
        <w:pStyle w:val="TOC1"/>
        <w:rPr>
          <w:rFonts w:asciiTheme="minorHAnsi" w:eastAsiaTheme="minorEastAsia" w:hAnsiTheme="minorHAnsi" w:cstheme="minorBidi"/>
          <w:noProof/>
          <w:kern w:val="2"/>
          <w:sz w:val="22"/>
          <w:szCs w:val="22"/>
          <w:lang w:val="en-GB" w:eastAsia="en-GB"/>
          <w14:ligatures w14:val="standardContextual"/>
        </w:rPr>
      </w:pPr>
      <w:hyperlink w:anchor="_Toc162518746" w:history="1">
        <w:r w:rsidRPr="00651DB3">
          <w:rPr>
            <w:rStyle w:val="Hyperlink"/>
            <w:noProof/>
            <w:lang w:val="es-ES_tradnl"/>
          </w:rPr>
          <w:t xml:space="preserve">Adjunto 4 al Anexo 1 </w:t>
        </w:r>
        <w:r w:rsidR="00AB59A2">
          <w:rPr>
            <w:rStyle w:val="Hyperlink"/>
            <w:noProof/>
            <w:lang w:val="es-ES_tradnl"/>
          </w:rPr>
          <w:t>–</w:t>
        </w:r>
        <w:r w:rsidRPr="00651DB3">
          <w:rPr>
            <w:rStyle w:val="Hyperlink"/>
            <w:noProof/>
            <w:lang w:val="es-ES_tradnl"/>
          </w:rPr>
          <w:t xml:space="preserve"> Más información sobre la modulación</w:t>
        </w:r>
        <w:r>
          <w:rPr>
            <w:noProof/>
            <w:webHidden/>
          </w:rPr>
          <w:tab/>
        </w:r>
        <w:r w:rsidR="00AB59A2">
          <w:rPr>
            <w:noProof/>
            <w:webHidden/>
          </w:rPr>
          <w:tab/>
        </w:r>
        <w:r>
          <w:rPr>
            <w:noProof/>
            <w:webHidden/>
          </w:rPr>
          <w:fldChar w:fldCharType="begin"/>
        </w:r>
        <w:r>
          <w:rPr>
            <w:noProof/>
            <w:webHidden/>
          </w:rPr>
          <w:instrText xml:space="preserve"> PAGEREF _Toc162518746 \h </w:instrText>
        </w:r>
        <w:r>
          <w:rPr>
            <w:noProof/>
            <w:webHidden/>
          </w:rPr>
        </w:r>
        <w:r>
          <w:rPr>
            <w:noProof/>
            <w:webHidden/>
          </w:rPr>
          <w:fldChar w:fldCharType="separate"/>
        </w:r>
        <w:r w:rsidR="00736DAC">
          <w:rPr>
            <w:noProof/>
            <w:webHidden/>
          </w:rPr>
          <w:t>54</w:t>
        </w:r>
        <w:r>
          <w:rPr>
            <w:noProof/>
            <w:webHidden/>
          </w:rPr>
          <w:fldChar w:fldCharType="end"/>
        </w:r>
      </w:hyperlink>
    </w:p>
    <w:p w14:paraId="76AB275B" w14:textId="35CE6FC1" w:rsidR="00AB272E" w:rsidRDefault="00AB272E">
      <w:pPr>
        <w:pStyle w:val="TOC1"/>
        <w:rPr>
          <w:rStyle w:val="Hyperlink"/>
          <w:noProof/>
        </w:rPr>
      </w:pPr>
      <w:hyperlink w:anchor="_Toc162518747" w:history="1">
        <w:r w:rsidRPr="00651DB3">
          <w:rPr>
            <w:rStyle w:val="Hyperlink"/>
            <w:noProof/>
            <w:lang w:val="es-ES_tradnl"/>
          </w:rPr>
          <w:t>1</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Características de las emisiones radioeléctricas</w:t>
        </w:r>
        <w:r>
          <w:rPr>
            <w:noProof/>
            <w:webHidden/>
          </w:rPr>
          <w:tab/>
        </w:r>
        <w:r w:rsidR="00AB59A2">
          <w:rPr>
            <w:noProof/>
            <w:webHidden/>
          </w:rPr>
          <w:tab/>
        </w:r>
        <w:r>
          <w:rPr>
            <w:noProof/>
            <w:webHidden/>
          </w:rPr>
          <w:fldChar w:fldCharType="begin"/>
        </w:r>
        <w:r>
          <w:rPr>
            <w:noProof/>
            <w:webHidden/>
          </w:rPr>
          <w:instrText xml:space="preserve"> PAGEREF _Toc162518747 \h </w:instrText>
        </w:r>
        <w:r>
          <w:rPr>
            <w:noProof/>
            <w:webHidden/>
          </w:rPr>
        </w:r>
        <w:r>
          <w:rPr>
            <w:noProof/>
            <w:webHidden/>
          </w:rPr>
          <w:fldChar w:fldCharType="separate"/>
        </w:r>
        <w:r w:rsidR="00736DAC">
          <w:rPr>
            <w:noProof/>
            <w:webHidden/>
          </w:rPr>
          <w:t>54</w:t>
        </w:r>
        <w:r>
          <w:rPr>
            <w:noProof/>
            <w:webHidden/>
          </w:rPr>
          <w:fldChar w:fldCharType="end"/>
        </w:r>
      </w:hyperlink>
    </w:p>
    <w:p w14:paraId="1F11BB02" w14:textId="25873019" w:rsidR="00AB272E" w:rsidRDefault="00AB272E">
      <w:pPr>
        <w:pStyle w:val="TOC1"/>
        <w:rPr>
          <w:rFonts w:asciiTheme="minorHAnsi" w:eastAsiaTheme="minorEastAsia" w:hAnsiTheme="minorHAnsi" w:cstheme="minorBidi"/>
          <w:noProof/>
          <w:kern w:val="2"/>
          <w:sz w:val="22"/>
          <w:szCs w:val="22"/>
          <w:lang w:val="en-GB" w:eastAsia="en-GB"/>
          <w14:ligatures w14:val="standardContextual"/>
        </w:rPr>
      </w:pPr>
      <w:hyperlink w:anchor="_Toc162518748" w:history="1">
        <w:r w:rsidRPr="00651DB3">
          <w:rPr>
            <w:rStyle w:val="Hyperlink"/>
            <w:noProof/>
            <w:lang w:val="es-ES_tradnl"/>
          </w:rPr>
          <w:t>2</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Potencia del transmisor e intensidad de campo expresados en términos del tipo de modulación</w:t>
        </w:r>
        <w:r>
          <w:rPr>
            <w:noProof/>
            <w:webHidden/>
          </w:rPr>
          <w:tab/>
        </w:r>
        <w:r w:rsidR="00AB59A2">
          <w:rPr>
            <w:noProof/>
            <w:webHidden/>
          </w:rPr>
          <w:tab/>
        </w:r>
        <w:r>
          <w:rPr>
            <w:noProof/>
            <w:webHidden/>
          </w:rPr>
          <w:fldChar w:fldCharType="begin"/>
        </w:r>
        <w:r>
          <w:rPr>
            <w:noProof/>
            <w:webHidden/>
          </w:rPr>
          <w:instrText xml:space="preserve"> PAGEREF _Toc162518748 \h </w:instrText>
        </w:r>
        <w:r>
          <w:rPr>
            <w:noProof/>
            <w:webHidden/>
          </w:rPr>
        </w:r>
        <w:r>
          <w:rPr>
            <w:noProof/>
            <w:webHidden/>
          </w:rPr>
          <w:fldChar w:fldCharType="separate"/>
        </w:r>
        <w:r w:rsidR="00736DAC">
          <w:rPr>
            <w:noProof/>
            <w:webHidden/>
          </w:rPr>
          <w:t>55</w:t>
        </w:r>
        <w:r>
          <w:rPr>
            <w:noProof/>
            <w:webHidden/>
          </w:rPr>
          <w:fldChar w:fldCharType="end"/>
        </w:r>
      </w:hyperlink>
    </w:p>
    <w:p w14:paraId="063FF367" w14:textId="797F1862" w:rsidR="00AB272E" w:rsidRDefault="00AB272E">
      <w:pPr>
        <w:pStyle w:val="TOC1"/>
        <w:rPr>
          <w:rFonts w:asciiTheme="minorHAnsi" w:eastAsiaTheme="minorEastAsia" w:hAnsiTheme="minorHAnsi" w:cstheme="minorBidi"/>
          <w:noProof/>
          <w:kern w:val="2"/>
          <w:sz w:val="22"/>
          <w:szCs w:val="22"/>
          <w:lang w:val="en-GB" w:eastAsia="en-GB"/>
          <w14:ligatures w14:val="standardContextual"/>
        </w:rPr>
      </w:pPr>
      <w:hyperlink w:anchor="_Toc162518749" w:history="1">
        <w:r w:rsidRPr="00651DB3">
          <w:rPr>
            <w:rStyle w:val="Hyperlink"/>
            <w:noProof/>
            <w:lang w:val="es-ES_tradnl"/>
          </w:rPr>
          <w:t xml:space="preserve">Adjunto 5 al Anexo 1 </w:t>
        </w:r>
        <w:r w:rsidR="00AB59A2">
          <w:rPr>
            <w:rStyle w:val="Hyperlink"/>
            <w:noProof/>
            <w:lang w:val="es-ES_tradnl"/>
          </w:rPr>
          <w:t>–</w:t>
        </w:r>
        <w:r w:rsidRPr="00651DB3">
          <w:rPr>
            <w:rStyle w:val="Hyperlink"/>
            <w:noProof/>
            <w:lang w:val="es-ES_tradnl"/>
          </w:rPr>
          <w:t xml:space="preserve"> Métodos de evaluación adicionales</w:t>
        </w:r>
        <w:r>
          <w:rPr>
            <w:noProof/>
            <w:webHidden/>
          </w:rPr>
          <w:tab/>
        </w:r>
        <w:r w:rsidR="00AB59A2">
          <w:rPr>
            <w:noProof/>
            <w:webHidden/>
          </w:rPr>
          <w:tab/>
        </w:r>
        <w:r>
          <w:rPr>
            <w:noProof/>
            <w:webHidden/>
          </w:rPr>
          <w:fldChar w:fldCharType="begin"/>
        </w:r>
        <w:r>
          <w:rPr>
            <w:noProof/>
            <w:webHidden/>
          </w:rPr>
          <w:instrText xml:space="preserve"> PAGEREF _Toc162518749 \h </w:instrText>
        </w:r>
        <w:r>
          <w:rPr>
            <w:noProof/>
            <w:webHidden/>
          </w:rPr>
        </w:r>
        <w:r>
          <w:rPr>
            <w:noProof/>
            <w:webHidden/>
          </w:rPr>
          <w:fldChar w:fldCharType="separate"/>
        </w:r>
        <w:r w:rsidR="00736DAC">
          <w:rPr>
            <w:noProof/>
            <w:webHidden/>
          </w:rPr>
          <w:t>58</w:t>
        </w:r>
        <w:r>
          <w:rPr>
            <w:noProof/>
            <w:webHidden/>
          </w:rPr>
          <w:fldChar w:fldCharType="end"/>
        </w:r>
      </w:hyperlink>
    </w:p>
    <w:p w14:paraId="5E696852" w14:textId="2E26E4A8" w:rsidR="00AB272E" w:rsidRDefault="00AB272E">
      <w:pPr>
        <w:pStyle w:val="TOC1"/>
        <w:rPr>
          <w:rFonts w:asciiTheme="minorHAnsi" w:eastAsiaTheme="minorEastAsia" w:hAnsiTheme="minorHAnsi" w:cstheme="minorBidi"/>
          <w:noProof/>
          <w:kern w:val="2"/>
          <w:sz w:val="22"/>
          <w:szCs w:val="22"/>
          <w:lang w:val="en-GB" w:eastAsia="en-GB"/>
          <w14:ligatures w14:val="standardContextual"/>
        </w:rPr>
      </w:pPr>
      <w:hyperlink w:anchor="_Toc162518750" w:history="1">
        <w:r w:rsidRPr="00651DB3">
          <w:rPr>
            <w:rStyle w:val="Hyperlink"/>
            <w:noProof/>
            <w:lang w:val="es-ES_tradnl"/>
          </w:rPr>
          <w:t>1</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Procedimientos numéricos</w:t>
        </w:r>
        <w:r>
          <w:rPr>
            <w:noProof/>
            <w:webHidden/>
          </w:rPr>
          <w:tab/>
        </w:r>
        <w:r w:rsidR="00AB59A2">
          <w:rPr>
            <w:noProof/>
            <w:webHidden/>
          </w:rPr>
          <w:tab/>
        </w:r>
        <w:r>
          <w:rPr>
            <w:noProof/>
            <w:webHidden/>
          </w:rPr>
          <w:fldChar w:fldCharType="begin"/>
        </w:r>
        <w:r>
          <w:rPr>
            <w:noProof/>
            <w:webHidden/>
          </w:rPr>
          <w:instrText xml:space="preserve"> PAGEREF _Toc162518750 \h </w:instrText>
        </w:r>
        <w:r>
          <w:rPr>
            <w:noProof/>
            <w:webHidden/>
          </w:rPr>
        </w:r>
        <w:r>
          <w:rPr>
            <w:noProof/>
            <w:webHidden/>
          </w:rPr>
          <w:fldChar w:fldCharType="separate"/>
        </w:r>
        <w:r w:rsidR="00736DAC">
          <w:rPr>
            <w:noProof/>
            <w:webHidden/>
          </w:rPr>
          <w:t>58</w:t>
        </w:r>
        <w:r>
          <w:rPr>
            <w:noProof/>
            <w:webHidden/>
          </w:rPr>
          <w:fldChar w:fldCharType="end"/>
        </w:r>
      </w:hyperlink>
    </w:p>
    <w:p w14:paraId="0CD3EA95" w14:textId="2852B621" w:rsidR="00AB272E" w:rsidRDefault="00AB272E">
      <w:pPr>
        <w:pStyle w:val="TOC2"/>
        <w:rPr>
          <w:rFonts w:asciiTheme="minorHAnsi" w:eastAsiaTheme="minorEastAsia" w:hAnsiTheme="minorHAnsi" w:cstheme="minorBidi"/>
          <w:noProof/>
          <w:kern w:val="2"/>
          <w:sz w:val="22"/>
          <w:szCs w:val="22"/>
          <w:lang w:val="en-GB" w:eastAsia="en-GB"/>
          <w14:ligatures w14:val="standardContextual"/>
        </w:rPr>
      </w:pPr>
      <w:hyperlink w:anchor="_Toc162518751" w:history="1">
        <w:r w:rsidRPr="00651DB3">
          <w:rPr>
            <w:rStyle w:val="Hyperlink"/>
            <w:noProof/>
            <w:lang w:val="es-ES_tradnl"/>
          </w:rPr>
          <w:t>1.1</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Método de momentos</w:t>
        </w:r>
        <w:r>
          <w:rPr>
            <w:noProof/>
            <w:webHidden/>
          </w:rPr>
          <w:tab/>
        </w:r>
        <w:r w:rsidR="00AB59A2">
          <w:rPr>
            <w:noProof/>
            <w:webHidden/>
          </w:rPr>
          <w:tab/>
        </w:r>
        <w:r>
          <w:rPr>
            <w:noProof/>
            <w:webHidden/>
          </w:rPr>
          <w:fldChar w:fldCharType="begin"/>
        </w:r>
        <w:r>
          <w:rPr>
            <w:noProof/>
            <w:webHidden/>
          </w:rPr>
          <w:instrText xml:space="preserve"> PAGEREF _Toc162518751 \h </w:instrText>
        </w:r>
        <w:r>
          <w:rPr>
            <w:noProof/>
            <w:webHidden/>
          </w:rPr>
        </w:r>
        <w:r>
          <w:rPr>
            <w:noProof/>
            <w:webHidden/>
          </w:rPr>
          <w:fldChar w:fldCharType="separate"/>
        </w:r>
        <w:r w:rsidR="00736DAC">
          <w:rPr>
            <w:noProof/>
            <w:webHidden/>
          </w:rPr>
          <w:t>59</w:t>
        </w:r>
        <w:r>
          <w:rPr>
            <w:noProof/>
            <w:webHidden/>
          </w:rPr>
          <w:fldChar w:fldCharType="end"/>
        </w:r>
      </w:hyperlink>
    </w:p>
    <w:p w14:paraId="38DB12F9" w14:textId="16A72C1D" w:rsidR="00AB272E" w:rsidRDefault="00AB272E">
      <w:pPr>
        <w:pStyle w:val="TOC2"/>
        <w:rPr>
          <w:rFonts w:asciiTheme="minorHAnsi" w:eastAsiaTheme="minorEastAsia" w:hAnsiTheme="minorHAnsi" w:cstheme="minorBidi"/>
          <w:noProof/>
          <w:kern w:val="2"/>
          <w:sz w:val="22"/>
          <w:szCs w:val="22"/>
          <w:lang w:val="en-GB" w:eastAsia="en-GB"/>
          <w14:ligatures w14:val="standardContextual"/>
        </w:rPr>
      </w:pPr>
      <w:hyperlink w:anchor="_Toc162518752" w:history="1">
        <w:r w:rsidRPr="00651DB3">
          <w:rPr>
            <w:rStyle w:val="Hyperlink"/>
            <w:noProof/>
            <w:lang w:val="es-ES_tradnl"/>
          </w:rPr>
          <w:t>1.2</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Método de la transformada rápida de Fourier/gradiente conjugado</w:t>
        </w:r>
        <w:r>
          <w:rPr>
            <w:noProof/>
            <w:webHidden/>
          </w:rPr>
          <w:tab/>
        </w:r>
        <w:r w:rsidR="00AB59A2">
          <w:rPr>
            <w:noProof/>
            <w:webHidden/>
          </w:rPr>
          <w:tab/>
        </w:r>
        <w:r>
          <w:rPr>
            <w:noProof/>
            <w:webHidden/>
          </w:rPr>
          <w:fldChar w:fldCharType="begin"/>
        </w:r>
        <w:r>
          <w:rPr>
            <w:noProof/>
            <w:webHidden/>
          </w:rPr>
          <w:instrText xml:space="preserve"> PAGEREF _Toc162518752 \h </w:instrText>
        </w:r>
        <w:r>
          <w:rPr>
            <w:noProof/>
            <w:webHidden/>
          </w:rPr>
        </w:r>
        <w:r>
          <w:rPr>
            <w:noProof/>
            <w:webHidden/>
          </w:rPr>
          <w:fldChar w:fldCharType="separate"/>
        </w:r>
        <w:r w:rsidR="00736DAC">
          <w:rPr>
            <w:noProof/>
            <w:webHidden/>
          </w:rPr>
          <w:t>59</w:t>
        </w:r>
        <w:r>
          <w:rPr>
            <w:noProof/>
            <w:webHidden/>
          </w:rPr>
          <w:fldChar w:fldCharType="end"/>
        </w:r>
      </w:hyperlink>
    </w:p>
    <w:p w14:paraId="4773A0D1" w14:textId="0464A2FE" w:rsidR="00AB272E" w:rsidRDefault="00AB272E">
      <w:pPr>
        <w:pStyle w:val="TOC2"/>
        <w:rPr>
          <w:rFonts w:asciiTheme="minorHAnsi" w:eastAsiaTheme="minorEastAsia" w:hAnsiTheme="minorHAnsi" w:cstheme="minorBidi"/>
          <w:noProof/>
          <w:kern w:val="2"/>
          <w:sz w:val="22"/>
          <w:szCs w:val="22"/>
          <w:lang w:val="en-GB" w:eastAsia="en-GB"/>
          <w14:ligatures w14:val="standardContextual"/>
        </w:rPr>
      </w:pPr>
      <w:hyperlink w:anchor="_Toc162518753" w:history="1">
        <w:r w:rsidRPr="00651DB3">
          <w:rPr>
            <w:rStyle w:val="Hyperlink"/>
            <w:noProof/>
            <w:lang w:val="es-ES_tradnl"/>
          </w:rPr>
          <w:t>1.3</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Método de diferencia finita en el dominio del tiempo</w:t>
        </w:r>
        <w:r>
          <w:rPr>
            <w:noProof/>
            <w:webHidden/>
          </w:rPr>
          <w:tab/>
        </w:r>
        <w:r w:rsidR="00AB59A2">
          <w:rPr>
            <w:noProof/>
            <w:webHidden/>
          </w:rPr>
          <w:tab/>
        </w:r>
        <w:r>
          <w:rPr>
            <w:noProof/>
            <w:webHidden/>
          </w:rPr>
          <w:fldChar w:fldCharType="begin"/>
        </w:r>
        <w:r>
          <w:rPr>
            <w:noProof/>
            <w:webHidden/>
          </w:rPr>
          <w:instrText xml:space="preserve"> PAGEREF _Toc162518753 \h </w:instrText>
        </w:r>
        <w:r>
          <w:rPr>
            <w:noProof/>
            <w:webHidden/>
          </w:rPr>
        </w:r>
        <w:r>
          <w:rPr>
            <w:noProof/>
            <w:webHidden/>
          </w:rPr>
          <w:fldChar w:fldCharType="separate"/>
        </w:r>
        <w:r w:rsidR="00736DAC">
          <w:rPr>
            <w:noProof/>
            <w:webHidden/>
          </w:rPr>
          <w:t>59</w:t>
        </w:r>
        <w:r>
          <w:rPr>
            <w:noProof/>
            <w:webHidden/>
          </w:rPr>
          <w:fldChar w:fldCharType="end"/>
        </w:r>
      </w:hyperlink>
    </w:p>
    <w:p w14:paraId="39ED3AE8" w14:textId="23D5ED28" w:rsidR="00AB272E" w:rsidRDefault="00AB272E">
      <w:pPr>
        <w:pStyle w:val="TOC2"/>
        <w:rPr>
          <w:rFonts w:asciiTheme="minorHAnsi" w:eastAsiaTheme="minorEastAsia" w:hAnsiTheme="minorHAnsi" w:cstheme="minorBidi"/>
          <w:noProof/>
          <w:kern w:val="2"/>
          <w:sz w:val="22"/>
          <w:szCs w:val="22"/>
          <w:lang w:val="en-GB" w:eastAsia="en-GB"/>
          <w14:ligatures w14:val="standardContextual"/>
        </w:rPr>
      </w:pPr>
      <w:hyperlink w:anchor="_Toc162518754" w:history="1">
        <w:r w:rsidRPr="00651DB3">
          <w:rPr>
            <w:rStyle w:val="Hyperlink"/>
            <w:noProof/>
            <w:lang w:val="es-ES_tradnl"/>
          </w:rPr>
          <w:t>1.4</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Método de múltiples multipolos</w:t>
        </w:r>
        <w:r>
          <w:rPr>
            <w:noProof/>
            <w:webHidden/>
          </w:rPr>
          <w:tab/>
        </w:r>
        <w:r w:rsidR="00AB59A2">
          <w:rPr>
            <w:noProof/>
            <w:webHidden/>
          </w:rPr>
          <w:tab/>
        </w:r>
        <w:r>
          <w:rPr>
            <w:noProof/>
            <w:webHidden/>
          </w:rPr>
          <w:fldChar w:fldCharType="begin"/>
        </w:r>
        <w:r>
          <w:rPr>
            <w:noProof/>
            <w:webHidden/>
          </w:rPr>
          <w:instrText xml:space="preserve"> PAGEREF _Toc162518754 \h </w:instrText>
        </w:r>
        <w:r>
          <w:rPr>
            <w:noProof/>
            <w:webHidden/>
          </w:rPr>
        </w:r>
        <w:r>
          <w:rPr>
            <w:noProof/>
            <w:webHidden/>
          </w:rPr>
          <w:fldChar w:fldCharType="separate"/>
        </w:r>
        <w:r w:rsidR="00736DAC">
          <w:rPr>
            <w:noProof/>
            <w:webHidden/>
          </w:rPr>
          <w:t>59</w:t>
        </w:r>
        <w:r>
          <w:rPr>
            <w:noProof/>
            <w:webHidden/>
          </w:rPr>
          <w:fldChar w:fldCharType="end"/>
        </w:r>
      </w:hyperlink>
    </w:p>
    <w:p w14:paraId="5CF9ACF9" w14:textId="1D19FE91" w:rsidR="00AB272E" w:rsidRDefault="00AB272E">
      <w:pPr>
        <w:pStyle w:val="TOC2"/>
        <w:rPr>
          <w:rFonts w:asciiTheme="minorHAnsi" w:eastAsiaTheme="minorEastAsia" w:hAnsiTheme="minorHAnsi" w:cstheme="minorBidi"/>
          <w:noProof/>
          <w:kern w:val="2"/>
          <w:sz w:val="22"/>
          <w:szCs w:val="22"/>
          <w:lang w:val="en-GB" w:eastAsia="en-GB"/>
          <w14:ligatures w14:val="standardContextual"/>
        </w:rPr>
      </w:pPr>
      <w:hyperlink w:anchor="_Toc162518755" w:history="1">
        <w:r w:rsidRPr="00651DB3">
          <w:rPr>
            <w:rStyle w:val="Hyperlink"/>
            <w:noProof/>
            <w:lang w:val="es-ES_tradnl"/>
          </w:rPr>
          <w:t>1.5</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Método de la impedancia</w:t>
        </w:r>
        <w:r>
          <w:rPr>
            <w:noProof/>
            <w:webHidden/>
          </w:rPr>
          <w:tab/>
        </w:r>
        <w:r w:rsidR="00AB59A2">
          <w:rPr>
            <w:noProof/>
            <w:webHidden/>
          </w:rPr>
          <w:tab/>
        </w:r>
        <w:r>
          <w:rPr>
            <w:noProof/>
            <w:webHidden/>
          </w:rPr>
          <w:fldChar w:fldCharType="begin"/>
        </w:r>
        <w:r>
          <w:rPr>
            <w:noProof/>
            <w:webHidden/>
          </w:rPr>
          <w:instrText xml:space="preserve"> PAGEREF _Toc162518755 \h </w:instrText>
        </w:r>
        <w:r>
          <w:rPr>
            <w:noProof/>
            <w:webHidden/>
          </w:rPr>
        </w:r>
        <w:r>
          <w:rPr>
            <w:noProof/>
            <w:webHidden/>
          </w:rPr>
          <w:fldChar w:fldCharType="separate"/>
        </w:r>
        <w:r w:rsidR="00736DAC">
          <w:rPr>
            <w:noProof/>
            <w:webHidden/>
          </w:rPr>
          <w:t>59</w:t>
        </w:r>
        <w:r>
          <w:rPr>
            <w:noProof/>
            <w:webHidden/>
          </w:rPr>
          <w:fldChar w:fldCharType="end"/>
        </w:r>
      </w:hyperlink>
    </w:p>
    <w:p w14:paraId="716DAC5D" w14:textId="1E94F0D1" w:rsidR="00AB272E" w:rsidRDefault="00AB272E">
      <w:pPr>
        <w:pStyle w:val="TOC1"/>
        <w:rPr>
          <w:rFonts w:asciiTheme="minorHAnsi" w:eastAsiaTheme="minorEastAsia" w:hAnsiTheme="minorHAnsi" w:cstheme="minorBidi"/>
          <w:noProof/>
          <w:kern w:val="2"/>
          <w:sz w:val="22"/>
          <w:szCs w:val="22"/>
          <w:lang w:val="en-GB" w:eastAsia="en-GB"/>
          <w14:ligatures w14:val="standardContextual"/>
        </w:rPr>
      </w:pPr>
      <w:hyperlink w:anchor="_Toc162518756" w:history="1">
        <w:r w:rsidRPr="00651DB3">
          <w:rPr>
            <w:rStyle w:val="Hyperlink"/>
            <w:noProof/>
            <w:lang w:val="es-ES_tradnl"/>
          </w:rPr>
          <w:t>2</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Cálculos de la intensidad de campo</w:t>
        </w:r>
        <w:r>
          <w:rPr>
            <w:noProof/>
            <w:webHidden/>
          </w:rPr>
          <w:tab/>
        </w:r>
        <w:r w:rsidR="00AB59A2">
          <w:rPr>
            <w:noProof/>
            <w:webHidden/>
          </w:rPr>
          <w:tab/>
        </w:r>
        <w:r>
          <w:rPr>
            <w:noProof/>
            <w:webHidden/>
          </w:rPr>
          <w:fldChar w:fldCharType="begin"/>
        </w:r>
        <w:r>
          <w:rPr>
            <w:noProof/>
            <w:webHidden/>
          </w:rPr>
          <w:instrText xml:space="preserve"> PAGEREF _Toc162518756 \h </w:instrText>
        </w:r>
        <w:r>
          <w:rPr>
            <w:noProof/>
            <w:webHidden/>
          </w:rPr>
        </w:r>
        <w:r>
          <w:rPr>
            <w:noProof/>
            <w:webHidden/>
          </w:rPr>
          <w:fldChar w:fldCharType="separate"/>
        </w:r>
        <w:r w:rsidR="00736DAC">
          <w:rPr>
            <w:noProof/>
            <w:webHidden/>
          </w:rPr>
          <w:t>60</w:t>
        </w:r>
        <w:r>
          <w:rPr>
            <w:noProof/>
            <w:webHidden/>
          </w:rPr>
          <w:fldChar w:fldCharType="end"/>
        </w:r>
      </w:hyperlink>
    </w:p>
    <w:p w14:paraId="177A58CF" w14:textId="0D9C03B4" w:rsidR="00AB272E" w:rsidRDefault="00AB272E">
      <w:pPr>
        <w:pStyle w:val="TOC2"/>
        <w:rPr>
          <w:rFonts w:asciiTheme="minorHAnsi" w:eastAsiaTheme="minorEastAsia" w:hAnsiTheme="minorHAnsi" w:cstheme="minorBidi"/>
          <w:noProof/>
          <w:kern w:val="2"/>
          <w:sz w:val="22"/>
          <w:szCs w:val="22"/>
          <w:lang w:val="en-GB" w:eastAsia="en-GB"/>
          <w14:ligatures w14:val="standardContextual"/>
        </w:rPr>
      </w:pPr>
      <w:hyperlink w:anchor="_Toc162518757" w:history="1">
        <w:r w:rsidRPr="00651DB3">
          <w:rPr>
            <w:rStyle w:val="Hyperlink"/>
            <w:noProof/>
            <w:lang w:val="es-ES_tradnl"/>
          </w:rPr>
          <w:t>2.1</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Análisis numérico de estructuras filiformes: Ejemplo</w:t>
        </w:r>
        <w:r>
          <w:rPr>
            <w:noProof/>
            <w:webHidden/>
          </w:rPr>
          <w:tab/>
        </w:r>
        <w:r w:rsidR="00AB59A2">
          <w:rPr>
            <w:noProof/>
            <w:webHidden/>
          </w:rPr>
          <w:tab/>
        </w:r>
        <w:r>
          <w:rPr>
            <w:noProof/>
            <w:webHidden/>
          </w:rPr>
          <w:fldChar w:fldCharType="begin"/>
        </w:r>
        <w:r>
          <w:rPr>
            <w:noProof/>
            <w:webHidden/>
          </w:rPr>
          <w:instrText xml:space="preserve"> PAGEREF _Toc162518757 \h </w:instrText>
        </w:r>
        <w:r>
          <w:rPr>
            <w:noProof/>
            <w:webHidden/>
          </w:rPr>
        </w:r>
        <w:r>
          <w:rPr>
            <w:noProof/>
            <w:webHidden/>
          </w:rPr>
          <w:fldChar w:fldCharType="separate"/>
        </w:r>
        <w:r w:rsidR="00736DAC">
          <w:rPr>
            <w:noProof/>
            <w:webHidden/>
          </w:rPr>
          <w:t>60</w:t>
        </w:r>
        <w:r>
          <w:rPr>
            <w:noProof/>
            <w:webHidden/>
          </w:rPr>
          <w:fldChar w:fldCharType="end"/>
        </w:r>
      </w:hyperlink>
    </w:p>
    <w:p w14:paraId="4BADBBC4" w14:textId="755C5E42" w:rsidR="00AB272E" w:rsidRDefault="00AB272E">
      <w:pPr>
        <w:pStyle w:val="TOC1"/>
        <w:rPr>
          <w:rFonts w:asciiTheme="minorHAnsi" w:eastAsiaTheme="minorEastAsia" w:hAnsiTheme="minorHAnsi" w:cstheme="minorBidi"/>
          <w:noProof/>
          <w:kern w:val="2"/>
          <w:sz w:val="22"/>
          <w:szCs w:val="22"/>
          <w:lang w:val="en-GB" w:eastAsia="en-GB"/>
          <w14:ligatures w14:val="standardContextual"/>
        </w:rPr>
      </w:pPr>
      <w:hyperlink w:anchor="_Toc162518758" w:history="1">
        <w:r w:rsidRPr="00651DB3">
          <w:rPr>
            <w:rStyle w:val="Hyperlink"/>
            <w:noProof/>
            <w:lang w:val="es-ES_tradnl"/>
          </w:rPr>
          <w:t>3</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Dosimetría</w:t>
        </w:r>
        <w:r>
          <w:rPr>
            <w:noProof/>
            <w:webHidden/>
          </w:rPr>
          <w:tab/>
        </w:r>
        <w:r w:rsidR="00AB59A2">
          <w:rPr>
            <w:noProof/>
            <w:webHidden/>
          </w:rPr>
          <w:tab/>
        </w:r>
        <w:r>
          <w:rPr>
            <w:noProof/>
            <w:webHidden/>
          </w:rPr>
          <w:fldChar w:fldCharType="begin"/>
        </w:r>
        <w:r>
          <w:rPr>
            <w:noProof/>
            <w:webHidden/>
          </w:rPr>
          <w:instrText xml:space="preserve"> PAGEREF _Toc162518758 \h </w:instrText>
        </w:r>
        <w:r>
          <w:rPr>
            <w:noProof/>
            <w:webHidden/>
          </w:rPr>
        </w:r>
        <w:r>
          <w:rPr>
            <w:noProof/>
            <w:webHidden/>
          </w:rPr>
          <w:fldChar w:fldCharType="separate"/>
        </w:r>
        <w:r w:rsidR="00736DAC">
          <w:rPr>
            <w:noProof/>
            <w:webHidden/>
          </w:rPr>
          <w:t>62</w:t>
        </w:r>
        <w:r>
          <w:rPr>
            <w:noProof/>
            <w:webHidden/>
          </w:rPr>
          <w:fldChar w:fldCharType="end"/>
        </w:r>
      </w:hyperlink>
    </w:p>
    <w:p w14:paraId="63091B61" w14:textId="51817486" w:rsidR="00AB272E" w:rsidRDefault="00AB272E">
      <w:pPr>
        <w:pStyle w:val="TOC2"/>
        <w:rPr>
          <w:rFonts w:asciiTheme="minorHAnsi" w:eastAsiaTheme="minorEastAsia" w:hAnsiTheme="minorHAnsi" w:cstheme="minorBidi"/>
          <w:noProof/>
          <w:kern w:val="2"/>
          <w:sz w:val="22"/>
          <w:szCs w:val="22"/>
          <w:lang w:val="en-GB" w:eastAsia="en-GB"/>
          <w14:ligatures w14:val="standardContextual"/>
        </w:rPr>
      </w:pPr>
      <w:hyperlink w:anchor="_Toc162518759" w:history="1">
        <w:r w:rsidRPr="00651DB3">
          <w:rPr>
            <w:rStyle w:val="Hyperlink"/>
            <w:noProof/>
            <w:lang w:val="es-ES_tradnl"/>
          </w:rPr>
          <w:t>3.1</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Cálculos de la tasa de absorción específica</w:t>
        </w:r>
        <w:r>
          <w:rPr>
            <w:noProof/>
            <w:webHidden/>
          </w:rPr>
          <w:tab/>
        </w:r>
        <w:r w:rsidR="00AB59A2">
          <w:rPr>
            <w:noProof/>
            <w:webHidden/>
          </w:rPr>
          <w:tab/>
        </w:r>
        <w:r>
          <w:rPr>
            <w:noProof/>
            <w:webHidden/>
          </w:rPr>
          <w:fldChar w:fldCharType="begin"/>
        </w:r>
        <w:r>
          <w:rPr>
            <w:noProof/>
            <w:webHidden/>
          </w:rPr>
          <w:instrText xml:space="preserve"> PAGEREF _Toc162518759 \h </w:instrText>
        </w:r>
        <w:r>
          <w:rPr>
            <w:noProof/>
            <w:webHidden/>
          </w:rPr>
        </w:r>
        <w:r>
          <w:rPr>
            <w:noProof/>
            <w:webHidden/>
          </w:rPr>
          <w:fldChar w:fldCharType="separate"/>
        </w:r>
        <w:r w:rsidR="00736DAC">
          <w:rPr>
            <w:noProof/>
            <w:webHidden/>
          </w:rPr>
          <w:t>63</w:t>
        </w:r>
        <w:r>
          <w:rPr>
            <w:noProof/>
            <w:webHidden/>
          </w:rPr>
          <w:fldChar w:fldCharType="end"/>
        </w:r>
      </w:hyperlink>
    </w:p>
    <w:p w14:paraId="6F6C3585" w14:textId="76D5C86F" w:rsidR="00AB272E" w:rsidRDefault="00AB272E">
      <w:pPr>
        <w:pStyle w:val="TOC2"/>
        <w:rPr>
          <w:rFonts w:asciiTheme="minorHAnsi" w:eastAsiaTheme="minorEastAsia" w:hAnsiTheme="minorHAnsi" w:cstheme="minorBidi"/>
          <w:noProof/>
          <w:kern w:val="2"/>
          <w:sz w:val="22"/>
          <w:szCs w:val="22"/>
          <w:lang w:val="en-GB" w:eastAsia="en-GB"/>
          <w14:ligatures w14:val="standardContextual"/>
        </w:rPr>
      </w:pPr>
      <w:hyperlink w:anchor="_Toc162518760" w:history="1">
        <w:r w:rsidRPr="00651DB3">
          <w:rPr>
            <w:rStyle w:val="Hyperlink"/>
            <w:noProof/>
            <w:lang w:val="es-ES_tradnl"/>
          </w:rPr>
          <w:t>3.2</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Medición de la tasa de absorción específica</w:t>
        </w:r>
        <w:r>
          <w:rPr>
            <w:noProof/>
            <w:webHidden/>
          </w:rPr>
          <w:tab/>
        </w:r>
        <w:r w:rsidR="00AB59A2">
          <w:rPr>
            <w:noProof/>
            <w:webHidden/>
          </w:rPr>
          <w:tab/>
        </w:r>
        <w:r>
          <w:rPr>
            <w:noProof/>
            <w:webHidden/>
          </w:rPr>
          <w:fldChar w:fldCharType="begin"/>
        </w:r>
        <w:r>
          <w:rPr>
            <w:noProof/>
            <w:webHidden/>
          </w:rPr>
          <w:instrText xml:space="preserve"> PAGEREF _Toc162518760 \h </w:instrText>
        </w:r>
        <w:r>
          <w:rPr>
            <w:noProof/>
            <w:webHidden/>
          </w:rPr>
        </w:r>
        <w:r>
          <w:rPr>
            <w:noProof/>
            <w:webHidden/>
          </w:rPr>
          <w:fldChar w:fldCharType="separate"/>
        </w:r>
        <w:r w:rsidR="00736DAC">
          <w:rPr>
            <w:noProof/>
            <w:webHidden/>
          </w:rPr>
          <w:t>63</w:t>
        </w:r>
        <w:r>
          <w:rPr>
            <w:noProof/>
            <w:webHidden/>
          </w:rPr>
          <w:fldChar w:fldCharType="end"/>
        </w:r>
      </w:hyperlink>
    </w:p>
    <w:p w14:paraId="254E34FE" w14:textId="33BE0273" w:rsidR="00AB272E" w:rsidRDefault="00AB272E">
      <w:pPr>
        <w:pStyle w:val="TOC1"/>
        <w:rPr>
          <w:rFonts w:asciiTheme="minorHAnsi" w:eastAsiaTheme="minorEastAsia" w:hAnsiTheme="minorHAnsi" w:cstheme="minorBidi"/>
          <w:noProof/>
          <w:kern w:val="2"/>
          <w:sz w:val="22"/>
          <w:szCs w:val="22"/>
          <w:lang w:val="en-GB" w:eastAsia="en-GB"/>
          <w14:ligatures w14:val="standardContextual"/>
        </w:rPr>
      </w:pPr>
      <w:hyperlink w:anchor="_Toc162518761" w:history="1">
        <w:r w:rsidRPr="00651DB3">
          <w:rPr>
            <w:rStyle w:val="Hyperlink"/>
            <w:noProof/>
            <w:lang w:val="es-ES_tradnl"/>
          </w:rPr>
          <w:t>4</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Medición de la corriente del cuerpo</w:t>
        </w:r>
        <w:r>
          <w:rPr>
            <w:noProof/>
            <w:webHidden/>
          </w:rPr>
          <w:tab/>
        </w:r>
        <w:r w:rsidR="00AB59A2">
          <w:rPr>
            <w:noProof/>
            <w:webHidden/>
          </w:rPr>
          <w:tab/>
        </w:r>
        <w:r>
          <w:rPr>
            <w:noProof/>
            <w:webHidden/>
          </w:rPr>
          <w:fldChar w:fldCharType="begin"/>
        </w:r>
        <w:r>
          <w:rPr>
            <w:noProof/>
            <w:webHidden/>
          </w:rPr>
          <w:instrText xml:space="preserve"> PAGEREF _Toc162518761 \h </w:instrText>
        </w:r>
        <w:r>
          <w:rPr>
            <w:noProof/>
            <w:webHidden/>
          </w:rPr>
        </w:r>
        <w:r>
          <w:rPr>
            <w:noProof/>
            <w:webHidden/>
          </w:rPr>
          <w:fldChar w:fldCharType="separate"/>
        </w:r>
        <w:r w:rsidR="00736DAC">
          <w:rPr>
            <w:noProof/>
            <w:webHidden/>
          </w:rPr>
          <w:t>65</w:t>
        </w:r>
        <w:r>
          <w:rPr>
            <w:noProof/>
            <w:webHidden/>
          </w:rPr>
          <w:fldChar w:fldCharType="end"/>
        </w:r>
      </w:hyperlink>
    </w:p>
    <w:p w14:paraId="4453A98C" w14:textId="4EF70A4F" w:rsidR="00AB272E" w:rsidRDefault="00AB272E">
      <w:pPr>
        <w:pStyle w:val="TOC2"/>
        <w:rPr>
          <w:rFonts w:asciiTheme="minorHAnsi" w:eastAsiaTheme="minorEastAsia" w:hAnsiTheme="minorHAnsi" w:cstheme="minorBidi"/>
          <w:noProof/>
          <w:kern w:val="2"/>
          <w:sz w:val="22"/>
          <w:szCs w:val="22"/>
          <w:lang w:val="en-GB" w:eastAsia="en-GB"/>
          <w14:ligatures w14:val="standardContextual"/>
        </w:rPr>
      </w:pPr>
      <w:hyperlink w:anchor="_Toc162518762" w:history="1">
        <w:r w:rsidRPr="00651DB3">
          <w:rPr>
            <w:rStyle w:val="Hyperlink"/>
            <w:noProof/>
            <w:lang w:val="es-ES_tradnl"/>
          </w:rPr>
          <w:t>4.1</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Corrientes inducidas por el cuerpo</w:t>
        </w:r>
        <w:r>
          <w:rPr>
            <w:noProof/>
            <w:webHidden/>
          </w:rPr>
          <w:tab/>
        </w:r>
        <w:r w:rsidR="00AB59A2">
          <w:rPr>
            <w:noProof/>
            <w:webHidden/>
          </w:rPr>
          <w:tab/>
        </w:r>
        <w:r>
          <w:rPr>
            <w:noProof/>
            <w:webHidden/>
          </w:rPr>
          <w:fldChar w:fldCharType="begin"/>
        </w:r>
        <w:r>
          <w:rPr>
            <w:noProof/>
            <w:webHidden/>
          </w:rPr>
          <w:instrText xml:space="preserve"> PAGEREF _Toc162518762 \h </w:instrText>
        </w:r>
        <w:r>
          <w:rPr>
            <w:noProof/>
            <w:webHidden/>
          </w:rPr>
        </w:r>
        <w:r>
          <w:rPr>
            <w:noProof/>
            <w:webHidden/>
          </w:rPr>
          <w:fldChar w:fldCharType="separate"/>
        </w:r>
        <w:r w:rsidR="00736DAC">
          <w:rPr>
            <w:noProof/>
            <w:webHidden/>
          </w:rPr>
          <w:t>65</w:t>
        </w:r>
        <w:r>
          <w:rPr>
            <w:noProof/>
            <w:webHidden/>
          </w:rPr>
          <w:fldChar w:fldCharType="end"/>
        </w:r>
      </w:hyperlink>
    </w:p>
    <w:p w14:paraId="589C3F51" w14:textId="77A33201" w:rsidR="00AB272E" w:rsidRDefault="00AB272E">
      <w:pPr>
        <w:pStyle w:val="TOC2"/>
        <w:rPr>
          <w:rFonts w:asciiTheme="minorHAnsi" w:eastAsiaTheme="minorEastAsia" w:hAnsiTheme="minorHAnsi" w:cstheme="minorBidi"/>
          <w:noProof/>
          <w:kern w:val="2"/>
          <w:sz w:val="22"/>
          <w:szCs w:val="22"/>
          <w:lang w:val="en-GB" w:eastAsia="en-GB"/>
          <w14:ligatures w14:val="standardContextual"/>
        </w:rPr>
      </w:pPr>
      <w:hyperlink w:anchor="_Toc162518763" w:history="1">
        <w:r w:rsidRPr="00651DB3">
          <w:rPr>
            <w:rStyle w:val="Hyperlink"/>
            <w:noProof/>
            <w:lang w:val="es-ES_tradnl"/>
          </w:rPr>
          <w:t>4.2</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Medición de la corriente de contacto</w:t>
        </w:r>
        <w:r>
          <w:rPr>
            <w:noProof/>
            <w:webHidden/>
          </w:rPr>
          <w:tab/>
        </w:r>
        <w:r w:rsidR="00AB59A2">
          <w:rPr>
            <w:noProof/>
            <w:webHidden/>
          </w:rPr>
          <w:tab/>
        </w:r>
        <w:r>
          <w:rPr>
            <w:noProof/>
            <w:webHidden/>
          </w:rPr>
          <w:fldChar w:fldCharType="begin"/>
        </w:r>
        <w:r>
          <w:rPr>
            <w:noProof/>
            <w:webHidden/>
          </w:rPr>
          <w:instrText xml:space="preserve"> PAGEREF _Toc162518763 \h </w:instrText>
        </w:r>
        <w:r>
          <w:rPr>
            <w:noProof/>
            <w:webHidden/>
          </w:rPr>
        </w:r>
        <w:r>
          <w:rPr>
            <w:noProof/>
            <w:webHidden/>
          </w:rPr>
          <w:fldChar w:fldCharType="separate"/>
        </w:r>
        <w:r w:rsidR="00736DAC">
          <w:rPr>
            <w:noProof/>
            <w:webHidden/>
          </w:rPr>
          <w:t>66</w:t>
        </w:r>
        <w:r>
          <w:rPr>
            <w:noProof/>
            <w:webHidden/>
          </w:rPr>
          <w:fldChar w:fldCharType="end"/>
        </w:r>
      </w:hyperlink>
    </w:p>
    <w:p w14:paraId="7D35EFFF" w14:textId="1CE70D6C" w:rsidR="00AB272E" w:rsidRDefault="00AB272E">
      <w:pPr>
        <w:pStyle w:val="TOC2"/>
        <w:rPr>
          <w:rFonts w:asciiTheme="minorHAnsi" w:eastAsiaTheme="minorEastAsia" w:hAnsiTheme="minorHAnsi" w:cstheme="minorBidi"/>
          <w:noProof/>
          <w:kern w:val="2"/>
          <w:sz w:val="22"/>
          <w:szCs w:val="22"/>
          <w:lang w:val="en-GB" w:eastAsia="en-GB"/>
          <w14:ligatures w14:val="standardContextual"/>
        </w:rPr>
      </w:pPr>
      <w:hyperlink w:anchor="_Toc162518764" w:history="1">
        <w:r w:rsidRPr="00651DB3">
          <w:rPr>
            <w:rStyle w:val="Hyperlink"/>
            <w:noProof/>
            <w:lang w:val="es-ES_tradnl"/>
          </w:rPr>
          <w:t>4.3</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Medición de la tensión de contacto</w:t>
        </w:r>
        <w:r>
          <w:rPr>
            <w:noProof/>
            <w:webHidden/>
          </w:rPr>
          <w:tab/>
        </w:r>
        <w:r w:rsidR="00AB59A2">
          <w:rPr>
            <w:noProof/>
            <w:webHidden/>
          </w:rPr>
          <w:tab/>
        </w:r>
        <w:r>
          <w:rPr>
            <w:noProof/>
            <w:webHidden/>
          </w:rPr>
          <w:fldChar w:fldCharType="begin"/>
        </w:r>
        <w:r>
          <w:rPr>
            <w:noProof/>
            <w:webHidden/>
          </w:rPr>
          <w:instrText xml:space="preserve"> PAGEREF _Toc162518764 \h </w:instrText>
        </w:r>
        <w:r>
          <w:rPr>
            <w:noProof/>
            <w:webHidden/>
          </w:rPr>
        </w:r>
        <w:r>
          <w:rPr>
            <w:noProof/>
            <w:webHidden/>
          </w:rPr>
          <w:fldChar w:fldCharType="separate"/>
        </w:r>
        <w:r w:rsidR="00736DAC">
          <w:rPr>
            <w:noProof/>
            <w:webHidden/>
          </w:rPr>
          <w:t>67</w:t>
        </w:r>
        <w:r>
          <w:rPr>
            <w:noProof/>
            <w:webHidden/>
          </w:rPr>
          <w:fldChar w:fldCharType="end"/>
        </w:r>
      </w:hyperlink>
    </w:p>
    <w:p w14:paraId="19450738" w14:textId="3B47D7D8" w:rsidR="00AB272E" w:rsidRDefault="00AB272E">
      <w:pPr>
        <w:pStyle w:val="TOC1"/>
        <w:rPr>
          <w:rFonts w:asciiTheme="minorHAnsi" w:eastAsiaTheme="minorEastAsia" w:hAnsiTheme="minorHAnsi" w:cstheme="minorBidi"/>
          <w:noProof/>
          <w:kern w:val="2"/>
          <w:sz w:val="22"/>
          <w:szCs w:val="22"/>
          <w:lang w:val="en-GB" w:eastAsia="en-GB"/>
          <w14:ligatures w14:val="standardContextual"/>
        </w:rPr>
      </w:pPr>
      <w:hyperlink w:anchor="_Toc162518765" w:history="1">
        <w:r w:rsidRPr="00651DB3">
          <w:rPr>
            <w:rStyle w:val="Hyperlink"/>
            <w:noProof/>
            <w:lang w:val="es-ES_tradnl"/>
          </w:rPr>
          <w:t xml:space="preserve">Adjunto 6 al Anexo 1 </w:t>
        </w:r>
        <w:r w:rsidR="00AB59A2">
          <w:rPr>
            <w:rStyle w:val="Hyperlink"/>
            <w:noProof/>
            <w:lang w:val="es-ES_tradnl"/>
          </w:rPr>
          <w:t>–</w:t>
        </w:r>
        <w:r w:rsidRPr="00651DB3">
          <w:rPr>
            <w:rStyle w:val="Hyperlink"/>
            <w:noProof/>
            <w:lang w:val="es-ES_tradnl"/>
          </w:rPr>
          <w:t xml:space="preserve"> Dispositivos de electromedicina implantados y portátiles</w:t>
        </w:r>
        <w:r>
          <w:rPr>
            <w:noProof/>
            <w:webHidden/>
          </w:rPr>
          <w:tab/>
        </w:r>
        <w:r w:rsidR="00AB59A2">
          <w:rPr>
            <w:noProof/>
            <w:webHidden/>
          </w:rPr>
          <w:tab/>
        </w:r>
        <w:r>
          <w:rPr>
            <w:noProof/>
            <w:webHidden/>
          </w:rPr>
          <w:fldChar w:fldCharType="begin"/>
        </w:r>
        <w:r>
          <w:rPr>
            <w:noProof/>
            <w:webHidden/>
          </w:rPr>
          <w:instrText xml:space="preserve"> PAGEREF _Toc162518765 \h </w:instrText>
        </w:r>
        <w:r>
          <w:rPr>
            <w:noProof/>
            <w:webHidden/>
          </w:rPr>
        </w:r>
        <w:r>
          <w:rPr>
            <w:noProof/>
            <w:webHidden/>
          </w:rPr>
          <w:fldChar w:fldCharType="separate"/>
        </w:r>
        <w:r w:rsidR="00736DAC">
          <w:rPr>
            <w:noProof/>
            <w:webHidden/>
          </w:rPr>
          <w:t>67</w:t>
        </w:r>
        <w:r>
          <w:rPr>
            <w:noProof/>
            <w:webHidden/>
          </w:rPr>
          <w:fldChar w:fldCharType="end"/>
        </w:r>
      </w:hyperlink>
    </w:p>
    <w:p w14:paraId="0832B34F" w14:textId="2EF02FC3" w:rsidR="00AB272E" w:rsidRDefault="00AB272E">
      <w:pPr>
        <w:pStyle w:val="TOC1"/>
        <w:rPr>
          <w:rFonts w:asciiTheme="minorHAnsi" w:eastAsiaTheme="minorEastAsia" w:hAnsiTheme="minorHAnsi" w:cstheme="minorBidi"/>
          <w:noProof/>
          <w:kern w:val="2"/>
          <w:sz w:val="22"/>
          <w:szCs w:val="22"/>
          <w:lang w:val="en-GB" w:eastAsia="en-GB"/>
          <w14:ligatures w14:val="standardContextual"/>
        </w:rPr>
      </w:pPr>
      <w:hyperlink w:anchor="_Toc162518766" w:history="1">
        <w:r w:rsidRPr="00651DB3">
          <w:rPr>
            <w:rStyle w:val="Hyperlink"/>
            <w:noProof/>
            <w:lang w:val="es-ES_tradnl"/>
          </w:rPr>
          <w:t>1</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Dispositivos de electromedicina</w:t>
        </w:r>
        <w:r>
          <w:rPr>
            <w:noProof/>
            <w:webHidden/>
          </w:rPr>
          <w:tab/>
        </w:r>
        <w:r w:rsidR="00AB59A2">
          <w:rPr>
            <w:noProof/>
            <w:webHidden/>
          </w:rPr>
          <w:tab/>
        </w:r>
        <w:r>
          <w:rPr>
            <w:noProof/>
            <w:webHidden/>
          </w:rPr>
          <w:fldChar w:fldCharType="begin"/>
        </w:r>
        <w:r>
          <w:rPr>
            <w:noProof/>
            <w:webHidden/>
          </w:rPr>
          <w:instrText xml:space="preserve"> PAGEREF _Toc162518766 \h </w:instrText>
        </w:r>
        <w:r>
          <w:rPr>
            <w:noProof/>
            <w:webHidden/>
          </w:rPr>
        </w:r>
        <w:r>
          <w:rPr>
            <w:noProof/>
            <w:webHidden/>
          </w:rPr>
          <w:fldChar w:fldCharType="separate"/>
        </w:r>
        <w:r w:rsidR="00736DAC">
          <w:rPr>
            <w:noProof/>
            <w:webHidden/>
          </w:rPr>
          <w:t>67</w:t>
        </w:r>
        <w:r>
          <w:rPr>
            <w:noProof/>
            <w:webHidden/>
          </w:rPr>
          <w:fldChar w:fldCharType="end"/>
        </w:r>
      </w:hyperlink>
    </w:p>
    <w:p w14:paraId="1C158783" w14:textId="726CA388" w:rsidR="00AB272E" w:rsidRDefault="00AB272E">
      <w:pPr>
        <w:pStyle w:val="TOC1"/>
        <w:rPr>
          <w:rFonts w:asciiTheme="minorHAnsi" w:eastAsiaTheme="minorEastAsia" w:hAnsiTheme="minorHAnsi" w:cstheme="minorBidi"/>
          <w:noProof/>
          <w:kern w:val="2"/>
          <w:sz w:val="22"/>
          <w:szCs w:val="22"/>
          <w:lang w:val="en-GB" w:eastAsia="en-GB"/>
          <w14:ligatures w14:val="standardContextual"/>
        </w:rPr>
      </w:pPr>
      <w:hyperlink w:anchor="_Toc162518767" w:history="1">
        <w:r w:rsidRPr="00651DB3">
          <w:rPr>
            <w:rStyle w:val="Hyperlink"/>
            <w:noProof/>
            <w:lang w:val="es-ES_tradnl"/>
          </w:rPr>
          <w:t>2</w:t>
        </w:r>
        <w:r>
          <w:rPr>
            <w:rFonts w:asciiTheme="minorHAnsi" w:eastAsiaTheme="minorEastAsia" w:hAnsiTheme="minorHAnsi" w:cstheme="minorBidi"/>
            <w:noProof/>
            <w:kern w:val="2"/>
            <w:sz w:val="22"/>
            <w:szCs w:val="22"/>
            <w:lang w:val="en-GB" w:eastAsia="en-GB"/>
            <w14:ligatures w14:val="standardContextual"/>
          </w:rPr>
          <w:tab/>
        </w:r>
        <w:r w:rsidRPr="00651DB3">
          <w:rPr>
            <w:rStyle w:val="Hyperlink"/>
            <w:noProof/>
            <w:lang w:val="es-ES_tradnl"/>
          </w:rPr>
          <w:t>Dispositivos implantados y portátiles</w:t>
        </w:r>
        <w:r>
          <w:rPr>
            <w:noProof/>
            <w:webHidden/>
          </w:rPr>
          <w:tab/>
        </w:r>
        <w:r w:rsidR="00AB59A2">
          <w:rPr>
            <w:noProof/>
            <w:webHidden/>
          </w:rPr>
          <w:tab/>
        </w:r>
        <w:r>
          <w:rPr>
            <w:noProof/>
            <w:webHidden/>
          </w:rPr>
          <w:fldChar w:fldCharType="begin"/>
        </w:r>
        <w:r>
          <w:rPr>
            <w:noProof/>
            <w:webHidden/>
          </w:rPr>
          <w:instrText xml:space="preserve"> PAGEREF _Toc162518767 \h </w:instrText>
        </w:r>
        <w:r>
          <w:rPr>
            <w:noProof/>
            <w:webHidden/>
          </w:rPr>
        </w:r>
        <w:r>
          <w:rPr>
            <w:noProof/>
            <w:webHidden/>
          </w:rPr>
          <w:fldChar w:fldCharType="separate"/>
        </w:r>
        <w:r w:rsidR="00736DAC">
          <w:rPr>
            <w:noProof/>
            <w:webHidden/>
          </w:rPr>
          <w:t>67</w:t>
        </w:r>
        <w:r>
          <w:rPr>
            <w:noProof/>
            <w:webHidden/>
          </w:rPr>
          <w:fldChar w:fldCharType="end"/>
        </w:r>
      </w:hyperlink>
    </w:p>
    <w:p w14:paraId="00FC6DB5" w14:textId="12C6506D" w:rsidR="00AB272E" w:rsidRDefault="00AB272E">
      <w:pPr>
        <w:pStyle w:val="TOC1"/>
        <w:rPr>
          <w:rFonts w:asciiTheme="minorHAnsi" w:eastAsiaTheme="minorEastAsia" w:hAnsiTheme="minorHAnsi" w:cstheme="minorBidi"/>
          <w:noProof/>
          <w:kern w:val="2"/>
          <w:sz w:val="22"/>
          <w:szCs w:val="22"/>
          <w:lang w:val="en-GB" w:eastAsia="en-GB"/>
          <w14:ligatures w14:val="standardContextual"/>
        </w:rPr>
      </w:pPr>
      <w:hyperlink w:anchor="_Toc162518768" w:history="1">
        <w:r w:rsidRPr="00651DB3">
          <w:rPr>
            <w:rStyle w:val="Hyperlink"/>
            <w:noProof/>
          </w:rPr>
          <w:t>Adjunto 7 al</w:t>
        </w:r>
        <w:r w:rsidRPr="00651DB3">
          <w:rPr>
            <w:rStyle w:val="Hyperlink"/>
            <w:noProof/>
          </w:rPr>
          <w:t xml:space="preserve"> </w:t>
        </w:r>
        <w:r w:rsidRPr="00651DB3">
          <w:rPr>
            <w:rStyle w:val="Hyperlink"/>
            <w:noProof/>
          </w:rPr>
          <w:t xml:space="preserve">Anexo 1 </w:t>
        </w:r>
        <w:r w:rsidR="00AB59A2">
          <w:rPr>
            <w:rStyle w:val="Hyperlink"/>
            <w:noProof/>
          </w:rPr>
          <w:t>–</w:t>
        </w:r>
        <w:r w:rsidRPr="00651DB3">
          <w:rPr>
            <w:rStyle w:val="Hyperlink"/>
            <w:noProof/>
          </w:rPr>
          <w:t xml:space="preserve"> Referencias adicionales</w:t>
        </w:r>
        <w:r>
          <w:rPr>
            <w:noProof/>
            <w:webHidden/>
          </w:rPr>
          <w:tab/>
        </w:r>
        <w:r w:rsidR="00AB59A2">
          <w:rPr>
            <w:noProof/>
            <w:webHidden/>
          </w:rPr>
          <w:tab/>
        </w:r>
        <w:r>
          <w:rPr>
            <w:noProof/>
            <w:webHidden/>
          </w:rPr>
          <w:fldChar w:fldCharType="begin"/>
        </w:r>
        <w:r>
          <w:rPr>
            <w:noProof/>
            <w:webHidden/>
          </w:rPr>
          <w:instrText xml:space="preserve"> PAGEREF _Toc162518768 \h </w:instrText>
        </w:r>
        <w:r>
          <w:rPr>
            <w:noProof/>
            <w:webHidden/>
          </w:rPr>
        </w:r>
        <w:r>
          <w:rPr>
            <w:noProof/>
            <w:webHidden/>
          </w:rPr>
          <w:fldChar w:fldCharType="separate"/>
        </w:r>
        <w:r w:rsidR="00736DAC">
          <w:rPr>
            <w:noProof/>
            <w:webHidden/>
          </w:rPr>
          <w:t>68</w:t>
        </w:r>
        <w:r>
          <w:rPr>
            <w:noProof/>
            <w:webHidden/>
          </w:rPr>
          <w:fldChar w:fldCharType="end"/>
        </w:r>
      </w:hyperlink>
    </w:p>
    <w:p w14:paraId="359EA0B1" w14:textId="6F09664F" w:rsidR="00515C7B" w:rsidRDefault="00AB272E" w:rsidP="00515C7B">
      <w:pPr>
        <w:rPr>
          <w:lang w:val="es-ES_tradnl"/>
        </w:rPr>
      </w:pPr>
      <w:r>
        <w:rPr>
          <w:lang w:val="es-ES_tradnl"/>
        </w:rPr>
        <w:fldChar w:fldCharType="end"/>
      </w:r>
    </w:p>
    <w:p w14:paraId="09E9EDF7" w14:textId="3B39DB4B" w:rsidR="0086339D" w:rsidRPr="0056409E" w:rsidRDefault="0086339D" w:rsidP="0086339D">
      <w:pPr>
        <w:pStyle w:val="Heading1"/>
        <w:rPr>
          <w:lang w:val="es-ES_tradnl"/>
        </w:rPr>
      </w:pPr>
      <w:bookmarkStart w:id="79" w:name="_Toc162444557"/>
      <w:bookmarkStart w:id="80" w:name="_Toc162518191"/>
      <w:bookmarkStart w:id="81" w:name="_Toc162518713"/>
      <w:r w:rsidRPr="0056409E">
        <w:rPr>
          <w:lang w:val="es-ES_tradnl"/>
        </w:rPr>
        <w:t>1</w:t>
      </w:r>
      <w:r w:rsidRPr="0056409E">
        <w:rPr>
          <w:lang w:val="es-ES_tradnl"/>
        </w:rPr>
        <w:tab/>
        <w:t>Introducción</w:t>
      </w:r>
      <w:bookmarkEnd w:id="73"/>
      <w:bookmarkEnd w:id="74"/>
      <w:bookmarkEnd w:id="75"/>
      <w:bookmarkEnd w:id="76"/>
      <w:bookmarkEnd w:id="77"/>
      <w:bookmarkEnd w:id="78"/>
      <w:bookmarkEnd w:id="79"/>
      <w:bookmarkEnd w:id="80"/>
      <w:bookmarkEnd w:id="81"/>
    </w:p>
    <w:p w14:paraId="6E5AC557" w14:textId="77777777" w:rsidR="0086339D" w:rsidRPr="0056409E" w:rsidRDefault="0086339D" w:rsidP="0086339D">
      <w:pPr>
        <w:rPr>
          <w:lang w:val="es-ES_tradnl"/>
        </w:rPr>
      </w:pPr>
      <w:r w:rsidRPr="0056409E">
        <w:rPr>
          <w:lang w:val="es-ES_tradnl"/>
        </w:rPr>
        <w:t xml:space="preserve">Durante muchos años, el tema de los efectos de la exposición electromagnética ha sido objeto de estudio y se ha intentado cuantificar los límites particulares que podrían aplicarse para proteger a las personas contra los efectos indeseables. Los estudios realizados en diversos países por diferentes </w:t>
      </w:r>
      <w:r w:rsidRPr="0056409E">
        <w:rPr>
          <w:lang w:val="es-ES_tradnl"/>
        </w:rPr>
        <w:lastRenderedPageBreak/>
        <w:t>organismos han dado lugar a varias regulaciones administrativas. Es sorprendente e incomprensible que no se haya establecido hasta ahora una norma única a pesar de todos los esfuerzos realizados a tal efecto.</w:t>
      </w:r>
    </w:p>
    <w:p w14:paraId="2B5185AE" w14:textId="77777777" w:rsidR="0086339D" w:rsidRPr="0056409E" w:rsidRDefault="0086339D" w:rsidP="0086339D">
      <w:pPr>
        <w:rPr>
          <w:lang w:val="es-ES_tradnl"/>
        </w:rPr>
      </w:pPr>
      <w:r w:rsidRPr="0056409E">
        <w:rPr>
          <w:lang w:val="es-ES_tradnl"/>
        </w:rPr>
        <w:t>La Organización Mundial de la Salud (OMS) señala [6] que, actualmente, muchos países se adhieren a las directrices recomendadas por:</w:t>
      </w:r>
    </w:p>
    <w:p w14:paraId="71822D6A" w14:textId="77777777" w:rsidR="0086339D" w:rsidRPr="0056409E" w:rsidRDefault="0086339D" w:rsidP="001A0386">
      <w:pPr>
        <w:pStyle w:val="enumlev1"/>
        <w:rPr>
          <w:lang w:val="es-ES_tradnl"/>
        </w:rPr>
      </w:pPr>
      <w:r w:rsidRPr="0056409E">
        <w:rPr>
          <w:lang w:val="es-ES_tradnl"/>
        </w:rPr>
        <w:t>–</w:t>
      </w:r>
      <w:r w:rsidRPr="0056409E">
        <w:rPr>
          <w:lang w:val="es-ES_tradnl"/>
        </w:rPr>
        <w:tab/>
        <w:t>la Comisión Internacional sobre Protección contra las Radiaciones No Ionizantes (ICNIRP); y</w:t>
      </w:r>
    </w:p>
    <w:p w14:paraId="2A15271B" w14:textId="77777777" w:rsidR="0086339D" w:rsidRPr="0056409E" w:rsidRDefault="0086339D" w:rsidP="001A0386">
      <w:pPr>
        <w:pStyle w:val="enumlev1"/>
        <w:rPr>
          <w:lang w:val="es-ES_tradnl"/>
        </w:rPr>
      </w:pPr>
      <w:r w:rsidRPr="0056409E">
        <w:rPr>
          <w:lang w:val="es-ES_tradnl"/>
        </w:rPr>
        <w:t>–</w:t>
      </w:r>
      <w:r w:rsidRPr="0056409E">
        <w:rPr>
          <w:lang w:val="es-ES_tradnl"/>
        </w:rPr>
        <w:tab/>
        <w:t>el Instituto de Ingenieros Eléctricos y Electrónicos, a través del Comité internacional sobre seguridad electromagnética (IEEE ICES).</w:t>
      </w:r>
    </w:p>
    <w:p w14:paraId="088A0A5B" w14:textId="3BCF020A" w:rsidR="0086339D" w:rsidRPr="0056409E" w:rsidRDefault="0086339D" w:rsidP="0086339D">
      <w:pPr>
        <w:rPr>
          <w:lang w:val="es-ES_tradnl"/>
        </w:rPr>
      </w:pPr>
      <w:r w:rsidRPr="0056409E">
        <w:rPr>
          <w:lang w:val="es-ES_tradnl"/>
        </w:rPr>
        <w:t>La presente Recomendación tiene por objeto proporcionar una base para la obtención y estimación de los valores relativos a la exposición electromagnética a emisiones procedentes de una estación de radiodifusión a distancias concretas del emplazamiento del transmisor. A partir de dicha información, las organizaciones responsables podrán desarrollar técnicas de medición adecuadas que podrán utilizarse para garantizar que los niveles de CEM eviten la exposición indeseada de las personas a emisiones nocivas. Los niveles reales que se apliquen en cualquier normativa dependerán, naturalmente, de las decisiones adoptadas por las instituciones sanitarias responsables, a nivel nacional y mundial.</w:t>
      </w:r>
    </w:p>
    <w:p w14:paraId="32BC0CD7" w14:textId="0C14B5EE" w:rsidR="0086339D" w:rsidRPr="0056409E" w:rsidRDefault="0086339D" w:rsidP="0086339D">
      <w:pPr>
        <w:rPr>
          <w:lang w:val="es-ES_tradnl"/>
        </w:rPr>
      </w:pPr>
      <w:r w:rsidRPr="0056409E">
        <w:rPr>
          <w:lang w:val="es-ES_tradnl"/>
        </w:rPr>
        <w:t>Obsérvese que esta Recomendación UIT-R y las Recomendaciones UIT-T tratan de asuntos similares poniendo de relieve distintos aspectos del mismo tema general. Por ejemplo, la Recomendación UIT</w:t>
      </w:r>
      <w:r w:rsidRPr="0056409E">
        <w:rPr>
          <w:lang w:val="es-ES_tradnl"/>
        </w:rPr>
        <w:noBreakHyphen/>
        <w:t xml:space="preserve">T K.52, </w:t>
      </w:r>
      <w:r w:rsidRPr="0056409E">
        <w:rPr>
          <w:i/>
          <w:iCs/>
          <w:lang w:val="es-ES_tradnl"/>
        </w:rPr>
        <w:t>Orientación sobre el cumplimiento de los límites de exposición de las personas a los campos electromagnéticos</w:t>
      </w:r>
      <w:r w:rsidRPr="0056409E">
        <w:rPr>
          <w:lang w:val="es-ES_tradnl"/>
        </w:rPr>
        <w:t>, y la Recomendación UIT</w:t>
      </w:r>
      <w:r w:rsidRPr="0056409E">
        <w:rPr>
          <w:lang w:val="es-ES_tradnl"/>
        </w:rPr>
        <w:noBreakHyphen/>
        <w:t xml:space="preserve">T K.61, </w:t>
      </w:r>
      <w:r w:rsidRPr="0056409E">
        <w:rPr>
          <w:i/>
          <w:iCs/>
          <w:lang w:val="es-ES_tradnl"/>
        </w:rPr>
        <w:t>Guía sobre la medición y la predicción numérica de los campos electromagnéticos para comprobar que las instalaciones de telecomunicaciones cumplen los límites de exposición humana</w:t>
      </w:r>
      <w:r w:rsidRPr="0056409E">
        <w:rPr>
          <w:lang w:val="es-ES_tradnl"/>
        </w:rPr>
        <w:t xml:space="preserve">, aportan directrices respecto </w:t>
      </w:r>
      <w:r>
        <w:rPr>
          <w:lang w:val="es-ES_tradnl"/>
        </w:rPr>
        <w:t>de</w:t>
      </w:r>
      <w:r w:rsidRPr="0056409E">
        <w:rPr>
          <w:lang w:val="es-ES_tradnl"/>
        </w:rPr>
        <w:t xml:space="preserve"> la conformidad con los límites de exposición de los sistemas de telecomunicaciones. </w:t>
      </w:r>
      <w:r>
        <w:rPr>
          <w:lang w:val="es-ES_tradnl"/>
        </w:rPr>
        <w:t>E</w:t>
      </w:r>
      <w:r w:rsidRPr="0056409E">
        <w:rPr>
          <w:lang w:val="es-ES_tradnl"/>
        </w:rPr>
        <w:t>l material adicional más relevante a este respecto</w:t>
      </w:r>
      <w:r>
        <w:rPr>
          <w:lang w:val="es-ES_tradnl"/>
        </w:rPr>
        <w:t xml:space="preserve"> se recoge en</w:t>
      </w:r>
      <w:r w:rsidRPr="0056409E">
        <w:rPr>
          <w:lang w:val="es-ES_tradnl"/>
        </w:rPr>
        <w:t xml:space="preserve"> la sección </w:t>
      </w:r>
      <w:r w:rsidR="001A0386">
        <w:rPr>
          <w:lang w:val="es-ES_tradnl"/>
        </w:rPr>
        <w:t>«</w:t>
      </w:r>
      <w:r w:rsidRPr="0056409E">
        <w:rPr>
          <w:lang w:val="es-ES_tradnl"/>
        </w:rPr>
        <w:t>Recomendaciones, Informes y Manuales de la UIT conexos</w:t>
      </w:r>
      <w:r w:rsidR="001A0386">
        <w:rPr>
          <w:lang w:val="es-ES_tradnl"/>
        </w:rPr>
        <w:t>»</w:t>
      </w:r>
      <w:r w:rsidRPr="0056409E">
        <w:rPr>
          <w:lang w:val="es-ES_tradnl"/>
        </w:rPr>
        <w:t>.</w:t>
      </w:r>
    </w:p>
    <w:p w14:paraId="73456E64" w14:textId="77777777" w:rsidR="0086339D" w:rsidRPr="0056409E" w:rsidRDefault="0086339D" w:rsidP="0086339D">
      <w:pPr>
        <w:pStyle w:val="Heading1"/>
        <w:rPr>
          <w:lang w:val="es-ES_tradnl"/>
        </w:rPr>
      </w:pPr>
      <w:bookmarkStart w:id="82" w:name="_Toc65545965"/>
      <w:bookmarkStart w:id="83" w:name="_Toc65546152"/>
      <w:bookmarkStart w:id="84" w:name="_Toc65546314"/>
      <w:bookmarkStart w:id="85" w:name="_Toc86461498"/>
      <w:bookmarkStart w:id="86" w:name="_Toc162005888"/>
      <w:bookmarkStart w:id="87" w:name="_Toc162006212"/>
      <w:bookmarkStart w:id="88" w:name="_Toc162444558"/>
      <w:bookmarkStart w:id="89" w:name="_Toc162518192"/>
      <w:bookmarkStart w:id="90" w:name="_Toc162518714"/>
      <w:r w:rsidRPr="0056409E">
        <w:rPr>
          <w:lang w:val="es-ES_tradnl"/>
        </w:rPr>
        <w:t>2</w:t>
      </w:r>
      <w:r w:rsidRPr="0056409E">
        <w:rPr>
          <w:lang w:val="es-ES_tradnl"/>
        </w:rPr>
        <w:tab/>
        <w:t>Características de los campos electromagnéticos</w:t>
      </w:r>
      <w:bookmarkEnd w:id="82"/>
      <w:bookmarkEnd w:id="83"/>
      <w:bookmarkEnd w:id="84"/>
      <w:bookmarkEnd w:id="85"/>
      <w:bookmarkEnd w:id="86"/>
      <w:bookmarkEnd w:id="87"/>
      <w:bookmarkEnd w:id="88"/>
      <w:bookmarkEnd w:id="89"/>
      <w:bookmarkEnd w:id="90"/>
    </w:p>
    <w:p w14:paraId="49A8EDCF" w14:textId="77777777" w:rsidR="0086339D" w:rsidRPr="0056409E" w:rsidRDefault="0086339D" w:rsidP="0086339D">
      <w:pPr>
        <w:pStyle w:val="Heading2"/>
        <w:rPr>
          <w:lang w:val="es-ES_tradnl"/>
        </w:rPr>
      </w:pPr>
      <w:bookmarkStart w:id="91" w:name="_Toc65545966"/>
      <w:bookmarkStart w:id="92" w:name="_Toc65546153"/>
      <w:bookmarkStart w:id="93" w:name="_Toc65546315"/>
      <w:bookmarkStart w:id="94" w:name="_Toc86461499"/>
      <w:bookmarkStart w:id="95" w:name="_Toc162005889"/>
      <w:bookmarkStart w:id="96" w:name="_Toc162006213"/>
      <w:bookmarkStart w:id="97" w:name="_Toc162444559"/>
      <w:bookmarkStart w:id="98" w:name="_Toc162518193"/>
      <w:bookmarkStart w:id="99" w:name="_Toc162518715"/>
      <w:r w:rsidRPr="0056409E">
        <w:rPr>
          <w:lang w:val="es-ES_tradnl"/>
        </w:rPr>
        <w:t>2.1</w:t>
      </w:r>
      <w:r w:rsidRPr="0056409E">
        <w:rPr>
          <w:lang w:val="es-ES_tradnl"/>
        </w:rPr>
        <w:tab/>
        <w:t>Características generales de los campo</w:t>
      </w:r>
      <w:bookmarkEnd w:id="91"/>
      <w:bookmarkEnd w:id="92"/>
      <w:bookmarkEnd w:id="93"/>
      <w:bookmarkEnd w:id="94"/>
      <w:r w:rsidRPr="0056409E">
        <w:rPr>
          <w:lang w:val="es-ES_tradnl"/>
        </w:rPr>
        <w:t>s electromagnéticos</w:t>
      </w:r>
      <w:bookmarkEnd w:id="95"/>
      <w:bookmarkEnd w:id="96"/>
      <w:bookmarkEnd w:id="97"/>
      <w:bookmarkEnd w:id="98"/>
      <w:bookmarkEnd w:id="99"/>
    </w:p>
    <w:p w14:paraId="70B80539" w14:textId="77777777" w:rsidR="0086339D" w:rsidRPr="0056409E" w:rsidRDefault="0086339D" w:rsidP="0086339D">
      <w:pPr>
        <w:rPr>
          <w:lang w:val="es-ES_tradnl"/>
        </w:rPr>
      </w:pPr>
      <w:r w:rsidRPr="0056409E">
        <w:rPr>
          <w:lang w:val="es-ES_tradnl"/>
        </w:rPr>
        <w:t>Este punto presenta una exposición general de las características especiales de los campos electro</w:t>
      </w:r>
      <w:r w:rsidRPr="0056409E">
        <w:rPr>
          <w:lang w:val="es-ES_tradnl"/>
        </w:rPr>
        <w:softHyphen/>
        <w:t>magnéticos (CEM) importantes para esta Recomendación y hace especialmente la distinción entre campo cercano y campo lejano. Se obtienen ecuaciones sencillas para calcular la densidad de potencia y la intensidad de campo en el campo lejano y concluye definiendo los términos polarización y configuraciones de la interferencia.</w:t>
      </w:r>
    </w:p>
    <w:p w14:paraId="5EAD528B" w14:textId="77777777" w:rsidR="0086339D" w:rsidRPr="0056409E" w:rsidRDefault="0086339D" w:rsidP="0086339D">
      <w:pPr>
        <w:pStyle w:val="Heading3"/>
        <w:rPr>
          <w:lang w:val="es-ES_tradnl"/>
        </w:rPr>
      </w:pPr>
      <w:bookmarkStart w:id="100" w:name="_Toc65545967"/>
      <w:bookmarkStart w:id="101" w:name="_Toc65546154"/>
      <w:bookmarkStart w:id="102" w:name="_Toc86461500"/>
      <w:bookmarkStart w:id="103" w:name="_Toc162001337"/>
      <w:bookmarkStart w:id="104" w:name="_Toc162005890"/>
      <w:bookmarkStart w:id="105" w:name="_Toc162005983"/>
      <w:bookmarkStart w:id="106" w:name="_Toc162006214"/>
      <w:bookmarkStart w:id="107" w:name="_Toc162008569"/>
      <w:bookmarkStart w:id="108" w:name="_Toc162442994"/>
      <w:bookmarkStart w:id="109" w:name="_Toc162443411"/>
      <w:bookmarkStart w:id="110" w:name="_Toc162443560"/>
      <w:bookmarkStart w:id="111" w:name="_Toc162443779"/>
      <w:bookmarkStart w:id="112" w:name="_Toc162444009"/>
      <w:bookmarkStart w:id="113" w:name="_Toc162444560"/>
      <w:r w:rsidRPr="0056409E">
        <w:rPr>
          <w:lang w:val="es-ES_tradnl"/>
        </w:rPr>
        <w:t>2.1.1</w:t>
      </w:r>
      <w:r w:rsidRPr="0056409E">
        <w:rPr>
          <w:lang w:val="es-ES_tradnl"/>
        </w:rPr>
        <w:tab/>
        <w:t xml:space="preserve">Componentes </w:t>
      </w:r>
      <w:bookmarkEnd w:id="100"/>
      <w:bookmarkEnd w:id="101"/>
      <w:bookmarkEnd w:id="102"/>
      <w:r w:rsidRPr="0056409E">
        <w:rPr>
          <w:lang w:val="es-ES_tradnl"/>
        </w:rPr>
        <w:t>de los campos electromagnéticos</w:t>
      </w:r>
      <w:bookmarkEnd w:id="103"/>
      <w:bookmarkEnd w:id="104"/>
      <w:bookmarkEnd w:id="105"/>
      <w:bookmarkEnd w:id="106"/>
      <w:bookmarkEnd w:id="107"/>
      <w:bookmarkEnd w:id="108"/>
      <w:bookmarkEnd w:id="109"/>
      <w:bookmarkEnd w:id="110"/>
      <w:bookmarkEnd w:id="111"/>
      <w:bookmarkEnd w:id="112"/>
      <w:bookmarkEnd w:id="113"/>
    </w:p>
    <w:p w14:paraId="3A447BA2" w14:textId="77777777" w:rsidR="0086339D" w:rsidRPr="0056409E" w:rsidRDefault="0086339D" w:rsidP="0086339D">
      <w:pPr>
        <w:rPr>
          <w:lang w:val="es-ES_tradnl"/>
        </w:rPr>
      </w:pPr>
      <w:r w:rsidRPr="0056409E">
        <w:rPr>
          <w:lang w:val="es-ES_tradnl"/>
        </w:rPr>
        <w:t xml:space="preserve">El CEM radiado por una antena está formado por varias componentes de campo eléctrico y magnético, que se atenúan con la distancia, </w:t>
      </w:r>
      <w:r w:rsidRPr="0056409E">
        <w:rPr>
          <w:i/>
          <w:iCs/>
          <w:lang w:val="es-ES_tradnl"/>
        </w:rPr>
        <w:t>r</w:t>
      </w:r>
      <w:r w:rsidRPr="0056409E">
        <w:rPr>
          <w:lang w:val="es-ES_tradnl"/>
        </w:rPr>
        <w:t>, a partir de la fuente. Las componentes principales son las siguientes:</w:t>
      </w:r>
    </w:p>
    <w:p w14:paraId="7047C739" w14:textId="77777777" w:rsidR="0086339D" w:rsidRPr="0056409E" w:rsidRDefault="0086339D" w:rsidP="0086339D">
      <w:pPr>
        <w:pStyle w:val="enumlev1"/>
        <w:rPr>
          <w:iCs/>
          <w:lang w:val="es-ES_tradnl"/>
        </w:rPr>
      </w:pPr>
      <w:r w:rsidRPr="0056409E">
        <w:rPr>
          <w:lang w:val="es-ES_tradnl"/>
        </w:rPr>
        <w:t>–</w:t>
      </w:r>
      <w:r w:rsidRPr="0056409E">
        <w:rPr>
          <w:lang w:val="es-ES_tradnl"/>
        </w:rPr>
        <w:tab/>
        <w:t>el campo lejano (de Fraunhofer), también llamado campo de radiación, cuya magnitud disminuye en condiciones de propagación en el espacio libre según el factor 1/</w:t>
      </w:r>
      <w:r w:rsidRPr="0056409E">
        <w:rPr>
          <w:i/>
          <w:lang w:val="es-ES_tradnl"/>
        </w:rPr>
        <w:t>r</w:t>
      </w:r>
      <w:r w:rsidRPr="0056409E">
        <w:rPr>
          <w:iCs/>
          <w:lang w:val="es-ES_tradnl"/>
        </w:rPr>
        <w:t>;</w:t>
      </w:r>
    </w:p>
    <w:p w14:paraId="0CB2B997" w14:textId="77777777" w:rsidR="0086339D" w:rsidRPr="0056409E" w:rsidRDefault="0086339D" w:rsidP="0086339D">
      <w:pPr>
        <w:pStyle w:val="enumlev1"/>
        <w:rPr>
          <w:lang w:val="es-ES_tradnl"/>
        </w:rPr>
      </w:pPr>
      <w:r w:rsidRPr="0056409E">
        <w:rPr>
          <w:lang w:val="es-ES_tradnl"/>
        </w:rPr>
        <w:t>–</w:t>
      </w:r>
      <w:r w:rsidRPr="0056409E">
        <w:rPr>
          <w:lang w:val="es-ES_tradnl"/>
        </w:rPr>
        <w:tab/>
        <w:t>el campo cercano radiante (de Fresnel), también llamado campo inductivo. La estructura del campo inductivo depende en gran medida de la forma, el tamaño y el tipo de antena aunque se han establecido varios criterios que se utilizan normalmente para especificar este comportamiento;</w:t>
      </w:r>
    </w:p>
    <w:p w14:paraId="3F868E47" w14:textId="77777777" w:rsidR="0086339D" w:rsidRPr="0056409E" w:rsidRDefault="0086339D" w:rsidP="0086339D">
      <w:pPr>
        <w:pStyle w:val="enumlev1"/>
        <w:rPr>
          <w:lang w:val="es-ES_tradnl"/>
        </w:rPr>
      </w:pPr>
      <w:r w:rsidRPr="0056409E">
        <w:rPr>
          <w:lang w:val="es-ES_tradnl"/>
        </w:rPr>
        <w:t>–</w:t>
      </w:r>
      <w:r w:rsidRPr="0056409E">
        <w:rPr>
          <w:lang w:val="es-ES_tradnl"/>
        </w:rPr>
        <w:tab/>
        <w:t>el campo cercano reactivo (de Rayleigh), también denominado campo cuasiestático, que disminuye según el factor 1/</w:t>
      </w:r>
      <w:r w:rsidRPr="0056409E">
        <w:rPr>
          <w:i/>
          <w:iCs/>
          <w:lang w:val="es-ES_tradnl"/>
        </w:rPr>
        <w:t>r</w:t>
      </w:r>
      <w:r w:rsidRPr="0056409E">
        <w:rPr>
          <w:vertAlign w:val="superscript"/>
          <w:lang w:val="es-ES_tradnl"/>
        </w:rPr>
        <w:t>3</w:t>
      </w:r>
      <w:r w:rsidRPr="0056409E">
        <w:rPr>
          <w:lang w:val="es-ES_tradnl"/>
        </w:rPr>
        <w:t>.</w:t>
      </w:r>
    </w:p>
    <w:p w14:paraId="280D0B04" w14:textId="7C0D1C02" w:rsidR="0086339D" w:rsidRPr="0056409E" w:rsidRDefault="0086339D" w:rsidP="0086339D">
      <w:pPr>
        <w:rPr>
          <w:lang w:val="es-ES_tradnl"/>
        </w:rPr>
      </w:pPr>
      <w:r w:rsidRPr="0056409E">
        <w:rPr>
          <w:lang w:val="es-ES_tradnl"/>
        </w:rPr>
        <w:lastRenderedPageBreak/>
        <w:t>Como las componentes inductiva y cuasiestática se atenúan rápidamente al aumentar la distancia desde la fuente de emisión, sólo son significativas en las proximidades de la antena transmisora, en la denominada región de campo cercano.</w:t>
      </w:r>
    </w:p>
    <w:p w14:paraId="176C6E66" w14:textId="77777777" w:rsidR="0086339D" w:rsidRPr="0056409E" w:rsidRDefault="0086339D" w:rsidP="0086339D">
      <w:pPr>
        <w:rPr>
          <w:lang w:val="es-ES_tradnl"/>
        </w:rPr>
      </w:pPr>
      <w:r w:rsidRPr="0056409E">
        <w:rPr>
          <w:lang w:val="es-ES_tradnl"/>
        </w:rPr>
        <w:t>El campo de radiación, por otro lado, es el elemento dominante de la denominada región de campo lejano. Es el campo de radiación quien transporta realmente la señal de radiodifusión sonora o de televisión desde el transmisor a un receptor distante.</w:t>
      </w:r>
    </w:p>
    <w:p w14:paraId="35D3FFA5" w14:textId="77777777" w:rsidR="0086339D" w:rsidRPr="0056409E" w:rsidRDefault="0086339D" w:rsidP="0086339D">
      <w:pPr>
        <w:pStyle w:val="Heading3"/>
        <w:rPr>
          <w:lang w:val="es-ES_tradnl"/>
        </w:rPr>
      </w:pPr>
      <w:bookmarkStart w:id="114" w:name="_Toc65545968"/>
      <w:bookmarkStart w:id="115" w:name="_Toc65546155"/>
      <w:bookmarkStart w:id="116" w:name="_Toc86461501"/>
      <w:bookmarkStart w:id="117" w:name="_Toc162001338"/>
      <w:bookmarkStart w:id="118" w:name="_Toc162005891"/>
      <w:bookmarkStart w:id="119" w:name="_Toc162005984"/>
      <w:bookmarkStart w:id="120" w:name="_Toc162006215"/>
      <w:bookmarkStart w:id="121" w:name="_Toc162008570"/>
      <w:bookmarkStart w:id="122" w:name="_Toc162442995"/>
      <w:bookmarkStart w:id="123" w:name="_Toc162443412"/>
      <w:bookmarkStart w:id="124" w:name="_Toc162443561"/>
      <w:bookmarkStart w:id="125" w:name="_Toc162443780"/>
      <w:bookmarkStart w:id="126" w:name="_Toc162444010"/>
      <w:bookmarkStart w:id="127" w:name="_Toc162444561"/>
      <w:r w:rsidRPr="0056409E">
        <w:rPr>
          <w:lang w:val="es-ES_tradnl"/>
        </w:rPr>
        <w:t>2.1.2</w:t>
      </w:r>
      <w:r w:rsidRPr="0056409E">
        <w:rPr>
          <w:lang w:val="es-ES_tradnl"/>
        </w:rPr>
        <w:tab/>
        <w:t>Campo lejano</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21032673" w14:textId="77777777" w:rsidR="0086339D" w:rsidRPr="0056409E" w:rsidRDefault="0086339D" w:rsidP="0086339D">
      <w:pPr>
        <w:rPr>
          <w:lang w:val="es-ES_tradnl"/>
        </w:rPr>
      </w:pPr>
      <w:r w:rsidRPr="0056409E">
        <w:rPr>
          <w:lang w:val="es-ES_tradnl"/>
        </w:rPr>
        <w:t>En la región de campo lejano, el CEM toma el carácter predominantemente de una onda plana. Ello significa que los campos eléctrico y magnético están en fase y que sus amplitudes presentan una relación constante. Además, los campos eléctrico y magnético forman ángulos rectos entre sí y se encuentran en un mismo plano perpendicular a la dirección de propagación.</w:t>
      </w:r>
    </w:p>
    <w:p w14:paraId="10E6C486" w14:textId="77777777" w:rsidR="0086339D" w:rsidRPr="0056409E" w:rsidRDefault="0086339D" w:rsidP="0086339D">
      <w:pPr>
        <w:rPr>
          <w:lang w:val="es-ES_tradnl"/>
        </w:rPr>
      </w:pPr>
      <w:r w:rsidRPr="0056409E">
        <w:rPr>
          <w:lang w:val="es-ES_tradnl"/>
        </w:rPr>
        <w:t>Con frecuencia se asume que las condiciones de campo lejano se aplican a distancias superiores a 2</w:t>
      </w:r>
      <w:r w:rsidRPr="0056409E">
        <w:rPr>
          <w:i/>
          <w:lang w:val="es-ES_tradnl"/>
        </w:rPr>
        <w:t>D</w:t>
      </w:r>
      <w:r w:rsidRPr="0056409E">
        <w:rPr>
          <w:iCs/>
          <w:vertAlign w:val="superscript"/>
          <w:lang w:val="es-ES_tradnl"/>
        </w:rPr>
        <w:t>2</w:t>
      </w:r>
      <w:r w:rsidRPr="0056409E">
        <w:rPr>
          <w:iCs/>
          <w:lang w:val="es-ES_tradnl"/>
        </w:rPr>
        <w:t>/</w:t>
      </w:r>
      <w:r w:rsidRPr="0056409E">
        <w:rPr>
          <w:rFonts w:ascii="Symbol" w:hAnsi="Symbol"/>
          <w:lang w:val="es-ES_tradnl"/>
        </w:rPr>
        <w:t></w:t>
      </w:r>
      <w:r w:rsidRPr="0056409E">
        <w:rPr>
          <w:lang w:val="es-ES_tradnl"/>
        </w:rPr>
        <w:t>, siendo </w:t>
      </w:r>
      <w:r w:rsidRPr="0056409E">
        <w:rPr>
          <w:i/>
          <w:iCs/>
          <w:lang w:val="es-ES_tradnl"/>
        </w:rPr>
        <w:t>D</w:t>
      </w:r>
      <w:r w:rsidRPr="0056409E">
        <w:rPr>
          <w:lang w:val="es-ES_tradnl"/>
        </w:rPr>
        <w:t xml:space="preserve"> la máxima dimensión lineal de la antena y λ la longitud de onda.</w:t>
      </w:r>
    </w:p>
    <w:p w14:paraId="000E0BBF" w14:textId="77777777" w:rsidR="0086339D" w:rsidRPr="0056409E" w:rsidRDefault="0086339D" w:rsidP="0086339D">
      <w:pPr>
        <w:rPr>
          <w:lang w:val="es-ES_tradnl"/>
        </w:rPr>
      </w:pPr>
      <w:r w:rsidRPr="0056409E">
        <w:rPr>
          <w:lang w:val="es-ES_tradnl"/>
        </w:rPr>
        <w:t>Sin embargo, en el caso de las antenas de radiodifusión esta condición debe aplicarse con precaución por las siguientes razones:</w:t>
      </w:r>
    </w:p>
    <w:p w14:paraId="35E5414E" w14:textId="77777777" w:rsidR="0086339D" w:rsidRPr="0056409E" w:rsidRDefault="0086339D" w:rsidP="0086339D">
      <w:pPr>
        <w:pStyle w:val="enumlev1"/>
        <w:rPr>
          <w:lang w:val="es-ES_tradnl"/>
        </w:rPr>
      </w:pPr>
      <w:r w:rsidRPr="0056409E">
        <w:rPr>
          <w:lang w:val="es-ES_tradnl"/>
        </w:rPr>
        <w:t>–</w:t>
      </w:r>
      <w:r w:rsidRPr="0056409E">
        <w:rPr>
          <w:lang w:val="es-ES_tradnl"/>
        </w:rPr>
        <w:tab/>
        <w:t>se ha obtenido a partir de consideraciones relativas a antenas planas;</w:t>
      </w:r>
    </w:p>
    <w:p w14:paraId="3707198A" w14:textId="77777777" w:rsidR="0086339D" w:rsidRPr="0056409E" w:rsidRDefault="0086339D" w:rsidP="0086339D">
      <w:pPr>
        <w:pStyle w:val="enumlev1"/>
        <w:rPr>
          <w:b/>
          <w:lang w:val="es-ES_tradnl"/>
        </w:rPr>
      </w:pPr>
      <w:r w:rsidRPr="0056409E">
        <w:rPr>
          <w:lang w:val="es-ES_tradnl"/>
        </w:rPr>
        <w:t>–</w:t>
      </w:r>
      <w:r w:rsidRPr="0056409E">
        <w:rPr>
          <w:lang w:val="es-ES_tradnl"/>
        </w:rPr>
        <w:tab/>
        <w:t xml:space="preserve">se supone que </w:t>
      </w:r>
      <w:r w:rsidRPr="0056409E">
        <w:rPr>
          <w:i/>
          <w:iCs/>
          <w:lang w:val="es-ES_tradnl"/>
        </w:rPr>
        <w:t>D</w:t>
      </w:r>
      <w:r w:rsidRPr="0056409E">
        <w:rPr>
          <w:lang w:val="es-ES_tradnl"/>
        </w:rPr>
        <w:t xml:space="preserve"> es un valor elevado en comparación con </w:t>
      </w:r>
      <w:r w:rsidRPr="0056409E">
        <w:rPr>
          <w:rFonts w:ascii="Symbol" w:hAnsi="Symbol"/>
          <w:lang w:val="es-ES_tradnl"/>
        </w:rPr>
        <w:t></w:t>
      </w:r>
      <w:r w:rsidRPr="0056409E">
        <w:rPr>
          <w:lang w:val="es-ES_tradnl"/>
        </w:rPr>
        <w:t>.</w:t>
      </w:r>
    </w:p>
    <w:p w14:paraId="266BA032" w14:textId="0F1D46AD" w:rsidR="0086339D" w:rsidRPr="0056409E" w:rsidRDefault="0086339D" w:rsidP="0086339D">
      <w:pPr>
        <w:rPr>
          <w:lang w:val="es-ES_tradnl"/>
        </w:rPr>
      </w:pPr>
      <w:r w:rsidRPr="0056409E">
        <w:rPr>
          <w:lang w:val="es-ES_tradnl"/>
        </w:rPr>
        <w:t>Cuando las condiciones anteriores no se satisfacen debe utilizarse como condición de campo lejano una distancia superior a 10 </w:t>
      </w:r>
      <w:r w:rsidRPr="0056409E">
        <w:rPr>
          <w:rFonts w:ascii="Symbol" w:hAnsi="Symbol"/>
          <w:lang w:val="es-ES_tradnl"/>
        </w:rPr>
        <w:t xml:space="preserve">; </w:t>
      </w:r>
      <w:r w:rsidRPr="0056409E">
        <w:rPr>
          <w:lang w:val="es-ES_tradnl"/>
        </w:rPr>
        <w:t>véase asimismo el Anexo A la especificación 62232 [5] de la CEI.</w:t>
      </w:r>
    </w:p>
    <w:p w14:paraId="09ED6892" w14:textId="77777777" w:rsidR="0086339D" w:rsidRPr="0056409E" w:rsidRDefault="0086339D" w:rsidP="0086339D">
      <w:pPr>
        <w:pStyle w:val="Heading4"/>
        <w:rPr>
          <w:lang w:val="es-ES_tradnl"/>
        </w:rPr>
      </w:pPr>
      <w:r w:rsidRPr="0056409E">
        <w:rPr>
          <w:lang w:val="es-ES_tradnl"/>
        </w:rPr>
        <w:t>2.1.2.1</w:t>
      </w:r>
      <w:r w:rsidRPr="0056409E">
        <w:rPr>
          <w:lang w:val="es-ES_tradnl"/>
        </w:rPr>
        <w:tab/>
        <w:t>Densidad de potencia</w:t>
      </w:r>
    </w:p>
    <w:p w14:paraId="73D16AAC" w14:textId="77777777" w:rsidR="0086339D" w:rsidRPr="0056409E" w:rsidRDefault="0086339D" w:rsidP="0086339D">
      <w:pPr>
        <w:rPr>
          <w:lang w:val="es-ES_tradnl"/>
        </w:rPr>
      </w:pPr>
      <w:r w:rsidRPr="0056409E">
        <w:rPr>
          <w:lang w:val="es-ES_tradnl"/>
        </w:rPr>
        <w:t xml:space="preserve">El vector de densidad de potencia, vector de </w:t>
      </w:r>
      <w:r w:rsidRPr="0015057E">
        <w:rPr>
          <w:lang w:val="es-ES_tradnl"/>
        </w:rPr>
        <w:t xml:space="preserve">Poynting </w:t>
      </w:r>
      <w:r w:rsidRPr="0015057E">
        <w:rPr>
          <w:i/>
          <w:lang w:val="es-ES_tradnl"/>
        </w:rPr>
        <w:t>S</w:t>
      </w:r>
      <w:r w:rsidRPr="00B231D6">
        <w:rPr>
          <w:iCs/>
          <w:lang w:val="es-ES_tradnl"/>
        </w:rPr>
        <w:t xml:space="preserve">, </w:t>
      </w:r>
      <w:r w:rsidRPr="0056409E">
        <w:rPr>
          <w:lang w:val="es-ES_tradnl"/>
        </w:rPr>
        <w:t xml:space="preserve">de un CEM viene dado por el producto vectorial de las componentes de campo eléctrico, </w:t>
      </w:r>
      <w:r w:rsidRPr="0015057E">
        <w:rPr>
          <w:bCs/>
          <w:i/>
          <w:lang w:val="es-ES_tradnl"/>
        </w:rPr>
        <w:t>E</w:t>
      </w:r>
      <w:r w:rsidRPr="0056409E">
        <w:rPr>
          <w:bCs/>
          <w:iCs/>
          <w:lang w:val="es-ES_tradnl"/>
        </w:rPr>
        <w:t>,</w:t>
      </w:r>
      <w:r w:rsidRPr="0056409E">
        <w:rPr>
          <w:iCs/>
          <w:lang w:val="es-ES_tradnl"/>
        </w:rPr>
        <w:t xml:space="preserve"> </w:t>
      </w:r>
      <w:r w:rsidRPr="0056409E">
        <w:rPr>
          <w:lang w:val="es-ES_tradnl"/>
        </w:rPr>
        <w:t xml:space="preserve">y magnético, </w:t>
      </w:r>
      <w:r w:rsidRPr="0015057E">
        <w:rPr>
          <w:bCs/>
          <w:i/>
          <w:lang w:val="es-ES_tradnl"/>
        </w:rPr>
        <w:t>H</w:t>
      </w:r>
      <w:r w:rsidRPr="0056409E">
        <w:rPr>
          <w:lang w:val="es-ES_tradnl"/>
        </w:rPr>
        <w:t>:</w:t>
      </w:r>
    </w:p>
    <w:p w14:paraId="43F64D2F" w14:textId="77777777" w:rsidR="0086339D" w:rsidRPr="0056409E" w:rsidRDefault="0086339D" w:rsidP="0086339D">
      <w:pPr>
        <w:pStyle w:val="Equation"/>
        <w:rPr>
          <w:lang w:val="es-ES_tradnl"/>
        </w:rPr>
      </w:pPr>
      <w:r w:rsidRPr="0056409E">
        <w:rPr>
          <w:lang w:val="es-ES_tradnl"/>
        </w:rPr>
        <w:tab/>
      </w:r>
      <w:r w:rsidRPr="0056409E">
        <w:rPr>
          <w:lang w:val="es-ES_tradnl"/>
        </w:rPr>
        <w:tab/>
      </w:r>
      <w:r w:rsidRPr="0015057E">
        <w:rPr>
          <w:i/>
          <w:lang w:val="es-ES_tradnl"/>
        </w:rPr>
        <w:t xml:space="preserve">S = E </w:t>
      </w:r>
      <w:r w:rsidRPr="0015057E">
        <w:rPr>
          <w:rFonts w:ascii="Symbol" w:hAnsi="Symbol"/>
          <w:lang w:val="es-ES_tradnl"/>
        </w:rPr>
        <w:t></w:t>
      </w:r>
      <w:r w:rsidRPr="0015057E">
        <w:rPr>
          <w:i/>
          <w:lang w:val="es-ES_tradnl"/>
        </w:rPr>
        <w:t xml:space="preserve"> H</w:t>
      </w:r>
      <w:r w:rsidRPr="0056409E">
        <w:rPr>
          <w:lang w:val="es-ES_tradnl"/>
        </w:rPr>
        <w:tab/>
      </w:r>
      <w:r w:rsidR="00FC5543">
        <w:rPr>
          <w:noProof/>
          <w:lang w:val="es-ES_tradnl"/>
        </w:rPr>
        <w:object w:dxaOrig="1440" w:dyaOrig="1440" w14:anchorId="0A41BA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0;text-align:left;margin-left:162pt;margin-top:4.9pt;width:2.5pt;height:.85pt;z-index:251658240;mso-position-horizontal-relative:text;mso-position-vertical-relative:text">
            <v:imagedata r:id="rId27" o:title=""/>
            <w10:wrap type="topAndBottom"/>
          </v:shape>
          <o:OLEObject Type="Embed" ProgID="Equation.3" ShapeID="_x0000_s2070" DrawAspect="Content" ObjectID="_1773141100" r:id="rId28"/>
        </w:object>
      </w:r>
      <w:r w:rsidRPr="0056409E">
        <w:rPr>
          <w:lang w:val="es-ES_tradnl"/>
        </w:rPr>
        <w:t>(1)</w:t>
      </w:r>
    </w:p>
    <w:p w14:paraId="5AFBD1EC" w14:textId="77777777" w:rsidR="0086339D" w:rsidRPr="0056409E" w:rsidRDefault="0086339D" w:rsidP="0086339D">
      <w:pPr>
        <w:rPr>
          <w:lang w:val="es-ES_tradnl"/>
        </w:rPr>
      </w:pPr>
      <w:r w:rsidRPr="0056409E">
        <w:rPr>
          <w:lang w:val="es-ES_tradnl"/>
        </w:rPr>
        <w:t xml:space="preserve">En el campo lejano, y en condiciones ideales donde no es significativa la influencia del suelo o de los obstáculos, esta expresión puede simplificarse porque los campos eléctrico y magnético y la dirección de propagación son mutuamente ortogonales. Además, la relación entre las amplitudes de intensidad de campo eléctrico, </w:t>
      </w:r>
      <w:r w:rsidRPr="0056409E">
        <w:rPr>
          <w:i/>
          <w:lang w:val="es-ES_tradnl"/>
        </w:rPr>
        <w:t>E</w:t>
      </w:r>
      <w:r w:rsidRPr="0056409E">
        <w:rPr>
          <w:lang w:val="es-ES_tradnl"/>
        </w:rPr>
        <w:t>,</w:t>
      </w:r>
      <w:r w:rsidRPr="0056409E">
        <w:rPr>
          <w:i/>
          <w:lang w:val="es-ES_tradnl"/>
        </w:rPr>
        <w:t xml:space="preserve"> </w:t>
      </w:r>
      <w:r w:rsidRPr="0056409E">
        <w:rPr>
          <w:lang w:val="es-ES_tradnl"/>
        </w:rPr>
        <w:t xml:space="preserve">y magnético, </w:t>
      </w:r>
      <w:r w:rsidRPr="0056409E">
        <w:rPr>
          <w:i/>
          <w:lang w:val="es-ES_tradnl"/>
        </w:rPr>
        <w:t>H</w:t>
      </w:r>
      <w:r w:rsidRPr="0056409E">
        <w:rPr>
          <w:lang w:val="es-ES_tradnl"/>
        </w:rPr>
        <w:t>,</w:t>
      </w:r>
      <w:r w:rsidRPr="0056409E">
        <w:rPr>
          <w:iCs/>
          <w:lang w:val="es-ES_tradnl"/>
        </w:rPr>
        <w:t xml:space="preserve"> </w:t>
      </w:r>
      <w:r w:rsidRPr="0056409E">
        <w:rPr>
          <w:lang w:val="es-ES_tradnl"/>
        </w:rPr>
        <w:t xml:space="preserve">es una constante, </w:t>
      </w:r>
      <w:r w:rsidRPr="0056409E">
        <w:rPr>
          <w:i/>
          <w:lang w:val="es-ES_tradnl"/>
        </w:rPr>
        <w:t>Z</w:t>
      </w:r>
      <w:r w:rsidRPr="0056409E">
        <w:rPr>
          <w:vertAlign w:val="subscript"/>
          <w:lang w:val="es-ES_tradnl"/>
        </w:rPr>
        <w:t>0</w:t>
      </w:r>
      <w:r w:rsidRPr="0056409E">
        <w:rPr>
          <w:lang w:val="es-ES_tradnl"/>
        </w:rPr>
        <w:t>,</w:t>
      </w:r>
      <w:r w:rsidRPr="0056409E">
        <w:rPr>
          <w:iCs/>
          <w:lang w:val="es-ES_tradnl"/>
        </w:rPr>
        <w:t xml:space="preserve"> </w:t>
      </w:r>
      <w:r w:rsidRPr="0056409E">
        <w:rPr>
          <w:lang w:val="es-ES_tradnl"/>
        </w:rPr>
        <w:t>conocida como impedancia característica en el espacio libre</w:t>
      </w:r>
      <w:r w:rsidRPr="0056409E">
        <w:rPr>
          <w:rStyle w:val="FootnoteReference"/>
          <w:lang w:val="es-ES_tradnl"/>
        </w:rPr>
        <w:footnoteReference w:customMarkFollows="1" w:id="2"/>
        <w:t>1</w:t>
      </w:r>
      <w:r w:rsidRPr="0056409E">
        <w:rPr>
          <w:lang w:val="es-ES_tradnl"/>
        </w:rPr>
        <w:t xml:space="preserve"> y toma un valor aproximado de 377 </w:t>
      </w:r>
      <w:r w:rsidRPr="0056409E">
        <w:rPr>
          <w:rFonts w:ascii="Symbol" w:eastAsia="Arial Unicode MS" w:hAnsi="Symbol"/>
          <w:lang w:val="es-ES_tradnl"/>
        </w:rPr>
        <w:t></w:t>
      </w:r>
      <w:r w:rsidRPr="0056409E">
        <w:rPr>
          <w:lang w:val="es-ES_tradnl"/>
        </w:rPr>
        <w:t xml:space="preserve"> (o 120</w:t>
      </w:r>
      <w:r w:rsidRPr="0056409E">
        <w:rPr>
          <w:rFonts w:ascii="Symbol" w:hAnsi="Symbol"/>
          <w:lang w:val="es-ES_tradnl"/>
        </w:rPr>
        <w:t></w:t>
      </w:r>
      <w:r w:rsidRPr="0056409E">
        <w:rPr>
          <w:lang w:val="es-ES_tradnl"/>
        </w:rPr>
        <w:t> </w:t>
      </w:r>
      <w:r w:rsidRPr="0056409E">
        <w:rPr>
          <w:rFonts w:ascii="Symbol" w:eastAsia="Arial Unicode MS" w:hAnsi="Symbol"/>
          <w:lang w:val="es-ES_tradnl"/>
        </w:rPr>
        <w:t></w:t>
      </w:r>
      <w:r w:rsidRPr="0056409E">
        <w:rPr>
          <w:lang w:val="es-ES_tradnl"/>
        </w:rPr>
        <w:t>).</w:t>
      </w:r>
    </w:p>
    <w:p w14:paraId="09B14060" w14:textId="77777777" w:rsidR="0086339D" w:rsidRPr="0056409E" w:rsidRDefault="0086339D" w:rsidP="0086339D">
      <w:pPr>
        <w:rPr>
          <w:lang w:val="es-ES_tradnl"/>
        </w:rPr>
      </w:pPr>
      <w:r w:rsidRPr="0056409E">
        <w:rPr>
          <w:lang w:val="es-ES_tradnl"/>
        </w:rPr>
        <w:t xml:space="preserve">Por consiguiente, en el campo lejano, la densidad de potencia, </w:t>
      </w:r>
      <w:r w:rsidRPr="00B231D6">
        <w:rPr>
          <w:i/>
          <w:iCs/>
          <w:lang w:val="es-ES_tradnl"/>
        </w:rPr>
        <w:t>S</w:t>
      </w:r>
      <w:r w:rsidRPr="0056409E">
        <w:rPr>
          <w:lang w:val="es-ES_tradnl"/>
        </w:rPr>
        <w:t>, en el espacio libre viene dada por la siguiente ecuación escalar:</w:t>
      </w:r>
    </w:p>
    <w:p w14:paraId="6FFF5D17" w14:textId="77777777" w:rsidR="0086339D" w:rsidRPr="0056409E" w:rsidRDefault="0086339D" w:rsidP="0086339D">
      <w:pPr>
        <w:pStyle w:val="Equation"/>
        <w:rPr>
          <w:iCs/>
          <w:lang w:val="es-ES_tradnl"/>
        </w:rPr>
      </w:pPr>
      <w:r w:rsidRPr="0056409E">
        <w:rPr>
          <w:lang w:val="es-ES_tradnl"/>
        </w:rPr>
        <w:tab/>
      </w:r>
      <w:r w:rsidRPr="0056409E">
        <w:rPr>
          <w:lang w:val="es-ES_tradnl"/>
        </w:rPr>
        <w:tab/>
      </w:r>
      <w:r w:rsidRPr="0056409E">
        <w:rPr>
          <w:i/>
          <w:iCs/>
          <w:lang w:val="es-ES_tradnl"/>
        </w:rPr>
        <w:t>S</w:t>
      </w:r>
      <w:r w:rsidRPr="0056409E">
        <w:rPr>
          <w:lang w:val="es-ES_tradnl"/>
        </w:rPr>
        <w:t xml:space="preserve"> </w:t>
      </w:r>
      <w:r w:rsidRPr="0056409E">
        <w:rPr>
          <w:rFonts w:ascii="Symbol" w:hAnsi="Symbol"/>
          <w:lang w:val="es-ES_tradnl"/>
        </w:rPr>
        <w:t></w:t>
      </w:r>
      <w:r w:rsidRPr="0056409E">
        <w:rPr>
          <w:lang w:val="es-ES_tradnl"/>
        </w:rPr>
        <w:t xml:space="preserve"> </w:t>
      </w:r>
      <w:r w:rsidRPr="0056409E">
        <w:rPr>
          <w:i/>
          <w:iCs/>
          <w:lang w:val="es-ES_tradnl"/>
        </w:rPr>
        <w:t>E</w:t>
      </w:r>
      <w:r w:rsidRPr="0056409E">
        <w:rPr>
          <w:vertAlign w:val="superscript"/>
          <w:lang w:val="es-ES_tradnl"/>
        </w:rPr>
        <w:t>2</w:t>
      </w:r>
      <w:r w:rsidRPr="0056409E">
        <w:rPr>
          <w:lang w:val="es-ES_tradnl"/>
        </w:rPr>
        <w:t>/</w:t>
      </w:r>
      <w:r w:rsidRPr="0056409E">
        <w:rPr>
          <w:i/>
          <w:iCs/>
          <w:lang w:val="es-ES_tradnl"/>
        </w:rPr>
        <w:t>Z</w:t>
      </w:r>
      <w:r w:rsidRPr="0056409E">
        <w:rPr>
          <w:lang w:val="es-ES_tradnl"/>
        </w:rPr>
        <w:t xml:space="preserve"> </w:t>
      </w:r>
      <w:r w:rsidRPr="0056409E">
        <w:rPr>
          <w:rFonts w:ascii="Symbol" w:hAnsi="Symbol"/>
          <w:lang w:val="es-ES_tradnl"/>
        </w:rPr>
        <w:t></w:t>
      </w:r>
      <w:r w:rsidRPr="0056409E">
        <w:rPr>
          <w:lang w:val="es-ES_tradnl"/>
        </w:rPr>
        <w:t xml:space="preserve"> </w:t>
      </w:r>
      <w:r w:rsidRPr="0056409E">
        <w:rPr>
          <w:i/>
          <w:iCs/>
          <w:lang w:val="es-ES_tradnl"/>
        </w:rPr>
        <w:t>H</w:t>
      </w:r>
      <w:r w:rsidRPr="0056409E">
        <w:rPr>
          <w:vertAlign w:val="superscript"/>
          <w:lang w:val="es-ES_tradnl"/>
        </w:rPr>
        <w:t>2</w:t>
      </w:r>
      <w:r w:rsidRPr="0056409E">
        <w:rPr>
          <w:lang w:val="es-ES_tradnl"/>
        </w:rPr>
        <w:t xml:space="preserve"> </w:t>
      </w:r>
      <w:r w:rsidRPr="0056409E">
        <w:rPr>
          <w:i/>
          <w:iCs/>
          <w:lang w:val="es-ES_tradnl"/>
        </w:rPr>
        <w:t>Z</w:t>
      </w:r>
      <w:r w:rsidRPr="0056409E">
        <w:rPr>
          <w:vertAlign w:val="subscript"/>
          <w:lang w:val="es-ES_tradnl"/>
        </w:rPr>
        <w:t>0</w:t>
      </w:r>
      <w:r w:rsidRPr="0056409E">
        <w:rPr>
          <w:vertAlign w:val="subscript"/>
          <w:lang w:val="es-ES_tradnl"/>
        </w:rPr>
        <w:tab/>
      </w:r>
      <w:r w:rsidRPr="0056409E">
        <w:rPr>
          <w:lang w:val="es-ES_tradnl"/>
        </w:rPr>
        <w:t>(2</w:t>
      </w:r>
      <w:r w:rsidRPr="0056409E">
        <w:rPr>
          <w:iCs/>
          <w:lang w:val="es-ES_tradnl"/>
        </w:rPr>
        <w:t>)</w:t>
      </w:r>
    </w:p>
    <w:p w14:paraId="32A340BB" w14:textId="77777777" w:rsidR="0086339D" w:rsidRPr="0056409E" w:rsidRDefault="0086339D" w:rsidP="0086339D">
      <w:pPr>
        <w:rPr>
          <w:lang w:val="es-ES_tradnl"/>
        </w:rPr>
      </w:pPr>
      <w:r w:rsidRPr="0056409E">
        <w:rPr>
          <w:lang w:val="es-ES_tradnl"/>
        </w:rPr>
        <w:t>La densidad de potencia, a una distancia determinada y en cualquier dirección, puede calcularse en el campo lejano utilizando la siguiente ecuación:</w:t>
      </w:r>
    </w:p>
    <w:p w14:paraId="3BF705B3" w14:textId="77777777" w:rsidR="0086339D" w:rsidRPr="0056409E" w:rsidRDefault="0086339D" w:rsidP="0086339D">
      <w:pPr>
        <w:pStyle w:val="Equation"/>
        <w:rPr>
          <w:lang w:val="es-ES_tradnl"/>
        </w:rPr>
      </w:pPr>
      <w:r w:rsidRPr="0056409E">
        <w:rPr>
          <w:lang w:val="es-ES_tradnl"/>
        </w:rPr>
        <w:tab/>
      </w:r>
      <w:r w:rsidRPr="0056409E">
        <w:rPr>
          <w:lang w:val="es-ES_tradnl"/>
        </w:rPr>
        <w:tab/>
      </w:r>
      <w:r w:rsidRPr="0056409E">
        <w:rPr>
          <w:i/>
          <w:iCs/>
          <w:lang w:val="es-ES_tradnl"/>
        </w:rPr>
        <w:t>S</w:t>
      </w:r>
      <w:r w:rsidRPr="0056409E">
        <w:rPr>
          <w:lang w:val="es-ES_tradnl"/>
        </w:rPr>
        <w:t xml:space="preserve"> </w:t>
      </w:r>
      <w:r w:rsidRPr="0056409E">
        <w:rPr>
          <w:rFonts w:ascii="Symbol" w:hAnsi="Symbol"/>
          <w:lang w:val="es-ES_tradnl"/>
        </w:rPr>
        <w:t></w:t>
      </w:r>
      <w:r w:rsidRPr="0056409E">
        <w:rPr>
          <w:lang w:val="es-ES_tradnl"/>
        </w:rPr>
        <w:t xml:space="preserve"> </w:t>
      </w:r>
      <w:r w:rsidRPr="0056409E">
        <w:rPr>
          <w:i/>
          <w:iCs/>
          <w:lang w:val="es-ES_tradnl"/>
        </w:rPr>
        <w:t>P</w:t>
      </w:r>
      <w:r w:rsidRPr="0056409E">
        <w:rPr>
          <w:lang w:val="es-ES_tradnl"/>
        </w:rPr>
        <w:t xml:space="preserve"> </w:t>
      </w:r>
      <w:r w:rsidRPr="0056409E">
        <w:rPr>
          <w:i/>
          <w:iCs/>
          <w:lang w:val="es-ES_tradnl"/>
        </w:rPr>
        <w:t>G</w:t>
      </w:r>
      <w:r w:rsidRPr="0056409E">
        <w:rPr>
          <w:i/>
          <w:iCs/>
          <w:vertAlign w:val="subscript"/>
          <w:lang w:val="es-ES_tradnl"/>
        </w:rPr>
        <w:t>i</w:t>
      </w:r>
      <w:r w:rsidRPr="0056409E">
        <w:rPr>
          <w:vertAlign w:val="subscript"/>
          <w:lang w:val="es-ES_tradnl"/>
        </w:rPr>
        <w:t xml:space="preserve"> </w:t>
      </w:r>
      <w:r w:rsidRPr="0056409E">
        <w:rPr>
          <w:lang w:val="es-ES_tradnl"/>
        </w:rPr>
        <w:t>/(4</w:t>
      </w:r>
      <w:r w:rsidRPr="0056409E">
        <w:rPr>
          <w:rFonts w:ascii="Symbol" w:hAnsi="Symbol"/>
          <w:lang w:val="es-ES_tradnl"/>
        </w:rPr>
        <w:t></w:t>
      </w:r>
      <w:r w:rsidRPr="0056409E">
        <w:rPr>
          <w:lang w:val="es-ES_tradnl"/>
        </w:rPr>
        <w:t xml:space="preserve"> </w:t>
      </w:r>
      <w:r w:rsidRPr="0056409E">
        <w:rPr>
          <w:i/>
          <w:iCs/>
          <w:lang w:val="es-ES_tradnl"/>
        </w:rPr>
        <w:t>r</w:t>
      </w:r>
      <w:r w:rsidRPr="0056409E">
        <w:rPr>
          <w:vertAlign w:val="superscript"/>
          <w:lang w:val="es-ES_tradnl"/>
        </w:rPr>
        <w:t>2</w:t>
      </w:r>
      <w:r w:rsidRPr="0056409E">
        <w:rPr>
          <w:lang w:val="es-ES_tradnl"/>
        </w:rPr>
        <w:t>)</w:t>
      </w:r>
      <w:r w:rsidRPr="0056409E">
        <w:rPr>
          <w:lang w:val="es-ES_tradnl"/>
        </w:rPr>
        <w:tab/>
        <w:t>(3)</w:t>
      </w:r>
    </w:p>
    <w:p w14:paraId="0853BB63" w14:textId="1455DBA3" w:rsidR="0086339D" w:rsidRPr="0056409E" w:rsidRDefault="0086339D" w:rsidP="0086339D">
      <w:pPr>
        <w:rPr>
          <w:lang w:val="es-ES_tradnl"/>
        </w:rPr>
      </w:pPr>
      <w:r w:rsidRPr="0056409E">
        <w:rPr>
          <w:lang w:val="es-ES_tradnl"/>
        </w:rPr>
        <w:t>siendo:</w:t>
      </w:r>
    </w:p>
    <w:p w14:paraId="0F4883E8" w14:textId="77777777" w:rsidR="0086339D" w:rsidRPr="0056409E" w:rsidRDefault="0086339D" w:rsidP="0086339D">
      <w:pPr>
        <w:pStyle w:val="Equationlegend"/>
        <w:rPr>
          <w:lang w:val="es-ES_tradnl"/>
        </w:rPr>
      </w:pPr>
      <w:r w:rsidRPr="0056409E">
        <w:rPr>
          <w:lang w:val="es-ES_tradnl"/>
        </w:rPr>
        <w:tab/>
      </w:r>
      <w:r w:rsidRPr="0056409E">
        <w:rPr>
          <w:i/>
          <w:iCs/>
          <w:lang w:val="es-ES_tradnl"/>
        </w:rPr>
        <w:t>S</w:t>
      </w:r>
      <w:r w:rsidRPr="0056409E">
        <w:rPr>
          <w:rFonts w:ascii="Tms Rmn" w:hAnsi="Tms Rmn"/>
          <w:sz w:val="12"/>
          <w:lang w:val="es-ES_tradnl"/>
        </w:rPr>
        <w:t> </w:t>
      </w:r>
      <w:r w:rsidRPr="0056409E">
        <w:rPr>
          <w:lang w:val="es-ES_tradnl"/>
        </w:rPr>
        <w:t>:</w:t>
      </w:r>
      <w:r w:rsidRPr="0056409E">
        <w:rPr>
          <w:lang w:val="es-ES_tradnl"/>
        </w:rPr>
        <w:tab/>
        <w:t>densidad de potencia (W/m</w:t>
      </w:r>
      <w:r w:rsidRPr="0056409E">
        <w:rPr>
          <w:vertAlign w:val="superscript"/>
          <w:lang w:val="es-ES_tradnl"/>
        </w:rPr>
        <w:t>2</w:t>
      </w:r>
      <w:r w:rsidRPr="0056409E">
        <w:rPr>
          <w:lang w:val="es-ES_tradnl"/>
        </w:rPr>
        <w:t>) en una dirección determinada</w:t>
      </w:r>
    </w:p>
    <w:p w14:paraId="6BF924EF" w14:textId="77777777" w:rsidR="0086339D" w:rsidRPr="0056409E" w:rsidRDefault="0086339D" w:rsidP="0086339D">
      <w:pPr>
        <w:pStyle w:val="Equationlegend"/>
        <w:rPr>
          <w:lang w:val="es-ES_tradnl"/>
        </w:rPr>
      </w:pPr>
      <w:r w:rsidRPr="0056409E">
        <w:rPr>
          <w:lang w:val="es-ES_tradnl"/>
        </w:rPr>
        <w:tab/>
      </w:r>
      <w:r w:rsidRPr="0056409E">
        <w:rPr>
          <w:i/>
          <w:iCs/>
          <w:lang w:val="es-ES_tradnl"/>
        </w:rPr>
        <w:t>P</w:t>
      </w:r>
      <w:r w:rsidRPr="0056409E">
        <w:rPr>
          <w:rFonts w:ascii="Tms Rmn" w:hAnsi="Tms Rmn"/>
          <w:sz w:val="12"/>
          <w:lang w:val="es-ES_tradnl"/>
        </w:rPr>
        <w:t> </w:t>
      </w:r>
      <w:r w:rsidRPr="0056409E">
        <w:rPr>
          <w:lang w:val="es-ES_tradnl"/>
        </w:rPr>
        <w:t>:</w:t>
      </w:r>
      <w:r w:rsidRPr="0056409E">
        <w:rPr>
          <w:lang w:val="es-ES_tradnl"/>
        </w:rPr>
        <w:tab/>
        <w:t>potencia (W) suministrada a la fuente de emisión, suponiendo un sistema sin pérdidas</w:t>
      </w:r>
    </w:p>
    <w:p w14:paraId="500AD3DE" w14:textId="77777777" w:rsidR="0086339D" w:rsidRPr="0056409E" w:rsidRDefault="0086339D" w:rsidP="0086339D">
      <w:pPr>
        <w:pStyle w:val="Equationlegend"/>
        <w:rPr>
          <w:lang w:val="es-ES_tradnl"/>
        </w:rPr>
      </w:pPr>
      <w:r w:rsidRPr="0056409E">
        <w:rPr>
          <w:lang w:val="es-ES_tradnl"/>
        </w:rPr>
        <w:lastRenderedPageBreak/>
        <w:tab/>
      </w:r>
      <w:r w:rsidRPr="0056409E">
        <w:rPr>
          <w:i/>
          <w:iCs/>
          <w:lang w:val="es-ES_tradnl"/>
        </w:rPr>
        <w:t>G</w:t>
      </w:r>
      <w:r w:rsidRPr="0056409E">
        <w:rPr>
          <w:i/>
          <w:iCs/>
          <w:vertAlign w:val="subscript"/>
          <w:lang w:val="es-ES_tradnl"/>
        </w:rPr>
        <w:t>i</w:t>
      </w:r>
      <w:r w:rsidRPr="0056409E">
        <w:rPr>
          <w:rFonts w:ascii="Tms Rmn" w:hAnsi="Tms Rmn"/>
          <w:sz w:val="12"/>
          <w:lang w:val="es-ES_tradnl"/>
        </w:rPr>
        <w:t> </w:t>
      </w:r>
      <w:r w:rsidRPr="0056409E">
        <w:rPr>
          <w:lang w:val="es-ES_tradnl"/>
        </w:rPr>
        <w:t>:</w:t>
      </w:r>
      <w:r w:rsidRPr="0056409E">
        <w:rPr>
          <w:lang w:val="es-ES_tradnl"/>
        </w:rPr>
        <w:tab/>
        <w:t>ganancia de antena de la fuente de emisión en la dirección pertinente, con respecto a un radiador isótropo</w:t>
      </w:r>
    </w:p>
    <w:p w14:paraId="4A6ECCFB" w14:textId="77777777" w:rsidR="0086339D" w:rsidRPr="0056409E" w:rsidRDefault="0086339D" w:rsidP="0086339D">
      <w:pPr>
        <w:pStyle w:val="Equationlegend"/>
        <w:rPr>
          <w:lang w:val="es-ES_tradnl"/>
        </w:rPr>
      </w:pPr>
      <w:r w:rsidRPr="0056409E">
        <w:rPr>
          <w:lang w:val="es-ES_tradnl"/>
        </w:rPr>
        <w:tab/>
      </w:r>
      <w:r w:rsidRPr="0056409E">
        <w:rPr>
          <w:i/>
          <w:iCs/>
          <w:lang w:val="es-ES_tradnl"/>
        </w:rPr>
        <w:t>r</w:t>
      </w:r>
      <w:r w:rsidRPr="0056409E">
        <w:rPr>
          <w:rFonts w:ascii="Tms Rmn" w:hAnsi="Tms Rmn"/>
          <w:sz w:val="12"/>
          <w:lang w:val="es-ES_tradnl"/>
        </w:rPr>
        <w:t> </w:t>
      </w:r>
      <w:r w:rsidRPr="0056409E">
        <w:rPr>
          <w:lang w:val="es-ES_tradnl"/>
        </w:rPr>
        <w:t>:</w:t>
      </w:r>
      <w:r w:rsidRPr="0056409E">
        <w:rPr>
          <w:lang w:val="es-ES_tradnl"/>
        </w:rPr>
        <w:tab/>
        <w:t>distancia (m) desde la fuente de emisión.</w:t>
      </w:r>
    </w:p>
    <w:p w14:paraId="17BA9127" w14:textId="77777777" w:rsidR="0086339D" w:rsidRPr="0056409E" w:rsidRDefault="0086339D" w:rsidP="0086339D">
      <w:pPr>
        <w:rPr>
          <w:lang w:val="es-ES_tradnl"/>
        </w:rPr>
      </w:pPr>
      <w:r w:rsidRPr="0056409E">
        <w:rPr>
          <w:lang w:val="es-ES_tradnl"/>
        </w:rPr>
        <w:t xml:space="preserve">El producto </w:t>
      </w:r>
      <w:r w:rsidRPr="0056409E">
        <w:rPr>
          <w:i/>
          <w:lang w:val="es-ES_tradnl"/>
        </w:rPr>
        <w:t>PG</w:t>
      </w:r>
      <w:r w:rsidRPr="0056409E">
        <w:rPr>
          <w:i/>
          <w:vertAlign w:val="subscript"/>
          <w:lang w:val="es-ES_tradnl"/>
        </w:rPr>
        <w:t>i</w:t>
      </w:r>
      <w:r w:rsidRPr="0056409E">
        <w:rPr>
          <w:iCs/>
          <w:lang w:val="es-ES_tradnl"/>
        </w:rPr>
        <w:t xml:space="preserve"> de la ecuación (</w:t>
      </w:r>
      <w:r w:rsidRPr="0056409E">
        <w:rPr>
          <w:lang w:val="es-ES_tradnl"/>
        </w:rPr>
        <w:t>3) se conoce como p.i.r.e. que representa la potencia que un radiador isótropo ficticio debería emitir para producir la misma intensidad de campo en el punto de recepción.</w:t>
      </w:r>
    </w:p>
    <w:p w14:paraId="6B5F4215" w14:textId="77777777" w:rsidR="0086339D" w:rsidRPr="0056409E" w:rsidRDefault="0086339D" w:rsidP="0086339D">
      <w:pPr>
        <w:rPr>
          <w:lang w:val="es-ES_tradnl"/>
        </w:rPr>
      </w:pPr>
      <w:r w:rsidRPr="0056409E">
        <w:rPr>
          <w:lang w:val="es-ES_tradnl"/>
        </w:rPr>
        <w:t>Para determinar las densidades de potencia en otras direcciones debe tenerse en cuenta el diagrama de antena.</w:t>
      </w:r>
    </w:p>
    <w:p w14:paraId="40771352" w14:textId="77777777" w:rsidR="0086339D" w:rsidRPr="0056409E" w:rsidRDefault="0086339D" w:rsidP="0086339D">
      <w:pPr>
        <w:rPr>
          <w:i/>
          <w:lang w:val="es-ES_tradnl"/>
        </w:rPr>
      </w:pPr>
      <w:r w:rsidRPr="0056409E">
        <w:rPr>
          <w:lang w:val="es-ES_tradnl"/>
        </w:rPr>
        <w:t>Para utilizar la ecuación</w:t>
      </w:r>
      <w:r w:rsidRPr="0056409E">
        <w:rPr>
          <w:i/>
          <w:lang w:val="es-ES_tradnl"/>
        </w:rPr>
        <w:t> </w:t>
      </w:r>
      <w:r w:rsidRPr="0056409E">
        <w:rPr>
          <w:iCs/>
          <w:lang w:val="es-ES_tradnl"/>
        </w:rPr>
        <w:t xml:space="preserve">(3) </w:t>
      </w:r>
      <w:r w:rsidRPr="0056409E">
        <w:rPr>
          <w:lang w:val="es-ES_tradnl"/>
        </w:rPr>
        <w:t xml:space="preserve">con una antena cuya ganancia </w:t>
      </w:r>
      <w:r w:rsidRPr="0056409E">
        <w:rPr>
          <w:i/>
          <w:lang w:val="es-ES_tradnl"/>
        </w:rPr>
        <w:t>G</w:t>
      </w:r>
      <w:r w:rsidRPr="0056409E">
        <w:rPr>
          <w:i/>
          <w:vertAlign w:val="subscript"/>
          <w:lang w:val="es-ES_tradnl"/>
        </w:rPr>
        <w:t>a</w:t>
      </w:r>
      <w:r w:rsidRPr="0056409E">
        <w:rPr>
          <w:iCs/>
          <w:lang w:val="es-ES_tradnl"/>
        </w:rPr>
        <w:t xml:space="preserve"> </w:t>
      </w:r>
      <w:r w:rsidRPr="0056409E">
        <w:rPr>
          <w:lang w:val="es-ES_tradnl"/>
        </w:rPr>
        <w:t xml:space="preserve">se defina con respecto a una antena de referencia de ganancia isótropa </w:t>
      </w:r>
      <w:r w:rsidRPr="0056409E">
        <w:rPr>
          <w:i/>
          <w:iCs/>
          <w:lang w:val="es-ES_tradnl"/>
        </w:rPr>
        <w:t>G</w:t>
      </w:r>
      <w:r w:rsidRPr="0056409E">
        <w:rPr>
          <w:i/>
          <w:iCs/>
          <w:vertAlign w:val="subscript"/>
          <w:lang w:val="es-ES_tradnl"/>
        </w:rPr>
        <w:t>r</w:t>
      </w:r>
      <w:r w:rsidRPr="0056409E">
        <w:rPr>
          <w:lang w:val="es-ES_tradnl"/>
        </w:rPr>
        <w:t xml:space="preserve">, tal como un dipolo de media onda o un monopolo corto, la ganancia de la antena </w:t>
      </w:r>
      <w:r w:rsidRPr="0056409E">
        <w:rPr>
          <w:i/>
          <w:lang w:val="es-ES_tradnl"/>
        </w:rPr>
        <w:t>G</w:t>
      </w:r>
      <w:r w:rsidRPr="0056409E">
        <w:rPr>
          <w:i/>
          <w:vertAlign w:val="subscript"/>
          <w:lang w:val="es-ES_tradnl"/>
        </w:rPr>
        <w:t>i</w:t>
      </w:r>
      <w:r w:rsidRPr="0056409E">
        <w:rPr>
          <w:iCs/>
          <w:lang w:val="es-ES_tradnl"/>
        </w:rPr>
        <w:t xml:space="preserve"> </w:t>
      </w:r>
      <w:r w:rsidRPr="0056409E">
        <w:rPr>
          <w:lang w:val="es-ES_tradnl"/>
        </w:rPr>
        <w:t xml:space="preserve">debe sustituirse por el producto </w:t>
      </w:r>
      <w:r w:rsidRPr="0056409E">
        <w:rPr>
          <w:i/>
          <w:iCs/>
          <w:lang w:val="es-ES_tradnl"/>
        </w:rPr>
        <w:t>G</w:t>
      </w:r>
      <w:r w:rsidRPr="0056409E">
        <w:rPr>
          <w:i/>
          <w:iCs/>
          <w:vertAlign w:val="subscript"/>
          <w:lang w:val="es-ES_tradnl"/>
        </w:rPr>
        <w:t>r</w:t>
      </w:r>
      <w:r w:rsidRPr="0056409E">
        <w:rPr>
          <w:lang w:val="es-ES_tradnl"/>
        </w:rPr>
        <w:t> </w:t>
      </w:r>
      <w:r w:rsidRPr="0056409E">
        <w:rPr>
          <w:rFonts w:ascii="Symbol" w:hAnsi="Symbol"/>
          <w:lang w:val="es-ES_tradnl"/>
        </w:rPr>
        <w:t></w:t>
      </w:r>
      <w:r w:rsidRPr="0056409E">
        <w:rPr>
          <w:lang w:val="es-ES_tradnl"/>
        </w:rPr>
        <w:t> </w:t>
      </w:r>
      <w:r w:rsidRPr="0056409E">
        <w:rPr>
          <w:i/>
          <w:iCs/>
          <w:lang w:val="es-ES_tradnl"/>
        </w:rPr>
        <w:t>G</w:t>
      </w:r>
      <w:r w:rsidRPr="0056409E">
        <w:rPr>
          <w:i/>
          <w:iCs/>
          <w:vertAlign w:val="subscript"/>
          <w:lang w:val="es-ES_tradnl"/>
        </w:rPr>
        <w:t>a</w:t>
      </w:r>
      <w:r w:rsidRPr="0056409E">
        <w:rPr>
          <w:lang w:val="es-ES_tradnl"/>
        </w:rPr>
        <w:t>, como se indica en la ecuación </w:t>
      </w:r>
      <w:r w:rsidRPr="0056409E">
        <w:rPr>
          <w:iCs/>
          <w:lang w:val="es-ES_tradnl"/>
        </w:rPr>
        <w:t>(4).</w:t>
      </w:r>
      <w:r w:rsidRPr="0056409E">
        <w:rPr>
          <w:i/>
          <w:lang w:val="es-ES_tradnl"/>
        </w:rPr>
        <w:t xml:space="preserve"> </w:t>
      </w:r>
      <w:r w:rsidRPr="0056409E">
        <w:rPr>
          <w:lang w:val="es-ES_tradnl"/>
        </w:rPr>
        <w:t xml:space="preserve">El factor pertinente </w:t>
      </w:r>
      <w:r w:rsidRPr="0056409E">
        <w:rPr>
          <w:i/>
          <w:iCs/>
          <w:lang w:val="es-ES_tradnl"/>
        </w:rPr>
        <w:t>G</w:t>
      </w:r>
      <w:r w:rsidRPr="0056409E">
        <w:rPr>
          <w:i/>
          <w:iCs/>
          <w:vertAlign w:val="subscript"/>
          <w:lang w:val="es-ES_tradnl"/>
        </w:rPr>
        <w:t>r</w:t>
      </w:r>
      <w:r w:rsidRPr="0056409E">
        <w:rPr>
          <w:lang w:val="es-ES_tradnl"/>
        </w:rPr>
        <w:t xml:space="preserve"> aparece en el Cuadro </w:t>
      </w:r>
      <w:r w:rsidRPr="0056409E">
        <w:rPr>
          <w:iCs/>
          <w:lang w:val="es-ES_tradnl"/>
        </w:rPr>
        <w:t>1.</w:t>
      </w:r>
    </w:p>
    <w:p w14:paraId="332CF5A6" w14:textId="01CA409A" w:rsidR="0086339D" w:rsidRDefault="0086339D" w:rsidP="0086339D">
      <w:pPr>
        <w:pStyle w:val="Equation"/>
        <w:rPr>
          <w:lang w:val="es-ES_tradnl"/>
        </w:rPr>
      </w:pPr>
      <w:r w:rsidRPr="0056409E">
        <w:rPr>
          <w:lang w:val="es-ES_tradnl"/>
        </w:rPr>
        <w:tab/>
      </w:r>
      <w:r w:rsidRPr="0056409E">
        <w:rPr>
          <w:lang w:val="es-ES_tradnl"/>
        </w:rPr>
        <w:tab/>
      </w:r>
      <w:r w:rsidRPr="0056409E">
        <w:rPr>
          <w:i/>
          <w:iCs/>
          <w:lang w:val="es-ES_tradnl"/>
        </w:rPr>
        <w:t>S</w:t>
      </w:r>
      <w:r w:rsidRPr="0056409E">
        <w:rPr>
          <w:lang w:val="es-ES_tradnl"/>
        </w:rPr>
        <w:t xml:space="preserve"> </w:t>
      </w:r>
      <w:r w:rsidRPr="0056409E">
        <w:rPr>
          <w:rFonts w:ascii="Symbol" w:hAnsi="Symbol"/>
          <w:lang w:val="es-ES_tradnl"/>
        </w:rPr>
        <w:t></w:t>
      </w:r>
      <w:r w:rsidRPr="0056409E">
        <w:rPr>
          <w:lang w:val="es-ES_tradnl"/>
        </w:rPr>
        <w:t xml:space="preserve"> </w:t>
      </w:r>
      <w:r w:rsidRPr="0056409E">
        <w:rPr>
          <w:i/>
          <w:iCs/>
          <w:lang w:val="es-ES_tradnl"/>
        </w:rPr>
        <w:t>P</w:t>
      </w:r>
      <w:r w:rsidRPr="0056409E">
        <w:rPr>
          <w:lang w:val="es-ES_tradnl"/>
        </w:rPr>
        <w:t xml:space="preserve"> </w:t>
      </w:r>
      <w:r w:rsidRPr="0056409E">
        <w:rPr>
          <w:i/>
          <w:iCs/>
          <w:lang w:val="es-ES_tradnl"/>
        </w:rPr>
        <w:t>G</w:t>
      </w:r>
      <w:r w:rsidRPr="0056409E">
        <w:rPr>
          <w:i/>
          <w:iCs/>
          <w:vertAlign w:val="subscript"/>
          <w:lang w:val="es-ES_tradnl"/>
        </w:rPr>
        <w:t>r</w:t>
      </w:r>
      <w:r w:rsidRPr="0056409E">
        <w:rPr>
          <w:lang w:val="es-ES_tradnl"/>
        </w:rPr>
        <w:t xml:space="preserve"> </w:t>
      </w:r>
      <w:r w:rsidRPr="0056409E">
        <w:rPr>
          <w:i/>
          <w:iCs/>
          <w:lang w:val="es-ES_tradnl"/>
        </w:rPr>
        <w:t>G</w:t>
      </w:r>
      <w:r w:rsidRPr="0056409E">
        <w:rPr>
          <w:i/>
          <w:iCs/>
          <w:vertAlign w:val="subscript"/>
          <w:lang w:val="es-ES_tradnl"/>
        </w:rPr>
        <w:t>a</w:t>
      </w:r>
      <w:r w:rsidRPr="0056409E">
        <w:rPr>
          <w:lang w:val="es-ES_tradnl"/>
        </w:rPr>
        <w:t xml:space="preserve"> /(4</w:t>
      </w:r>
      <w:r w:rsidRPr="0056409E">
        <w:rPr>
          <w:rFonts w:ascii="Symbol" w:hAnsi="Symbol"/>
          <w:lang w:val="es-ES_tradnl"/>
        </w:rPr>
        <w:t></w:t>
      </w:r>
      <w:r w:rsidRPr="0056409E">
        <w:rPr>
          <w:lang w:val="es-ES_tradnl"/>
        </w:rPr>
        <w:t xml:space="preserve"> </w:t>
      </w:r>
      <w:r w:rsidRPr="0056409E">
        <w:rPr>
          <w:i/>
          <w:iCs/>
          <w:lang w:val="es-ES_tradnl"/>
        </w:rPr>
        <w:t>r</w:t>
      </w:r>
      <w:r w:rsidRPr="0056409E">
        <w:rPr>
          <w:vertAlign w:val="superscript"/>
          <w:lang w:val="es-ES_tradnl"/>
        </w:rPr>
        <w:t>2</w:t>
      </w:r>
      <w:r w:rsidRPr="0056409E">
        <w:rPr>
          <w:lang w:val="es-ES_tradnl"/>
        </w:rPr>
        <w:t>)</w:t>
      </w:r>
      <w:r w:rsidRPr="0056409E">
        <w:rPr>
          <w:lang w:val="es-ES_tradnl"/>
        </w:rPr>
        <w:tab/>
        <w:t>(4)</w:t>
      </w:r>
    </w:p>
    <w:p w14:paraId="457F7C04" w14:textId="77777777" w:rsidR="00176B52" w:rsidRPr="0056409E" w:rsidRDefault="00176B52" w:rsidP="00176B52">
      <w:pPr>
        <w:pStyle w:val="TableNo"/>
        <w:framePr w:hSpace="181" w:wrap="notBeside" w:vAnchor="text" w:hAnchor="text" w:xAlign="center" w:y="1"/>
        <w:rPr>
          <w:lang w:val="es-ES_tradnl"/>
        </w:rPr>
      </w:pPr>
      <w:r w:rsidRPr="0056409E">
        <w:rPr>
          <w:lang w:val="es-ES_tradnl"/>
        </w:rPr>
        <w:t>CUADRO  1</w:t>
      </w:r>
    </w:p>
    <w:p w14:paraId="471D0F5D" w14:textId="1CBCF148" w:rsidR="00176B52" w:rsidRDefault="00176B52" w:rsidP="00176B52">
      <w:pPr>
        <w:pStyle w:val="Tabletitle"/>
        <w:rPr>
          <w:lang w:val="es-ES_tradnl"/>
        </w:rPr>
      </w:pPr>
      <w:r w:rsidRPr="0056409E">
        <w:rPr>
          <w:lang w:val="es-ES_tradnl"/>
        </w:rPr>
        <w:t>Factores de ganancia isótropa para distintos tipos de antena de referencia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1620"/>
        <w:gridCol w:w="2165"/>
        <w:gridCol w:w="3462"/>
      </w:tblGrid>
      <w:tr w:rsidR="0015057E" w:rsidRPr="004170F5" w14:paraId="2EDBA072" w14:textId="77777777" w:rsidTr="00B231D6">
        <w:trPr>
          <w:trHeight w:val="744"/>
          <w:tblHeader/>
          <w:jc w:val="center"/>
        </w:trPr>
        <w:tc>
          <w:tcPr>
            <w:tcW w:w="2268" w:type="dxa"/>
            <w:vAlign w:val="center"/>
          </w:tcPr>
          <w:p w14:paraId="240FC9DF" w14:textId="77777777" w:rsidR="0015057E" w:rsidRPr="0056409E" w:rsidRDefault="0015057E" w:rsidP="0015057E">
            <w:pPr>
              <w:pStyle w:val="Tablehead"/>
              <w:rPr>
                <w:lang w:val="es-ES_tradnl"/>
              </w:rPr>
            </w:pPr>
            <w:r w:rsidRPr="0056409E">
              <w:rPr>
                <w:lang w:val="es-ES_tradnl"/>
              </w:rPr>
              <w:t>Tipo de antena de referencia</w:t>
            </w:r>
          </w:p>
        </w:tc>
        <w:tc>
          <w:tcPr>
            <w:tcW w:w="1536" w:type="dxa"/>
            <w:vAlign w:val="center"/>
          </w:tcPr>
          <w:p w14:paraId="0CC04043" w14:textId="77777777" w:rsidR="0015057E" w:rsidRPr="0056409E" w:rsidRDefault="0015057E" w:rsidP="0015057E">
            <w:pPr>
              <w:pStyle w:val="Tablehead"/>
              <w:rPr>
                <w:lang w:val="es-ES_tradnl"/>
              </w:rPr>
            </w:pPr>
            <w:r w:rsidRPr="0056409E">
              <w:rPr>
                <w:lang w:val="es-ES_tradnl"/>
              </w:rPr>
              <w:t xml:space="preserve">Factor de ganancia isótropa, </w:t>
            </w:r>
            <w:r w:rsidRPr="0056409E">
              <w:rPr>
                <w:i/>
                <w:iCs/>
                <w:lang w:val="es-ES_tradnl"/>
              </w:rPr>
              <w:t>G</w:t>
            </w:r>
            <w:r w:rsidRPr="0056409E">
              <w:rPr>
                <w:i/>
                <w:iCs/>
                <w:vertAlign w:val="subscript"/>
                <w:lang w:val="es-ES_tradnl"/>
              </w:rPr>
              <w:t>r</w:t>
            </w:r>
          </w:p>
        </w:tc>
        <w:tc>
          <w:tcPr>
            <w:tcW w:w="2052" w:type="dxa"/>
          </w:tcPr>
          <w:p w14:paraId="07C58909" w14:textId="5067A383" w:rsidR="0015057E" w:rsidRPr="0056409E" w:rsidRDefault="0015057E" w:rsidP="0015057E">
            <w:pPr>
              <w:pStyle w:val="Tablehead"/>
              <w:rPr>
                <w:lang w:val="es-ES_tradnl"/>
              </w:rPr>
            </w:pPr>
            <w:r w:rsidRPr="0056409E">
              <w:rPr>
                <w:lang w:val="es-ES_tradnl"/>
              </w:rPr>
              <w:t>Ganancia isótropa</w:t>
            </w:r>
            <w:r>
              <w:rPr>
                <w:lang w:val="es-ES_tradnl"/>
              </w:rPr>
              <w:br/>
            </w:r>
            <w:r w:rsidRPr="0056409E">
              <w:rPr>
                <w:lang w:val="es-ES_tradnl"/>
              </w:rPr>
              <w:t>(dBi)</w:t>
            </w:r>
          </w:p>
        </w:tc>
        <w:tc>
          <w:tcPr>
            <w:tcW w:w="3282" w:type="dxa"/>
            <w:vAlign w:val="center"/>
          </w:tcPr>
          <w:p w14:paraId="4026E2E7" w14:textId="77777777" w:rsidR="0015057E" w:rsidRPr="0056409E" w:rsidRDefault="0015057E" w:rsidP="0015057E">
            <w:pPr>
              <w:pStyle w:val="Tablehead"/>
              <w:rPr>
                <w:lang w:val="es-ES_tradnl"/>
              </w:rPr>
            </w:pPr>
            <w:r w:rsidRPr="0056409E">
              <w:rPr>
                <w:lang w:val="es-ES_tradnl"/>
              </w:rPr>
              <w:t>Aplicaciones habituales donde es pertinente el tipo de antena de referencia</w:t>
            </w:r>
          </w:p>
        </w:tc>
      </w:tr>
      <w:tr w:rsidR="0015057E" w:rsidRPr="0056409E" w14:paraId="3FD39745" w14:textId="77777777" w:rsidTr="00B231D6">
        <w:trPr>
          <w:trHeight w:val="477"/>
          <w:jc w:val="center"/>
        </w:trPr>
        <w:tc>
          <w:tcPr>
            <w:tcW w:w="2268" w:type="dxa"/>
          </w:tcPr>
          <w:p w14:paraId="3AA6F7CD" w14:textId="77777777" w:rsidR="0015057E" w:rsidRPr="0056409E" w:rsidRDefault="0015057E" w:rsidP="0015057E">
            <w:pPr>
              <w:pStyle w:val="Tabletext"/>
              <w:rPr>
                <w:lang w:val="es-ES_tradnl"/>
              </w:rPr>
            </w:pPr>
            <w:r w:rsidRPr="0056409E">
              <w:rPr>
                <w:lang w:val="es-ES_tradnl"/>
              </w:rPr>
              <w:t>Radiador isótropo</w:t>
            </w:r>
          </w:p>
        </w:tc>
        <w:tc>
          <w:tcPr>
            <w:tcW w:w="1536" w:type="dxa"/>
          </w:tcPr>
          <w:p w14:paraId="327D4AC4" w14:textId="77777777" w:rsidR="0015057E" w:rsidRPr="0056409E" w:rsidRDefault="0015057E" w:rsidP="001505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15"/>
              </w:tabs>
              <w:jc w:val="center"/>
              <w:rPr>
                <w:lang w:val="es-ES_tradnl"/>
              </w:rPr>
            </w:pPr>
            <w:r w:rsidRPr="0056409E">
              <w:rPr>
                <w:lang w:val="es-ES_tradnl"/>
              </w:rPr>
              <w:t>1,0</w:t>
            </w:r>
          </w:p>
        </w:tc>
        <w:tc>
          <w:tcPr>
            <w:tcW w:w="2052" w:type="dxa"/>
          </w:tcPr>
          <w:p w14:paraId="0BAA0C23" w14:textId="77777777" w:rsidR="0015057E" w:rsidRPr="0056409E" w:rsidRDefault="0015057E" w:rsidP="0015057E">
            <w:pPr>
              <w:pStyle w:val="Tabletext"/>
              <w:jc w:val="center"/>
              <w:rPr>
                <w:lang w:val="es-ES_tradnl"/>
              </w:rPr>
            </w:pPr>
            <w:r w:rsidRPr="0056409E">
              <w:rPr>
                <w:lang w:val="es-ES_tradnl"/>
              </w:rPr>
              <w:t>0,0</w:t>
            </w:r>
          </w:p>
        </w:tc>
        <w:tc>
          <w:tcPr>
            <w:tcW w:w="3282" w:type="dxa"/>
          </w:tcPr>
          <w:p w14:paraId="15A04068" w14:textId="77777777" w:rsidR="0015057E" w:rsidRPr="0056409E" w:rsidRDefault="0015057E" w:rsidP="0015057E">
            <w:pPr>
              <w:pStyle w:val="Tabletext"/>
              <w:jc w:val="left"/>
              <w:rPr>
                <w:lang w:val="es-ES_tradnl"/>
              </w:rPr>
            </w:pPr>
            <w:r w:rsidRPr="0056409E">
              <w:rPr>
                <w:lang w:val="es-ES_tradnl"/>
              </w:rPr>
              <w:t>Radiodifusión en ondas decamétricas</w:t>
            </w:r>
          </w:p>
        </w:tc>
      </w:tr>
      <w:tr w:rsidR="0015057E" w:rsidRPr="004170F5" w14:paraId="3C8D5EC3" w14:textId="77777777" w:rsidTr="00B231D6">
        <w:trPr>
          <w:trHeight w:val="469"/>
          <w:jc w:val="center"/>
        </w:trPr>
        <w:tc>
          <w:tcPr>
            <w:tcW w:w="2268" w:type="dxa"/>
          </w:tcPr>
          <w:p w14:paraId="335F0277" w14:textId="77777777" w:rsidR="0015057E" w:rsidRPr="0056409E" w:rsidRDefault="0015057E" w:rsidP="0015057E">
            <w:pPr>
              <w:pStyle w:val="Tabletext"/>
              <w:rPr>
                <w:lang w:val="es-ES_tradnl"/>
              </w:rPr>
            </w:pPr>
            <w:r w:rsidRPr="0056409E">
              <w:rPr>
                <w:lang w:val="es-ES_tradnl"/>
              </w:rPr>
              <w:t>Dipolo de media onda</w:t>
            </w:r>
          </w:p>
        </w:tc>
        <w:tc>
          <w:tcPr>
            <w:tcW w:w="1536" w:type="dxa"/>
          </w:tcPr>
          <w:p w14:paraId="5EEE653F" w14:textId="77777777" w:rsidR="0015057E" w:rsidRPr="0056409E" w:rsidRDefault="0015057E" w:rsidP="001505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15"/>
              </w:tabs>
              <w:jc w:val="center"/>
              <w:rPr>
                <w:lang w:val="es-ES_tradnl"/>
              </w:rPr>
            </w:pPr>
            <w:r w:rsidRPr="0056409E">
              <w:rPr>
                <w:lang w:val="es-ES_tradnl"/>
              </w:rPr>
              <w:t>1,64</w:t>
            </w:r>
          </w:p>
        </w:tc>
        <w:tc>
          <w:tcPr>
            <w:tcW w:w="2052" w:type="dxa"/>
          </w:tcPr>
          <w:p w14:paraId="7AAF0FCE" w14:textId="77777777" w:rsidR="0015057E" w:rsidRPr="0056409E" w:rsidRDefault="0015057E" w:rsidP="0015057E">
            <w:pPr>
              <w:pStyle w:val="Tabletext"/>
              <w:jc w:val="center"/>
              <w:rPr>
                <w:lang w:val="es-ES_tradnl"/>
              </w:rPr>
            </w:pPr>
            <w:r w:rsidRPr="0056409E">
              <w:rPr>
                <w:lang w:val="es-ES_tradnl"/>
              </w:rPr>
              <w:t>2,15</w:t>
            </w:r>
          </w:p>
        </w:tc>
        <w:tc>
          <w:tcPr>
            <w:tcW w:w="3282" w:type="dxa"/>
          </w:tcPr>
          <w:p w14:paraId="28FE3D96" w14:textId="77777777" w:rsidR="0015057E" w:rsidRPr="0056409E" w:rsidRDefault="0015057E" w:rsidP="0015057E">
            <w:pPr>
              <w:pStyle w:val="Tabletext"/>
              <w:jc w:val="left"/>
              <w:rPr>
                <w:lang w:val="es-ES_tradnl"/>
              </w:rPr>
            </w:pPr>
            <w:r w:rsidRPr="0056409E">
              <w:rPr>
                <w:lang w:val="es-ES_tradnl"/>
              </w:rPr>
              <w:t>Radiodifusión en ondas métricas y decimétricas</w:t>
            </w:r>
          </w:p>
        </w:tc>
      </w:tr>
      <w:tr w:rsidR="0015057E" w:rsidRPr="004170F5" w14:paraId="362EC6DF" w14:textId="77777777" w:rsidTr="00B231D6">
        <w:trPr>
          <w:trHeight w:val="477"/>
          <w:jc w:val="center"/>
        </w:trPr>
        <w:tc>
          <w:tcPr>
            <w:tcW w:w="2268" w:type="dxa"/>
          </w:tcPr>
          <w:p w14:paraId="16792C52" w14:textId="77777777" w:rsidR="0015057E" w:rsidRPr="0056409E" w:rsidRDefault="0015057E" w:rsidP="0015057E">
            <w:pPr>
              <w:pStyle w:val="Tabletext"/>
              <w:rPr>
                <w:lang w:val="es-ES_tradnl"/>
              </w:rPr>
            </w:pPr>
            <w:r w:rsidRPr="0056409E">
              <w:rPr>
                <w:lang w:val="es-ES_tradnl"/>
              </w:rPr>
              <w:t>Monopolo corto</w:t>
            </w:r>
          </w:p>
        </w:tc>
        <w:tc>
          <w:tcPr>
            <w:tcW w:w="1536" w:type="dxa"/>
          </w:tcPr>
          <w:p w14:paraId="41A5F239" w14:textId="77777777" w:rsidR="0015057E" w:rsidRPr="0056409E" w:rsidRDefault="0015057E" w:rsidP="0015057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615"/>
              </w:tabs>
              <w:jc w:val="center"/>
              <w:rPr>
                <w:lang w:val="es-ES_tradnl"/>
              </w:rPr>
            </w:pPr>
            <w:r w:rsidRPr="0056409E">
              <w:rPr>
                <w:lang w:val="es-ES_tradnl"/>
              </w:rPr>
              <w:t>3,0</w:t>
            </w:r>
          </w:p>
        </w:tc>
        <w:tc>
          <w:tcPr>
            <w:tcW w:w="2052" w:type="dxa"/>
          </w:tcPr>
          <w:p w14:paraId="164A4389" w14:textId="77777777" w:rsidR="0015057E" w:rsidRPr="0056409E" w:rsidRDefault="0015057E" w:rsidP="0015057E">
            <w:pPr>
              <w:pStyle w:val="Tabletext"/>
              <w:jc w:val="center"/>
              <w:rPr>
                <w:lang w:val="es-ES_tradnl"/>
              </w:rPr>
            </w:pPr>
            <w:r w:rsidRPr="0056409E">
              <w:rPr>
                <w:lang w:val="es-ES_tradnl"/>
              </w:rPr>
              <w:t>4,80</w:t>
            </w:r>
          </w:p>
        </w:tc>
        <w:tc>
          <w:tcPr>
            <w:tcW w:w="3282" w:type="dxa"/>
          </w:tcPr>
          <w:p w14:paraId="3A0D958B" w14:textId="77777777" w:rsidR="0015057E" w:rsidRPr="0056409E" w:rsidRDefault="0015057E" w:rsidP="0015057E">
            <w:pPr>
              <w:pStyle w:val="Tabletext"/>
              <w:jc w:val="left"/>
              <w:rPr>
                <w:lang w:val="es-ES_tradnl"/>
              </w:rPr>
            </w:pPr>
            <w:r w:rsidRPr="0056409E">
              <w:rPr>
                <w:lang w:val="es-ES_tradnl"/>
              </w:rPr>
              <w:t>Radiodifusión en ondas kilométricas y hectométricas</w:t>
            </w:r>
          </w:p>
        </w:tc>
      </w:tr>
    </w:tbl>
    <w:p w14:paraId="096E74F3" w14:textId="77777777" w:rsidR="0086339D" w:rsidRPr="0056409E" w:rsidRDefault="0086339D" w:rsidP="0086339D">
      <w:pPr>
        <w:pStyle w:val="Tablefin"/>
        <w:rPr>
          <w:lang w:val="es-ES_tradnl"/>
        </w:rPr>
      </w:pPr>
    </w:p>
    <w:p w14:paraId="6D894679" w14:textId="77777777" w:rsidR="0086339D" w:rsidRPr="0056409E" w:rsidRDefault="0086339D" w:rsidP="0086339D">
      <w:pPr>
        <w:rPr>
          <w:lang w:val="es-ES_tradnl"/>
        </w:rPr>
      </w:pPr>
      <w:r w:rsidRPr="0056409E">
        <w:rPr>
          <w:lang w:val="es-ES_tradnl"/>
        </w:rPr>
        <w:t xml:space="preserve">Por consiguiente, cuando la ganancia de la antena </w:t>
      </w:r>
      <w:r w:rsidRPr="0056409E">
        <w:rPr>
          <w:i/>
          <w:iCs/>
          <w:lang w:val="es-ES_tradnl"/>
        </w:rPr>
        <w:t>G</w:t>
      </w:r>
      <w:r w:rsidRPr="0056409E">
        <w:rPr>
          <w:i/>
          <w:iCs/>
          <w:vertAlign w:val="subscript"/>
          <w:lang w:val="es-ES_tradnl"/>
        </w:rPr>
        <w:t>d</w:t>
      </w:r>
      <w:r w:rsidRPr="0056409E">
        <w:rPr>
          <w:lang w:val="es-ES_tradnl"/>
        </w:rPr>
        <w:t xml:space="preserve"> (</w:t>
      </w:r>
      <w:r w:rsidRPr="0056409E">
        <w:rPr>
          <w:i/>
          <w:iCs/>
          <w:lang w:val="es-ES_tradnl"/>
        </w:rPr>
        <w:t>G</w:t>
      </w:r>
      <w:r w:rsidRPr="0056409E">
        <w:rPr>
          <w:i/>
          <w:iCs/>
          <w:vertAlign w:val="subscript"/>
          <w:lang w:val="es-ES_tradnl"/>
        </w:rPr>
        <w:t>a</w:t>
      </w:r>
      <w:r w:rsidRPr="0056409E">
        <w:rPr>
          <w:lang w:val="es-ES_tradnl"/>
        </w:rPr>
        <w:t xml:space="preserve"> </w:t>
      </w:r>
      <w:r w:rsidRPr="0056409E">
        <w:rPr>
          <w:rFonts w:ascii="Symbol" w:hAnsi="Symbol"/>
          <w:lang w:val="es-ES_tradnl"/>
        </w:rPr>
        <w:t></w:t>
      </w:r>
      <w:r w:rsidRPr="0056409E">
        <w:rPr>
          <w:lang w:val="es-ES_tradnl"/>
        </w:rPr>
        <w:t xml:space="preserve"> </w:t>
      </w:r>
      <w:r w:rsidRPr="0056409E">
        <w:rPr>
          <w:i/>
          <w:iCs/>
          <w:lang w:val="es-ES_tradnl"/>
        </w:rPr>
        <w:t>G</w:t>
      </w:r>
      <w:r w:rsidRPr="0056409E">
        <w:rPr>
          <w:i/>
          <w:iCs/>
          <w:vertAlign w:val="subscript"/>
          <w:lang w:val="es-ES_tradnl"/>
        </w:rPr>
        <w:t>d</w:t>
      </w:r>
      <w:r w:rsidRPr="0056409E">
        <w:rPr>
          <w:lang w:val="es-ES_tradnl"/>
        </w:rPr>
        <w:t>) valor original se expresa con respecto a la del dipolo de media onda:</w:t>
      </w:r>
    </w:p>
    <w:p w14:paraId="466172A3" w14:textId="54937DEB" w:rsidR="0086339D" w:rsidRPr="0056409E" w:rsidRDefault="0086339D" w:rsidP="0086339D">
      <w:pPr>
        <w:pStyle w:val="Equation"/>
        <w:rPr>
          <w:lang w:val="es-ES_tradnl"/>
        </w:rPr>
      </w:pPr>
      <w:r w:rsidRPr="0056409E">
        <w:rPr>
          <w:lang w:val="es-ES_tradnl"/>
        </w:rPr>
        <w:tab/>
      </w:r>
      <w:r w:rsidRPr="0056409E">
        <w:rPr>
          <w:lang w:val="es-ES_tradnl"/>
        </w:rPr>
        <w:tab/>
      </w:r>
      <w:r w:rsidRPr="0056409E">
        <w:rPr>
          <w:i/>
          <w:iCs/>
          <w:lang w:val="es-ES_tradnl"/>
        </w:rPr>
        <w:t>S</w:t>
      </w:r>
      <w:r w:rsidRPr="0056409E">
        <w:rPr>
          <w:lang w:val="es-ES_tradnl"/>
        </w:rPr>
        <w:t xml:space="preserve"> </w:t>
      </w:r>
      <w:r w:rsidRPr="0056409E">
        <w:rPr>
          <w:rFonts w:ascii="Symbol" w:hAnsi="Symbol"/>
          <w:lang w:val="es-ES_tradnl"/>
        </w:rPr>
        <w:t></w:t>
      </w:r>
      <w:r w:rsidRPr="0056409E">
        <w:rPr>
          <w:lang w:val="es-ES_tradnl"/>
        </w:rPr>
        <w:t xml:space="preserve"> 1,64 </w:t>
      </w:r>
      <w:r w:rsidRPr="0056409E">
        <w:rPr>
          <w:i/>
          <w:iCs/>
          <w:lang w:val="es-ES_tradnl"/>
        </w:rPr>
        <w:t>PG</w:t>
      </w:r>
      <w:r w:rsidRPr="0056409E">
        <w:rPr>
          <w:i/>
          <w:iCs/>
          <w:vertAlign w:val="subscript"/>
          <w:lang w:val="es-ES_tradnl"/>
        </w:rPr>
        <w:t>d</w:t>
      </w:r>
      <w:r w:rsidR="004E2370">
        <w:rPr>
          <w:vertAlign w:val="subscript"/>
          <w:lang w:val="es-ES_tradnl"/>
        </w:rPr>
        <w:t> </w:t>
      </w:r>
      <w:r w:rsidRPr="0056409E">
        <w:rPr>
          <w:lang w:val="es-ES_tradnl"/>
        </w:rPr>
        <w:t>/(4</w:t>
      </w:r>
      <w:r w:rsidRPr="0056409E">
        <w:rPr>
          <w:rFonts w:ascii="Symbol" w:hAnsi="Symbol"/>
          <w:lang w:val="es-ES_tradnl"/>
        </w:rPr>
        <w:t></w:t>
      </w:r>
      <w:r w:rsidRPr="0056409E">
        <w:rPr>
          <w:lang w:val="es-ES_tradnl"/>
        </w:rPr>
        <w:t xml:space="preserve"> </w:t>
      </w:r>
      <w:r w:rsidRPr="0056409E">
        <w:rPr>
          <w:i/>
          <w:iCs/>
          <w:lang w:val="es-ES_tradnl"/>
        </w:rPr>
        <w:t>r</w:t>
      </w:r>
      <w:r w:rsidRPr="0056409E">
        <w:rPr>
          <w:vertAlign w:val="superscript"/>
          <w:lang w:val="es-ES_tradnl"/>
        </w:rPr>
        <w:t>2</w:t>
      </w:r>
      <w:r w:rsidRPr="0056409E">
        <w:rPr>
          <w:lang w:val="es-ES_tradnl"/>
        </w:rPr>
        <w:t>)</w:t>
      </w:r>
      <w:r w:rsidRPr="0056409E">
        <w:rPr>
          <w:lang w:val="es-ES_tradnl"/>
        </w:rPr>
        <w:tab/>
        <w:t>(5)</w:t>
      </w:r>
    </w:p>
    <w:p w14:paraId="2377B999" w14:textId="77777777" w:rsidR="0086339D" w:rsidRPr="0056409E" w:rsidRDefault="0086339D" w:rsidP="0086339D">
      <w:pPr>
        <w:rPr>
          <w:lang w:val="es-ES_tradnl"/>
        </w:rPr>
      </w:pPr>
      <w:r w:rsidRPr="0056409E">
        <w:rPr>
          <w:lang w:val="es-ES_tradnl"/>
        </w:rPr>
        <w:t>siendo:</w:t>
      </w:r>
    </w:p>
    <w:p w14:paraId="4317E904" w14:textId="77777777" w:rsidR="0086339D" w:rsidRPr="0056409E" w:rsidRDefault="0086339D" w:rsidP="0086339D">
      <w:pPr>
        <w:pStyle w:val="Equationlegend"/>
        <w:rPr>
          <w:lang w:val="es-ES_tradnl"/>
        </w:rPr>
      </w:pPr>
      <w:r w:rsidRPr="0056409E">
        <w:rPr>
          <w:lang w:val="es-ES_tradnl"/>
        </w:rPr>
        <w:tab/>
      </w:r>
      <w:r w:rsidRPr="0056409E">
        <w:rPr>
          <w:i/>
          <w:iCs/>
          <w:lang w:val="es-ES_tradnl"/>
        </w:rPr>
        <w:t>G</w:t>
      </w:r>
      <w:r w:rsidRPr="0056409E">
        <w:rPr>
          <w:i/>
          <w:iCs/>
          <w:vertAlign w:val="subscript"/>
          <w:lang w:val="es-ES_tradnl"/>
        </w:rPr>
        <w:t>d</w:t>
      </w:r>
      <w:r w:rsidRPr="0056409E">
        <w:rPr>
          <w:rFonts w:ascii="Tms Rmn" w:hAnsi="Tms Rmn"/>
          <w:sz w:val="12"/>
          <w:lang w:val="es-ES_tradnl"/>
        </w:rPr>
        <w:t> </w:t>
      </w:r>
      <w:r w:rsidRPr="0056409E">
        <w:rPr>
          <w:lang w:val="es-ES_tradnl"/>
        </w:rPr>
        <w:t>:</w:t>
      </w:r>
      <w:r w:rsidRPr="0056409E">
        <w:rPr>
          <w:lang w:val="es-ES_tradnl"/>
        </w:rPr>
        <w:tab/>
        <w:t>ganancia de la antena con respecto a un dipolo de media onda.</w:t>
      </w:r>
    </w:p>
    <w:p w14:paraId="07530E68" w14:textId="77777777" w:rsidR="0086339D" w:rsidRPr="0056409E" w:rsidRDefault="0086339D" w:rsidP="0086339D">
      <w:pPr>
        <w:rPr>
          <w:lang w:val="es-ES_tradnl"/>
        </w:rPr>
      </w:pPr>
      <w:r w:rsidRPr="0056409E">
        <w:rPr>
          <w:lang w:val="es-ES_tradnl"/>
        </w:rPr>
        <w:t xml:space="preserve">De forma similar, cuando la ganancia de la antena </w:t>
      </w:r>
      <w:r w:rsidRPr="0056409E">
        <w:rPr>
          <w:i/>
          <w:iCs/>
          <w:lang w:val="es-ES_tradnl"/>
        </w:rPr>
        <w:t>G</w:t>
      </w:r>
      <w:r w:rsidRPr="0056409E">
        <w:rPr>
          <w:i/>
          <w:iCs/>
          <w:vertAlign w:val="subscript"/>
          <w:lang w:val="es-ES_tradnl"/>
        </w:rPr>
        <w:t>a</w:t>
      </w:r>
      <w:r w:rsidRPr="0056409E">
        <w:rPr>
          <w:lang w:val="es-ES_tradnl"/>
        </w:rPr>
        <w:t xml:space="preserve"> </w:t>
      </w:r>
      <w:r w:rsidRPr="0056409E">
        <w:rPr>
          <w:rFonts w:ascii="Symbol" w:hAnsi="Symbol"/>
          <w:lang w:val="es-ES_tradnl"/>
        </w:rPr>
        <w:t></w:t>
      </w:r>
      <w:r w:rsidRPr="0056409E">
        <w:rPr>
          <w:lang w:val="es-ES_tradnl"/>
        </w:rPr>
        <w:t xml:space="preserve"> </w:t>
      </w:r>
      <w:r w:rsidRPr="0056409E">
        <w:rPr>
          <w:i/>
          <w:iCs/>
          <w:lang w:val="es-ES_tradnl"/>
        </w:rPr>
        <w:t>G</w:t>
      </w:r>
      <w:r w:rsidRPr="0056409E">
        <w:rPr>
          <w:i/>
          <w:iCs/>
          <w:vertAlign w:val="subscript"/>
          <w:lang w:val="es-ES_tradnl"/>
        </w:rPr>
        <w:t>m</w:t>
      </w:r>
      <w:r w:rsidRPr="0056409E">
        <w:rPr>
          <w:lang w:val="es-ES_tradnl"/>
        </w:rPr>
        <w:t xml:space="preserve"> se expresa con respecto a la de un monopolo corto:</w:t>
      </w:r>
    </w:p>
    <w:p w14:paraId="185C57FE" w14:textId="77777777" w:rsidR="0086339D" w:rsidRPr="0056409E" w:rsidRDefault="0086339D" w:rsidP="0086339D">
      <w:pPr>
        <w:pStyle w:val="Equation"/>
        <w:rPr>
          <w:lang w:val="es-ES_tradnl"/>
        </w:rPr>
      </w:pPr>
      <w:r w:rsidRPr="0056409E">
        <w:rPr>
          <w:lang w:val="es-ES_tradnl"/>
        </w:rPr>
        <w:tab/>
      </w:r>
      <w:r w:rsidRPr="0056409E">
        <w:rPr>
          <w:lang w:val="es-ES_tradnl"/>
        </w:rPr>
        <w:tab/>
      </w:r>
      <w:r w:rsidRPr="0056409E">
        <w:rPr>
          <w:i/>
          <w:iCs/>
          <w:lang w:val="es-ES_tradnl"/>
        </w:rPr>
        <w:t>S</w:t>
      </w:r>
      <w:r w:rsidRPr="0056409E">
        <w:rPr>
          <w:lang w:val="es-ES_tradnl"/>
        </w:rPr>
        <w:t xml:space="preserve"> </w:t>
      </w:r>
      <w:r w:rsidRPr="0056409E">
        <w:rPr>
          <w:rFonts w:ascii="Symbol" w:hAnsi="Symbol"/>
          <w:lang w:val="es-ES_tradnl"/>
        </w:rPr>
        <w:t></w:t>
      </w:r>
      <w:r w:rsidRPr="0056409E">
        <w:rPr>
          <w:lang w:val="es-ES_tradnl"/>
        </w:rPr>
        <w:t xml:space="preserve"> 3,0 </w:t>
      </w:r>
      <w:r w:rsidRPr="0056409E">
        <w:rPr>
          <w:i/>
          <w:iCs/>
          <w:lang w:val="es-ES_tradnl"/>
        </w:rPr>
        <w:t>PG</w:t>
      </w:r>
      <w:r w:rsidRPr="0056409E">
        <w:rPr>
          <w:i/>
          <w:iCs/>
          <w:vertAlign w:val="subscript"/>
          <w:lang w:val="es-ES_tradnl"/>
        </w:rPr>
        <w:t>m</w:t>
      </w:r>
      <w:r w:rsidRPr="0056409E">
        <w:rPr>
          <w:vertAlign w:val="subscript"/>
          <w:lang w:val="es-ES_tradnl"/>
        </w:rPr>
        <w:t xml:space="preserve"> </w:t>
      </w:r>
      <w:r w:rsidRPr="0056409E">
        <w:rPr>
          <w:lang w:val="es-ES_tradnl"/>
        </w:rPr>
        <w:t>/(4</w:t>
      </w:r>
      <w:r w:rsidRPr="0056409E">
        <w:rPr>
          <w:rFonts w:ascii="Symbol" w:hAnsi="Symbol"/>
          <w:lang w:val="es-ES_tradnl"/>
        </w:rPr>
        <w:sym w:font="Symbol" w:char="F070"/>
      </w:r>
      <w:r w:rsidRPr="0056409E">
        <w:rPr>
          <w:lang w:val="es-ES_tradnl"/>
        </w:rPr>
        <w:t xml:space="preserve"> </w:t>
      </w:r>
      <w:r w:rsidRPr="0056409E">
        <w:rPr>
          <w:i/>
          <w:iCs/>
          <w:lang w:val="es-ES_tradnl"/>
        </w:rPr>
        <w:t>r</w:t>
      </w:r>
      <w:r w:rsidRPr="0056409E">
        <w:rPr>
          <w:vertAlign w:val="superscript"/>
          <w:lang w:val="es-ES_tradnl"/>
        </w:rPr>
        <w:t>2</w:t>
      </w:r>
      <w:r w:rsidRPr="0056409E">
        <w:rPr>
          <w:lang w:val="es-ES_tradnl"/>
        </w:rPr>
        <w:t>)</w:t>
      </w:r>
      <w:r w:rsidRPr="0056409E">
        <w:rPr>
          <w:lang w:val="es-ES_tradnl"/>
        </w:rPr>
        <w:tab/>
        <w:t>(6)</w:t>
      </w:r>
    </w:p>
    <w:p w14:paraId="29A86532" w14:textId="77777777" w:rsidR="0086339D" w:rsidRPr="0056409E" w:rsidRDefault="0086339D" w:rsidP="0086339D">
      <w:pPr>
        <w:rPr>
          <w:lang w:val="es-ES_tradnl"/>
        </w:rPr>
      </w:pPr>
      <w:r w:rsidRPr="0056409E">
        <w:rPr>
          <w:lang w:val="es-ES_tradnl"/>
        </w:rPr>
        <w:t>siendo:</w:t>
      </w:r>
    </w:p>
    <w:p w14:paraId="3C3EF24D" w14:textId="77777777" w:rsidR="0086339D" w:rsidRPr="0056409E" w:rsidRDefault="0086339D" w:rsidP="0086339D">
      <w:pPr>
        <w:pStyle w:val="Equationlegend"/>
        <w:rPr>
          <w:lang w:val="es-ES_tradnl"/>
        </w:rPr>
      </w:pPr>
      <w:r w:rsidRPr="0056409E">
        <w:rPr>
          <w:lang w:val="es-ES_tradnl"/>
        </w:rPr>
        <w:tab/>
      </w:r>
      <w:r w:rsidRPr="0056409E">
        <w:rPr>
          <w:i/>
          <w:iCs/>
          <w:lang w:val="es-ES_tradnl"/>
        </w:rPr>
        <w:t>G</w:t>
      </w:r>
      <w:r w:rsidRPr="0056409E">
        <w:rPr>
          <w:i/>
          <w:iCs/>
          <w:vertAlign w:val="subscript"/>
          <w:lang w:val="es-ES_tradnl"/>
        </w:rPr>
        <w:t>m</w:t>
      </w:r>
      <w:r w:rsidRPr="0056409E">
        <w:rPr>
          <w:rFonts w:ascii="Tms Rmn" w:hAnsi="Tms Rmn"/>
          <w:sz w:val="12"/>
          <w:lang w:val="es-ES_tradnl"/>
        </w:rPr>
        <w:t> </w:t>
      </w:r>
      <w:r w:rsidRPr="0056409E">
        <w:rPr>
          <w:lang w:val="es-ES_tradnl"/>
        </w:rPr>
        <w:t xml:space="preserve">: </w:t>
      </w:r>
      <w:r w:rsidRPr="0056409E">
        <w:rPr>
          <w:lang w:val="es-ES_tradnl"/>
        </w:rPr>
        <w:tab/>
        <w:t>ganancia de la antena con respecto a un monopolo corto.</w:t>
      </w:r>
    </w:p>
    <w:p w14:paraId="55E24438" w14:textId="239AB11E" w:rsidR="0086339D" w:rsidRPr="0056409E" w:rsidRDefault="0086339D" w:rsidP="0086339D">
      <w:pPr>
        <w:pStyle w:val="Heading4"/>
        <w:rPr>
          <w:lang w:val="es-ES_tradnl"/>
        </w:rPr>
      </w:pPr>
      <w:r w:rsidRPr="0056409E">
        <w:rPr>
          <w:lang w:val="es-ES_tradnl"/>
        </w:rPr>
        <w:t>2.1.2.2</w:t>
      </w:r>
      <w:r w:rsidRPr="0056409E">
        <w:rPr>
          <w:lang w:val="es-ES_tradnl"/>
        </w:rPr>
        <w:tab/>
        <w:t>Intensidad de campo</w:t>
      </w:r>
    </w:p>
    <w:p w14:paraId="646006C9" w14:textId="77777777" w:rsidR="0086339D" w:rsidRPr="0056409E" w:rsidRDefault="0086339D" w:rsidP="0086339D">
      <w:pPr>
        <w:rPr>
          <w:lang w:val="es-ES_tradnl"/>
        </w:rPr>
      </w:pPr>
      <w:r w:rsidRPr="0056409E">
        <w:rPr>
          <w:lang w:val="es-ES_tradnl"/>
        </w:rPr>
        <w:t>Las ecuaciones (2) a (10) suponen condiciones de onda plana (campo lejano) en el espacio libre y no son aplicables a los cálculos de campo cercano.</w:t>
      </w:r>
    </w:p>
    <w:p w14:paraId="52F1432E" w14:textId="77777777" w:rsidR="0086339D" w:rsidRPr="0056409E" w:rsidRDefault="0086339D" w:rsidP="0086339D">
      <w:pPr>
        <w:rPr>
          <w:lang w:val="es-ES_tradnl"/>
        </w:rPr>
      </w:pPr>
      <w:r w:rsidRPr="0056409E">
        <w:rPr>
          <w:lang w:val="es-ES_tradnl"/>
        </w:rPr>
        <w:t xml:space="preserve">Si se combinan las ecuaciones (2) y (3) para eliminar </w:t>
      </w:r>
      <w:r w:rsidRPr="0056409E">
        <w:rPr>
          <w:i/>
          <w:iCs/>
          <w:lang w:val="es-ES_tradnl"/>
        </w:rPr>
        <w:t>S</w:t>
      </w:r>
      <w:r w:rsidRPr="0056409E">
        <w:rPr>
          <w:lang w:val="es-ES_tradnl"/>
        </w:rPr>
        <w:t xml:space="preserve"> y se introduce un factor </w:t>
      </w:r>
      <w:r w:rsidRPr="0056409E">
        <w:rPr>
          <w:i/>
          <w:iCs/>
          <w:lang w:val="es-ES_tradnl"/>
        </w:rPr>
        <w:t>C</w:t>
      </w:r>
      <w:r w:rsidRPr="0056409E">
        <w:rPr>
          <w:lang w:val="es-ES_tradnl"/>
        </w:rPr>
        <w:t xml:space="preserve"> para tener en cuenta las características directivas de la fuente de emisión, se obtiene la ecuación (7) para la intensidad de campo eléctrico (E) en el campo lejano de una fuente de emisión:</w:t>
      </w:r>
    </w:p>
    <w:p w14:paraId="0CAB26B6" w14:textId="77777777" w:rsidR="0086339D" w:rsidRPr="0056409E" w:rsidRDefault="0086339D" w:rsidP="0086339D">
      <w:pPr>
        <w:pStyle w:val="Equation"/>
        <w:rPr>
          <w:lang w:val="es-ES_tradnl"/>
        </w:rPr>
      </w:pPr>
      <w:r w:rsidRPr="0056409E">
        <w:rPr>
          <w:lang w:val="es-ES_tradnl"/>
        </w:rPr>
        <w:lastRenderedPageBreak/>
        <w:tab/>
      </w:r>
      <w:r w:rsidRPr="0056409E">
        <w:rPr>
          <w:lang w:val="es-ES_tradnl"/>
        </w:rPr>
        <w:tab/>
      </w:r>
      <w:r w:rsidRPr="0056409E">
        <w:rPr>
          <w:position w:val="-26"/>
          <w:lang w:val="es-ES_tradnl"/>
        </w:rPr>
        <w:object w:dxaOrig="3320" w:dyaOrig="720" w14:anchorId="1690B3E8">
          <v:shape id="_x0000_i1217" type="#_x0000_t75" style="width:165.75pt;height:36pt" o:ole="">
            <v:imagedata r:id="rId29" o:title=""/>
          </v:shape>
          <o:OLEObject Type="Embed" ProgID="Equation.3" ShapeID="_x0000_i1217" DrawAspect="Content" ObjectID="_1773141082" r:id="rId30"/>
        </w:object>
      </w:r>
      <w:r w:rsidRPr="0056409E">
        <w:rPr>
          <w:lang w:val="es-ES_tradnl"/>
        </w:rPr>
        <w:tab/>
        <w:t>(7)</w:t>
      </w:r>
    </w:p>
    <w:p w14:paraId="1CF8D648" w14:textId="77777777" w:rsidR="0086339D" w:rsidRPr="0056409E" w:rsidRDefault="0086339D" w:rsidP="0086339D">
      <w:pPr>
        <w:rPr>
          <w:lang w:val="es-ES_tradnl"/>
        </w:rPr>
      </w:pPr>
      <w:r w:rsidRPr="0056409E">
        <w:rPr>
          <w:lang w:val="es-ES_tradnl"/>
        </w:rPr>
        <w:t>siendo:</w:t>
      </w:r>
    </w:p>
    <w:p w14:paraId="11414A8C" w14:textId="77777777" w:rsidR="0086339D" w:rsidRPr="0056409E" w:rsidRDefault="0086339D" w:rsidP="0086339D">
      <w:pPr>
        <w:pStyle w:val="Equationlegend"/>
        <w:rPr>
          <w:lang w:val="es-ES_tradnl"/>
        </w:rPr>
      </w:pPr>
      <w:r w:rsidRPr="0056409E">
        <w:rPr>
          <w:lang w:val="es-ES_tradnl"/>
        </w:rPr>
        <w:tab/>
      </w:r>
      <w:r w:rsidRPr="0056409E">
        <w:rPr>
          <w:i/>
          <w:iCs/>
          <w:lang w:val="es-ES_tradnl"/>
        </w:rPr>
        <w:t>E</w:t>
      </w:r>
      <w:r w:rsidRPr="0056409E">
        <w:rPr>
          <w:rFonts w:ascii="Tms Rmn" w:hAnsi="Tms Rmn"/>
          <w:sz w:val="12"/>
          <w:lang w:val="es-ES_tradnl"/>
        </w:rPr>
        <w:t> </w:t>
      </w:r>
      <w:r w:rsidRPr="0056409E">
        <w:rPr>
          <w:lang w:val="es-ES_tradnl"/>
        </w:rPr>
        <w:t>:</w:t>
      </w:r>
      <w:r w:rsidRPr="0056409E">
        <w:rPr>
          <w:lang w:val="es-ES_tradnl"/>
        </w:rPr>
        <w:tab/>
        <w:t xml:space="preserve">intensidad de campo eléctrico (V/m) </w:t>
      </w:r>
    </w:p>
    <w:p w14:paraId="10D58DCA" w14:textId="02951A7C" w:rsidR="0086339D" w:rsidRPr="0056409E" w:rsidRDefault="0086339D" w:rsidP="0086339D">
      <w:pPr>
        <w:pStyle w:val="Equationlegend"/>
        <w:tabs>
          <w:tab w:val="clear" w:pos="1985"/>
          <w:tab w:val="left" w:pos="1800"/>
        </w:tabs>
        <w:rPr>
          <w:lang w:val="es-ES_tradnl"/>
        </w:rPr>
      </w:pPr>
      <w:r w:rsidRPr="0056409E">
        <w:rPr>
          <w:lang w:val="es-ES_tradnl"/>
        </w:rPr>
        <w:tab/>
      </w:r>
      <w:r w:rsidRPr="0056409E">
        <w:rPr>
          <w:i/>
          <w:iCs/>
          <w:lang w:val="es-ES_tradnl"/>
        </w:rPr>
        <w:t>Z</w:t>
      </w:r>
      <w:r w:rsidRPr="0056409E">
        <w:rPr>
          <w:vertAlign w:val="subscript"/>
          <w:lang w:val="es-ES_tradnl"/>
        </w:rPr>
        <w:t>0</w:t>
      </w:r>
      <w:r w:rsidRPr="0056409E">
        <w:rPr>
          <w:sz w:val="20"/>
          <w:lang w:val="es-ES_tradnl"/>
        </w:rPr>
        <w:t xml:space="preserve"> </w:t>
      </w:r>
      <w:r w:rsidRPr="0056409E">
        <w:rPr>
          <w:sz w:val="20"/>
          <w:lang w:val="es-ES_tradnl"/>
        </w:rPr>
        <w:tab/>
      </w:r>
      <w:r w:rsidRPr="0056409E">
        <w:rPr>
          <w:rFonts w:ascii="Symbol" w:hAnsi="Symbol"/>
          <w:lang w:val="es-ES_tradnl"/>
        </w:rPr>
        <w:t></w:t>
      </w:r>
      <w:r w:rsidRPr="0056409E">
        <w:rPr>
          <w:lang w:val="es-ES_tradnl"/>
        </w:rPr>
        <w:t xml:space="preserve"> 120 π (alrededor </w:t>
      </w:r>
      <w:r w:rsidRPr="00C54311">
        <w:rPr>
          <w:lang w:val="es-ES_tradnl"/>
        </w:rPr>
        <w:t>de 377</w:t>
      </w:r>
      <w:r w:rsidR="00641BDC" w:rsidRPr="00C54311">
        <w:rPr>
          <w:rFonts w:ascii="Symbol" w:hAnsi="Symbol"/>
          <w:lang w:val="es-ES_tradnl"/>
        </w:rPr>
        <w:t></w:t>
      </w:r>
      <w:r w:rsidRPr="00C54311">
        <w:rPr>
          <w:rFonts w:ascii="Symbol" w:hAnsi="Symbol"/>
          <w:lang w:val="es-ES_tradnl"/>
        </w:rPr>
        <w:t>)</w:t>
      </w:r>
      <w:r w:rsidR="00641BDC">
        <w:rPr>
          <w:rFonts w:ascii="Symbol" w:hAnsi="Symbol"/>
          <w:lang w:val="es-ES_tradnl"/>
        </w:rPr>
        <w:t xml:space="preserve">, </w:t>
      </w:r>
      <w:r w:rsidRPr="00C54311">
        <w:rPr>
          <w:lang w:val="es-ES_tradnl"/>
        </w:rPr>
        <w:t>la</w:t>
      </w:r>
      <w:r w:rsidRPr="0056409E">
        <w:rPr>
          <w:lang w:val="es-ES_tradnl"/>
        </w:rPr>
        <w:t xml:space="preserve"> impedancia característica en el espacio libre</w:t>
      </w:r>
    </w:p>
    <w:p w14:paraId="6BAD494F" w14:textId="77777777" w:rsidR="0086339D" w:rsidRPr="0056409E" w:rsidRDefault="0086339D" w:rsidP="0086339D">
      <w:pPr>
        <w:pStyle w:val="Equationlegend"/>
        <w:rPr>
          <w:lang w:val="es-ES_tradnl"/>
        </w:rPr>
      </w:pPr>
      <w:r w:rsidRPr="0056409E">
        <w:rPr>
          <w:i/>
          <w:iCs/>
          <w:lang w:val="es-ES_tradnl"/>
        </w:rPr>
        <w:tab/>
        <w:t>P</w:t>
      </w:r>
      <w:r w:rsidRPr="0056409E">
        <w:rPr>
          <w:rFonts w:ascii="Tms Rmn" w:hAnsi="Tms Rmn"/>
          <w:sz w:val="12"/>
          <w:lang w:val="es-ES_tradnl"/>
        </w:rPr>
        <w:t> </w:t>
      </w:r>
      <w:r w:rsidRPr="0056409E">
        <w:rPr>
          <w:lang w:val="es-ES_tradnl"/>
        </w:rPr>
        <w:t>:</w:t>
      </w:r>
      <w:r w:rsidRPr="0056409E">
        <w:rPr>
          <w:lang w:val="es-ES_tradnl"/>
        </w:rPr>
        <w:tab/>
        <w:t>potencia aplicada a la fuente de radiación (W) suponiendo un sistema sin pérdidas</w:t>
      </w:r>
    </w:p>
    <w:p w14:paraId="71E24E1D" w14:textId="77777777" w:rsidR="0086339D" w:rsidRPr="0056409E" w:rsidRDefault="0086339D" w:rsidP="0086339D">
      <w:pPr>
        <w:pStyle w:val="Equationlegend"/>
        <w:rPr>
          <w:lang w:val="es-ES_tradnl"/>
        </w:rPr>
      </w:pPr>
      <w:r w:rsidRPr="0056409E">
        <w:rPr>
          <w:lang w:val="es-ES_tradnl"/>
        </w:rPr>
        <w:tab/>
      </w:r>
      <w:r w:rsidRPr="0056409E">
        <w:rPr>
          <w:i/>
          <w:iCs/>
          <w:lang w:val="es-ES_tradnl"/>
        </w:rPr>
        <w:t>C</w:t>
      </w:r>
      <w:r w:rsidRPr="0056409E">
        <w:rPr>
          <w:rFonts w:ascii="Tms Rmn" w:hAnsi="Tms Rmn"/>
          <w:sz w:val="12"/>
          <w:lang w:val="es-ES_tradnl"/>
        </w:rPr>
        <w:t> </w:t>
      </w:r>
      <w:r w:rsidRPr="0056409E">
        <w:rPr>
          <w:lang w:val="es-ES_tradnl"/>
        </w:rPr>
        <w:t>:</w:t>
      </w:r>
      <w:r w:rsidRPr="0056409E">
        <w:rPr>
          <w:lang w:val="es-ES_tradnl"/>
        </w:rPr>
        <w:tab/>
        <w:t xml:space="preserve">factor (0 </w:t>
      </w:r>
      <w:r w:rsidRPr="0056409E">
        <w:rPr>
          <w:rFonts w:ascii="Symbol" w:hAnsi="Symbol"/>
          <w:lang w:val="es-ES_tradnl"/>
        </w:rPr>
        <w:sym w:font="Symbol" w:char="F0A3"/>
      </w:r>
      <w:r w:rsidRPr="0056409E">
        <w:rPr>
          <w:lang w:val="es-ES_tradnl"/>
        </w:rPr>
        <w:t xml:space="preserve"> </w:t>
      </w:r>
      <w:r w:rsidRPr="0056409E">
        <w:rPr>
          <w:i/>
          <w:iCs/>
          <w:lang w:val="es-ES_tradnl"/>
        </w:rPr>
        <w:t>C</w:t>
      </w:r>
      <w:r w:rsidRPr="0056409E">
        <w:rPr>
          <w:lang w:val="es-ES_tradnl"/>
        </w:rPr>
        <w:t xml:space="preserve"> </w:t>
      </w:r>
      <w:r w:rsidRPr="0056409E">
        <w:rPr>
          <w:i/>
          <w:iCs/>
          <w:lang w:val="es-ES_tradnl"/>
        </w:rPr>
        <w:sym w:font="Symbol" w:char="F0A3"/>
      </w:r>
      <w:r w:rsidRPr="0056409E">
        <w:rPr>
          <w:lang w:val="es-ES_tradnl"/>
        </w:rPr>
        <w:t xml:space="preserve"> 1) que tiene en cuenta las características directivas de la antena (en la dirección principal de radiación, </w:t>
      </w:r>
      <w:r w:rsidRPr="0056409E">
        <w:rPr>
          <w:i/>
          <w:iCs/>
          <w:lang w:val="es-ES_tradnl"/>
        </w:rPr>
        <w:t>C</w:t>
      </w:r>
      <w:r w:rsidRPr="0056409E">
        <w:rPr>
          <w:lang w:val="es-ES_tradnl"/>
        </w:rPr>
        <w:t xml:space="preserve"> </w:t>
      </w:r>
      <w:r w:rsidRPr="0056409E">
        <w:rPr>
          <w:rFonts w:ascii="Symbol" w:hAnsi="Symbol"/>
          <w:lang w:val="es-ES_tradnl"/>
        </w:rPr>
        <w:t></w:t>
      </w:r>
      <w:r w:rsidRPr="0056409E">
        <w:rPr>
          <w:lang w:val="es-ES_tradnl"/>
        </w:rPr>
        <w:t xml:space="preserve"> 1). </w:t>
      </w:r>
    </w:p>
    <w:p w14:paraId="11DB9677" w14:textId="77777777" w:rsidR="0086339D" w:rsidRPr="0056409E" w:rsidRDefault="0086339D" w:rsidP="0086339D">
      <w:pPr>
        <w:rPr>
          <w:iCs/>
          <w:lang w:val="es-ES_tradnl"/>
        </w:rPr>
      </w:pPr>
      <w:r w:rsidRPr="0056409E">
        <w:rPr>
          <w:lang w:val="es-ES_tradnl"/>
        </w:rPr>
        <w:t xml:space="preserve">Si la ganancia de la antena se expresa con respecto a un dipolo de media onda o a un monopolo corto, en vez de un radiador isótropo, deben utilizarse los factores </w:t>
      </w:r>
      <w:r w:rsidRPr="0056409E">
        <w:rPr>
          <w:i/>
          <w:lang w:val="es-ES_tradnl"/>
        </w:rPr>
        <w:t>G</w:t>
      </w:r>
      <w:r w:rsidRPr="0056409E">
        <w:rPr>
          <w:i/>
          <w:vertAlign w:val="subscript"/>
          <w:lang w:val="es-ES_tradnl"/>
        </w:rPr>
        <w:t>d</w:t>
      </w:r>
      <w:r w:rsidRPr="0056409E">
        <w:rPr>
          <w:i/>
          <w:lang w:val="es-ES_tradnl"/>
        </w:rPr>
        <w:t xml:space="preserve"> </w:t>
      </w:r>
      <w:r w:rsidRPr="0056409E">
        <w:rPr>
          <w:lang w:val="es-ES_tradnl"/>
        </w:rPr>
        <w:t>o </w:t>
      </w:r>
      <w:r w:rsidRPr="0056409E">
        <w:rPr>
          <w:i/>
          <w:lang w:val="es-ES_tradnl"/>
        </w:rPr>
        <w:t>G</w:t>
      </w:r>
      <w:r w:rsidRPr="0056409E">
        <w:rPr>
          <w:i/>
          <w:vertAlign w:val="subscript"/>
          <w:lang w:val="es-ES_tradnl"/>
        </w:rPr>
        <w:t>m</w:t>
      </w:r>
      <w:r w:rsidRPr="0056409E">
        <w:rPr>
          <w:i/>
          <w:lang w:val="es-ES_tradnl"/>
        </w:rPr>
        <w:t>,</w:t>
      </w:r>
      <w:r w:rsidRPr="0056409E">
        <w:rPr>
          <w:iCs/>
          <w:lang w:val="es-ES_tradnl"/>
        </w:rPr>
        <w:t xml:space="preserve"> </w:t>
      </w:r>
      <w:r w:rsidRPr="0056409E">
        <w:rPr>
          <w:lang w:val="es-ES_tradnl"/>
        </w:rPr>
        <w:t>respectivamente, en lugar de </w:t>
      </w:r>
      <w:r w:rsidRPr="0056409E">
        <w:rPr>
          <w:i/>
          <w:iCs/>
          <w:lang w:val="es-ES_tradnl"/>
        </w:rPr>
        <w:t>G</w:t>
      </w:r>
      <w:r w:rsidRPr="0056409E">
        <w:rPr>
          <w:i/>
          <w:iCs/>
          <w:vertAlign w:val="subscript"/>
          <w:lang w:val="es-ES_tradnl"/>
        </w:rPr>
        <w:t>i</w:t>
      </w:r>
      <w:r w:rsidRPr="0056409E">
        <w:rPr>
          <w:lang w:val="es-ES_tradnl"/>
        </w:rPr>
        <w:t>, como se indica en las ecuaciones (</w:t>
      </w:r>
      <w:r w:rsidRPr="0056409E">
        <w:rPr>
          <w:iCs/>
          <w:lang w:val="es-ES_tradnl"/>
        </w:rPr>
        <w:t>8) y (9).</w:t>
      </w:r>
    </w:p>
    <w:p w14:paraId="3028044F" w14:textId="77777777" w:rsidR="0086339D" w:rsidRPr="0056409E" w:rsidRDefault="0086339D" w:rsidP="0086339D">
      <w:pPr>
        <w:pStyle w:val="Equation"/>
        <w:rPr>
          <w:i/>
          <w:lang w:val="es-ES_tradnl"/>
        </w:rPr>
      </w:pPr>
      <w:r w:rsidRPr="0056409E">
        <w:rPr>
          <w:lang w:val="es-ES_tradnl"/>
        </w:rPr>
        <w:tab/>
      </w:r>
      <w:r w:rsidRPr="0056409E">
        <w:rPr>
          <w:lang w:val="es-ES_tradnl"/>
        </w:rPr>
        <w:tab/>
      </w:r>
      <w:r w:rsidRPr="0056409E">
        <w:rPr>
          <w:position w:val="-26"/>
          <w:lang w:val="es-ES_tradnl"/>
        </w:rPr>
        <w:object w:dxaOrig="4020" w:dyaOrig="720" w14:anchorId="48529769">
          <v:shape id="_x0000_i1218" type="#_x0000_t75" style="width:201.05pt;height:36pt" o:ole="">
            <v:imagedata r:id="rId31" o:title=""/>
          </v:shape>
          <o:OLEObject Type="Embed" ProgID="Equation.3" ShapeID="_x0000_i1218" DrawAspect="Content" ObjectID="_1773141083" r:id="rId32"/>
        </w:object>
      </w:r>
      <w:r w:rsidRPr="0056409E">
        <w:rPr>
          <w:lang w:val="es-ES_tradnl"/>
        </w:rPr>
        <w:tab/>
        <w:t>(8)</w:t>
      </w:r>
    </w:p>
    <w:p w14:paraId="0A3A2391" w14:textId="77777777" w:rsidR="0086339D" w:rsidRPr="0056409E" w:rsidRDefault="0086339D" w:rsidP="0086339D">
      <w:pPr>
        <w:pStyle w:val="Equation"/>
        <w:rPr>
          <w:iCs/>
          <w:lang w:val="es-ES_tradnl"/>
        </w:rPr>
      </w:pPr>
      <w:r w:rsidRPr="0056409E">
        <w:rPr>
          <w:lang w:val="es-ES_tradnl"/>
        </w:rPr>
        <w:tab/>
      </w:r>
      <w:r w:rsidRPr="0056409E">
        <w:rPr>
          <w:lang w:val="es-ES_tradnl"/>
        </w:rPr>
        <w:tab/>
      </w:r>
      <w:r w:rsidRPr="0056409E">
        <w:rPr>
          <w:position w:val="-26"/>
          <w:lang w:val="es-ES_tradnl"/>
        </w:rPr>
        <w:object w:dxaOrig="3600" w:dyaOrig="720" w14:anchorId="23875F9A">
          <v:shape id="_x0000_i1219" type="#_x0000_t75" style="width:180.7pt;height:36pt" o:ole="">
            <v:imagedata r:id="rId33" o:title=""/>
          </v:shape>
          <o:OLEObject Type="Embed" ProgID="Equation.3" ShapeID="_x0000_i1219" DrawAspect="Content" ObjectID="_1773141084" r:id="rId34"/>
        </w:object>
      </w:r>
      <w:r w:rsidRPr="0056409E">
        <w:rPr>
          <w:lang w:val="es-ES_tradnl"/>
        </w:rPr>
        <w:tab/>
        <w:t>(9)</w:t>
      </w:r>
    </w:p>
    <w:p w14:paraId="7373357C" w14:textId="77777777" w:rsidR="0086339D" w:rsidRPr="0056409E" w:rsidRDefault="0086339D" w:rsidP="0086339D">
      <w:pPr>
        <w:rPr>
          <w:lang w:val="es-ES_tradnl"/>
        </w:rPr>
      </w:pPr>
      <w:r w:rsidRPr="0056409E">
        <w:rPr>
          <w:lang w:val="es-ES_tradnl"/>
        </w:rPr>
        <w:t>Para calcular la intensidad de campo magnético en el campo lejano de una fuente de radiación, se utiliza la ecuación (10).</w:t>
      </w:r>
    </w:p>
    <w:p w14:paraId="25D7BEA6" w14:textId="77777777" w:rsidR="0086339D" w:rsidRPr="0056409E" w:rsidRDefault="0086339D" w:rsidP="0086339D">
      <w:pPr>
        <w:pStyle w:val="Equation"/>
        <w:rPr>
          <w:lang w:val="es-ES_tradnl"/>
        </w:rPr>
      </w:pPr>
      <w:r w:rsidRPr="0056409E">
        <w:rPr>
          <w:lang w:val="es-ES_tradnl"/>
        </w:rPr>
        <w:tab/>
      </w:r>
      <w:r w:rsidRPr="0056409E">
        <w:rPr>
          <w:lang w:val="es-ES_tradnl"/>
        </w:rPr>
        <w:tab/>
      </w:r>
      <w:r w:rsidRPr="0056409E">
        <w:rPr>
          <w:i/>
          <w:iCs/>
          <w:lang w:val="es-ES_tradnl"/>
        </w:rPr>
        <w:t>H</w:t>
      </w:r>
      <w:r w:rsidRPr="0056409E">
        <w:rPr>
          <w:lang w:val="es-ES_tradnl"/>
        </w:rPr>
        <w:t xml:space="preserve"> </w:t>
      </w:r>
      <w:r w:rsidRPr="0056409E">
        <w:rPr>
          <w:rFonts w:ascii="Symbol" w:hAnsi="Symbol"/>
          <w:lang w:val="es-ES_tradnl"/>
        </w:rPr>
        <w:t></w:t>
      </w:r>
      <w:r w:rsidRPr="0056409E">
        <w:rPr>
          <w:lang w:val="es-ES_tradnl"/>
        </w:rPr>
        <w:t xml:space="preserve"> </w:t>
      </w:r>
      <w:r w:rsidRPr="0056409E">
        <w:rPr>
          <w:i/>
          <w:iCs/>
          <w:lang w:val="es-ES_tradnl"/>
        </w:rPr>
        <w:t>E</w:t>
      </w:r>
      <w:r w:rsidRPr="0056409E">
        <w:rPr>
          <w:lang w:val="es-ES_tradnl"/>
        </w:rPr>
        <w:t>/</w:t>
      </w:r>
      <w:r w:rsidRPr="0056409E">
        <w:rPr>
          <w:i/>
          <w:iCs/>
          <w:lang w:val="es-ES_tradnl"/>
        </w:rPr>
        <w:t>Z</w:t>
      </w:r>
      <w:r w:rsidRPr="0056409E">
        <w:rPr>
          <w:vertAlign w:val="subscript"/>
          <w:lang w:val="es-ES_tradnl"/>
        </w:rPr>
        <w:t>0</w:t>
      </w:r>
      <w:r w:rsidRPr="0056409E">
        <w:rPr>
          <w:vertAlign w:val="subscript"/>
          <w:lang w:val="es-ES_tradnl"/>
        </w:rPr>
        <w:tab/>
      </w:r>
      <w:r w:rsidRPr="0056409E">
        <w:rPr>
          <w:iCs/>
          <w:lang w:val="es-ES_tradnl"/>
        </w:rPr>
        <w:t>(</w:t>
      </w:r>
      <w:r w:rsidRPr="0056409E">
        <w:rPr>
          <w:lang w:val="es-ES_tradnl"/>
        </w:rPr>
        <w:t>10)</w:t>
      </w:r>
    </w:p>
    <w:p w14:paraId="60B9AFA8" w14:textId="77777777" w:rsidR="0086339D" w:rsidRPr="0056409E" w:rsidRDefault="0086339D" w:rsidP="0086339D">
      <w:pPr>
        <w:rPr>
          <w:lang w:val="es-ES_tradnl"/>
        </w:rPr>
      </w:pPr>
      <w:r w:rsidRPr="0056409E">
        <w:rPr>
          <w:lang w:val="es-ES_tradnl"/>
        </w:rPr>
        <w:t>siendo:</w:t>
      </w:r>
    </w:p>
    <w:p w14:paraId="4E94B990" w14:textId="77777777" w:rsidR="0086339D" w:rsidRPr="0056409E" w:rsidRDefault="0086339D" w:rsidP="0086339D">
      <w:pPr>
        <w:pStyle w:val="Equationlegend"/>
        <w:rPr>
          <w:lang w:val="es-ES_tradnl"/>
        </w:rPr>
      </w:pPr>
      <w:r w:rsidRPr="0056409E">
        <w:rPr>
          <w:lang w:val="es-ES_tradnl"/>
        </w:rPr>
        <w:tab/>
      </w:r>
      <w:r w:rsidRPr="0056409E">
        <w:rPr>
          <w:i/>
          <w:iCs/>
          <w:lang w:val="es-ES_tradnl"/>
        </w:rPr>
        <w:t>E</w:t>
      </w:r>
      <w:r w:rsidRPr="0056409E">
        <w:rPr>
          <w:rFonts w:ascii="Tms Rmn" w:hAnsi="Tms Rmn"/>
          <w:sz w:val="12"/>
          <w:lang w:val="es-ES_tradnl"/>
        </w:rPr>
        <w:t> </w:t>
      </w:r>
      <w:r w:rsidRPr="0056409E">
        <w:rPr>
          <w:lang w:val="es-ES_tradnl"/>
        </w:rPr>
        <w:t>:</w:t>
      </w:r>
      <w:r w:rsidRPr="0056409E">
        <w:rPr>
          <w:lang w:val="es-ES_tradnl"/>
        </w:rPr>
        <w:tab/>
        <w:t xml:space="preserve">la intensidad de campo eléctrico (V/m) </w:t>
      </w:r>
    </w:p>
    <w:p w14:paraId="3A9FBAFB" w14:textId="77777777" w:rsidR="0086339D" w:rsidRPr="0056409E" w:rsidRDefault="0086339D" w:rsidP="0086339D">
      <w:pPr>
        <w:pStyle w:val="Equationlegend"/>
        <w:rPr>
          <w:lang w:val="es-ES_tradnl"/>
        </w:rPr>
      </w:pPr>
      <w:r w:rsidRPr="0056409E">
        <w:rPr>
          <w:lang w:val="es-ES_tradnl"/>
        </w:rPr>
        <w:tab/>
      </w:r>
      <w:r w:rsidRPr="0056409E">
        <w:rPr>
          <w:i/>
          <w:iCs/>
          <w:lang w:val="es-ES_tradnl"/>
        </w:rPr>
        <w:t>H</w:t>
      </w:r>
      <w:r w:rsidRPr="0056409E">
        <w:rPr>
          <w:rFonts w:ascii="Tms Rmn" w:hAnsi="Tms Rmn"/>
          <w:sz w:val="12"/>
          <w:lang w:val="es-ES_tradnl"/>
        </w:rPr>
        <w:t> </w:t>
      </w:r>
      <w:r w:rsidRPr="0056409E">
        <w:rPr>
          <w:lang w:val="es-ES_tradnl"/>
        </w:rPr>
        <w:t>:</w:t>
      </w:r>
      <w:r w:rsidRPr="0056409E">
        <w:rPr>
          <w:lang w:val="es-ES_tradnl"/>
        </w:rPr>
        <w:tab/>
        <w:t xml:space="preserve">la intensidad de campo magnético (A/m) </w:t>
      </w:r>
    </w:p>
    <w:p w14:paraId="1CD4F7B7" w14:textId="23585873" w:rsidR="0086339D" w:rsidRPr="0056409E" w:rsidRDefault="0086339D" w:rsidP="0086339D">
      <w:pPr>
        <w:pStyle w:val="Equationlegend"/>
        <w:tabs>
          <w:tab w:val="clear" w:pos="1985"/>
          <w:tab w:val="left" w:pos="1800"/>
        </w:tabs>
        <w:rPr>
          <w:lang w:val="es-ES_tradnl"/>
        </w:rPr>
      </w:pPr>
      <w:r w:rsidRPr="0056409E">
        <w:rPr>
          <w:lang w:val="es-ES_tradnl"/>
        </w:rPr>
        <w:tab/>
      </w:r>
      <w:r w:rsidRPr="0056409E">
        <w:rPr>
          <w:i/>
          <w:iCs/>
          <w:lang w:val="es-ES_tradnl"/>
        </w:rPr>
        <w:t>Z</w:t>
      </w:r>
      <w:r w:rsidRPr="0056409E">
        <w:rPr>
          <w:vertAlign w:val="subscript"/>
          <w:lang w:val="es-ES_tradnl"/>
        </w:rPr>
        <w:t>0</w:t>
      </w:r>
      <w:r w:rsidRPr="0056409E">
        <w:rPr>
          <w:sz w:val="20"/>
          <w:lang w:val="es-ES_tradnl"/>
        </w:rPr>
        <w:t xml:space="preserve"> </w:t>
      </w:r>
      <w:r w:rsidRPr="0056409E">
        <w:rPr>
          <w:sz w:val="20"/>
          <w:lang w:val="es-ES_tradnl"/>
        </w:rPr>
        <w:tab/>
      </w:r>
      <w:r w:rsidRPr="0056409E">
        <w:rPr>
          <w:rFonts w:ascii="Symbol" w:hAnsi="Symbol"/>
          <w:lang w:val="es-ES_tradnl"/>
        </w:rPr>
        <w:t></w:t>
      </w:r>
      <w:r w:rsidRPr="0056409E">
        <w:rPr>
          <w:lang w:val="es-ES_tradnl"/>
        </w:rPr>
        <w:t xml:space="preserve"> 377 </w:t>
      </w:r>
      <w:r w:rsidRPr="0056409E">
        <w:rPr>
          <w:rFonts w:ascii="Symbol" w:hAnsi="Symbol"/>
          <w:lang w:val="es-ES_tradnl"/>
        </w:rPr>
        <w:t></w:t>
      </w:r>
      <w:r w:rsidRPr="0056409E">
        <w:rPr>
          <w:lang w:val="es-ES_tradnl"/>
        </w:rPr>
        <w:t xml:space="preserve"> (120</w:t>
      </w:r>
      <w:r w:rsidR="00641BDC">
        <w:rPr>
          <w:lang w:val="es-ES_tradnl"/>
        </w:rPr>
        <w:t xml:space="preserve"> </w:t>
      </w:r>
      <w:r w:rsidRPr="0056409E">
        <w:rPr>
          <w:rFonts w:ascii="Symbol" w:hAnsi="Symbol"/>
          <w:lang w:val="es-ES_tradnl"/>
        </w:rPr>
        <w:t></w:t>
      </w:r>
      <w:r w:rsidRPr="0056409E">
        <w:rPr>
          <w:lang w:val="es-ES_tradnl"/>
        </w:rPr>
        <w:t>), la impedancia característica en el espacio libre</w:t>
      </w:r>
    </w:p>
    <w:p w14:paraId="312FFABA" w14:textId="77777777" w:rsidR="0086339D" w:rsidRPr="0056409E" w:rsidRDefault="0086339D" w:rsidP="0086339D">
      <w:pPr>
        <w:pStyle w:val="Heading3"/>
        <w:rPr>
          <w:lang w:val="es-ES_tradnl"/>
        </w:rPr>
      </w:pPr>
      <w:bookmarkStart w:id="128" w:name="_Toc65545969"/>
      <w:bookmarkStart w:id="129" w:name="_Toc65546156"/>
      <w:bookmarkStart w:id="130" w:name="_Toc86461502"/>
      <w:bookmarkStart w:id="131" w:name="_Toc162001339"/>
      <w:bookmarkStart w:id="132" w:name="_Toc162005892"/>
      <w:bookmarkStart w:id="133" w:name="_Toc162005985"/>
      <w:bookmarkStart w:id="134" w:name="_Toc162006216"/>
      <w:bookmarkStart w:id="135" w:name="_Toc162008571"/>
      <w:bookmarkStart w:id="136" w:name="_Toc162442996"/>
      <w:bookmarkStart w:id="137" w:name="_Toc162443413"/>
      <w:bookmarkStart w:id="138" w:name="_Toc162443562"/>
      <w:bookmarkStart w:id="139" w:name="_Toc162443781"/>
      <w:bookmarkStart w:id="140" w:name="_Toc162444011"/>
      <w:bookmarkStart w:id="141" w:name="_Toc162444562"/>
      <w:r w:rsidRPr="0056409E">
        <w:rPr>
          <w:lang w:val="es-ES_tradnl"/>
        </w:rPr>
        <w:t>2.1.3</w:t>
      </w:r>
      <w:r w:rsidRPr="0056409E">
        <w:rPr>
          <w:lang w:val="es-ES_tradnl"/>
        </w:rPr>
        <w:tab/>
        <w:t>Campo cercano</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18B283D8" w14:textId="77777777" w:rsidR="0086339D" w:rsidRPr="0056409E" w:rsidRDefault="0086339D" w:rsidP="0086339D">
      <w:pPr>
        <w:rPr>
          <w:lang w:val="es-ES_tradnl"/>
        </w:rPr>
      </w:pPr>
      <w:r w:rsidRPr="0056409E">
        <w:rPr>
          <w:lang w:val="es-ES_tradnl"/>
        </w:rPr>
        <w:t>La estructura del campo en la región de campo cercano es más compleja que la descrita anterior</w:t>
      </w:r>
      <w:r w:rsidRPr="0056409E">
        <w:rPr>
          <w:lang w:val="es-ES_tradnl"/>
        </w:rPr>
        <w:softHyphen/>
        <w:t>mente para el campo lejano. En el campo cercano, existe una relación arbitraria de fase y amplitud entre los vectores de intensidad de campo eléctrico y magnético y las intensidades de campo varían considerablemente de un punto a otro. En consecuencia, al determinar la naturaleza del campo cercano deben calcularse o medirse tanto la fase como la amplitud de los campos eléctrico y magnético. Sin embargo, en la práctica esto puede ser muy difícil de llevar a cabo.</w:t>
      </w:r>
    </w:p>
    <w:p w14:paraId="1378B9E2" w14:textId="5CC4E203" w:rsidR="0086339D" w:rsidRPr="0056409E" w:rsidRDefault="0086339D" w:rsidP="0086339D">
      <w:pPr>
        <w:pStyle w:val="Heading4"/>
        <w:rPr>
          <w:lang w:val="es-ES_tradnl"/>
        </w:rPr>
      </w:pPr>
      <w:r w:rsidRPr="0056409E">
        <w:rPr>
          <w:lang w:val="es-ES_tradnl"/>
        </w:rPr>
        <w:t>2.1.3.1</w:t>
      </w:r>
      <w:r w:rsidRPr="0056409E">
        <w:rPr>
          <w:lang w:val="es-ES_tradnl"/>
        </w:rPr>
        <w:tab/>
        <w:t>Densidad de potencia e intensidad de campo</w:t>
      </w:r>
    </w:p>
    <w:p w14:paraId="197FC05C" w14:textId="77777777" w:rsidR="0086339D" w:rsidRPr="0056409E" w:rsidRDefault="0086339D" w:rsidP="0086339D">
      <w:pPr>
        <w:rPr>
          <w:iCs/>
          <w:lang w:val="es-ES_tradnl"/>
        </w:rPr>
      </w:pPr>
      <w:r w:rsidRPr="0056409E">
        <w:rPr>
          <w:lang w:val="es-ES_tradnl"/>
        </w:rPr>
        <w:t xml:space="preserve">No es fácil determinar el vector de Poynting en el campo cercano debido a la relación arbitraria entre la fase y la amplitud mencionada anteriormente. Las amplitudes </w:t>
      </w:r>
      <w:r w:rsidRPr="0056409E">
        <w:rPr>
          <w:i/>
          <w:lang w:val="es-ES_tradnl"/>
        </w:rPr>
        <w:t xml:space="preserve">E </w:t>
      </w:r>
      <w:r w:rsidRPr="0056409E">
        <w:rPr>
          <w:lang w:val="es-ES_tradnl"/>
        </w:rPr>
        <w:t xml:space="preserve">y </w:t>
      </w:r>
      <w:r w:rsidRPr="0056409E">
        <w:rPr>
          <w:i/>
          <w:lang w:val="es-ES_tradnl"/>
        </w:rPr>
        <w:t>H</w:t>
      </w:r>
      <w:r w:rsidRPr="0056409E">
        <w:rPr>
          <w:iCs/>
          <w:lang w:val="es-ES_tradnl"/>
        </w:rPr>
        <w:t>,</w:t>
      </w:r>
      <w:r w:rsidRPr="0056409E">
        <w:rPr>
          <w:i/>
          <w:lang w:val="es-ES_tradnl"/>
        </w:rPr>
        <w:t xml:space="preserve"> </w:t>
      </w:r>
      <w:r w:rsidRPr="0056409E">
        <w:rPr>
          <w:iCs/>
          <w:lang w:val="es-ES_tradnl"/>
        </w:rPr>
        <w:t>junto con su relación de fase, deben medirse o calcularse por separado en cada punto lo que hace la tarea especialmente compleja y larga.</w:t>
      </w:r>
    </w:p>
    <w:p w14:paraId="5503582C" w14:textId="77777777" w:rsidR="0086339D" w:rsidRPr="0056409E" w:rsidRDefault="0086339D" w:rsidP="0086339D">
      <w:pPr>
        <w:rPr>
          <w:lang w:val="es-ES_tradnl"/>
        </w:rPr>
      </w:pPr>
      <w:r w:rsidRPr="0056409E">
        <w:rPr>
          <w:lang w:val="es-ES_tradnl"/>
        </w:rPr>
        <w:t>Utilizando las fórmulas analíticas, realizar una estimación de la intensidad de campo en el campo cercano sólo es posible para emisores ideales sencillos tales como el dipolo elemental. En el caso de sistemas de antenas más complejos deben utilizarse otras técnicas matemáticas para determinar los niveles de intensidad de campo en la región de campo cercano. Estas otras técnicas permiten efectuar estimaciones relativamente precisas de la intensidad de campo, de la densidad de potencia y de otras características pertinentes del campo, incluso en la compleja región del campo cercano.</w:t>
      </w:r>
    </w:p>
    <w:p w14:paraId="7C5A6626" w14:textId="77777777" w:rsidR="0086339D" w:rsidRPr="0056409E" w:rsidRDefault="0086339D" w:rsidP="0086339D">
      <w:pPr>
        <w:pStyle w:val="Heading3"/>
        <w:rPr>
          <w:lang w:val="es-ES_tradnl"/>
        </w:rPr>
      </w:pPr>
      <w:bookmarkStart w:id="142" w:name="_Toc65545970"/>
      <w:bookmarkStart w:id="143" w:name="_Toc65546157"/>
      <w:bookmarkStart w:id="144" w:name="_Toc86461503"/>
      <w:bookmarkStart w:id="145" w:name="_Toc162001340"/>
      <w:bookmarkStart w:id="146" w:name="_Toc162005893"/>
      <w:bookmarkStart w:id="147" w:name="_Toc162005986"/>
      <w:bookmarkStart w:id="148" w:name="_Toc162006217"/>
      <w:bookmarkStart w:id="149" w:name="_Toc162008572"/>
      <w:bookmarkStart w:id="150" w:name="_Toc162442997"/>
      <w:bookmarkStart w:id="151" w:name="_Toc162443414"/>
      <w:bookmarkStart w:id="152" w:name="_Toc162443563"/>
      <w:bookmarkStart w:id="153" w:name="_Toc162443782"/>
      <w:bookmarkStart w:id="154" w:name="_Toc162444012"/>
      <w:bookmarkStart w:id="155" w:name="_Toc162444563"/>
      <w:r w:rsidRPr="0056409E">
        <w:rPr>
          <w:lang w:val="es-ES_tradnl"/>
        </w:rPr>
        <w:lastRenderedPageBreak/>
        <w:t>2.1.4</w:t>
      </w:r>
      <w:r w:rsidRPr="0056409E">
        <w:rPr>
          <w:lang w:val="es-ES_tradnl"/>
        </w:rPr>
        <w:tab/>
        <w:t>Polarización</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330DBBAA" w14:textId="77777777" w:rsidR="0086339D" w:rsidRPr="0056409E" w:rsidRDefault="0086339D" w:rsidP="0086339D">
      <w:pPr>
        <w:rPr>
          <w:lang w:val="es-ES_tradnl"/>
        </w:rPr>
      </w:pPr>
      <w:r w:rsidRPr="0056409E">
        <w:rPr>
          <w:lang w:val="es-ES_tradnl"/>
        </w:rPr>
        <w:t>La polarización se define como la dirección del vector de campo eléctrico, con referencia a la dirección de propagación del frente de onda.</w:t>
      </w:r>
    </w:p>
    <w:p w14:paraId="30E525FA" w14:textId="77777777" w:rsidR="0086339D" w:rsidRPr="0056409E" w:rsidRDefault="0086339D" w:rsidP="0086339D">
      <w:pPr>
        <w:rPr>
          <w:lang w:val="es-ES_tradnl"/>
        </w:rPr>
      </w:pPr>
      <w:r w:rsidRPr="0056409E">
        <w:rPr>
          <w:lang w:val="es-ES_tradnl"/>
        </w:rPr>
        <w:t>En radiodifusión, se utilizan distintos tipos de polarización. Los tipos principales son vertical y horizontal (con respecto a un frente de onda que se desplaza paralelamente a la superficie de la Tierra) aunque también pueden emplearse otros tipos de polarización tales como la oblicua y la elíptica.</w:t>
      </w:r>
    </w:p>
    <w:p w14:paraId="61EEAAA8" w14:textId="77777777" w:rsidR="0086339D" w:rsidRPr="0056409E" w:rsidRDefault="0086339D" w:rsidP="0086339D">
      <w:pPr>
        <w:pStyle w:val="Heading3"/>
        <w:rPr>
          <w:lang w:val="es-ES_tradnl"/>
        </w:rPr>
      </w:pPr>
      <w:bookmarkStart w:id="156" w:name="_Toc65545971"/>
      <w:bookmarkStart w:id="157" w:name="_Toc65546158"/>
      <w:bookmarkStart w:id="158" w:name="_Toc86461504"/>
      <w:bookmarkStart w:id="159" w:name="_Toc162001341"/>
      <w:bookmarkStart w:id="160" w:name="_Toc162005894"/>
      <w:bookmarkStart w:id="161" w:name="_Toc162005987"/>
      <w:bookmarkStart w:id="162" w:name="_Toc162006218"/>
      <w:bookmarkStart w:id="163" w:name="_Toc162008573"/>
      <w:bookmarkStart w:id="164" w:name="_Toc162442998"/>
      <w:bookmarkStart w:id="165" w:name="_Toc162443415"/>
      <w:bookmarkStart w:id="166" w:name="_Toc162443564"/>
      <w:bookmarkStart w:id="167" w:name="_Toc162443783"/>
      <w:bookmarkStart w:id="168" w:name="_Toc162444013"/>
      <w:bookmarkStart w:id="169" w:name="_Toc162444564"/>
      <w:r w:rsidRPr="0056409E">
        <w:rPr>
          <w:lang w:val="es-ES_tradnl"/>
        </w:rPr>
        <w:t>2.1.5</w:t>
      </w:r>
      <w:r w:rsidRPr="0056409E">
        <w:rPr>
          <w:lang w:val="es-ES_tradnl"/>
        </w:rPr>
        <w:tab/>
        <w:t>Modulación</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1C15C9C6" w14:textId="77777777" w:rsidR="0086339D" w:rsidRPr="0056409E" w:rsidRDefault="0086339D" w:rsidP="005F163D">
      <w:pPr>
        <w:rPr>
          <w:lang w:val="es-ES_tradnl"/>
        </w:rPr>
      </w:pPr>
      <w:r w:rsidRPr="0056409E">
        <w:rPr>
          <w:lang w:val="es-ES_tradnl"/>
        </w:rPr>
        <w:t xml:space="preserve">La modulación es una característica muy especial de la emisión producida por un transmisor de radiodifusión. La modulación podría tener que considerarse cuando se efectúen mediciones o cálculos para determinar si se rebasan o no los límites establecidos. </w:t>
      </w:r>
    </w:p>
    <w:p w14:paraId="0AEA6323" w14:textId="77777777" w:rsidR="0086339D" w:rsidRPr="0056409E" w:rsidRDefault="0086339D" w:rsidP="005F163D">
      <w:pPr>
        <w:rPr>
          <w:lang w:val="es-ES_tradnl"/>
        </w:rPr>
      </w:pPr>
      <w:r w:rsidRPr="0056409E">
        <w:rPr>
          <w:lang w:val="es-ES_tradnl"/>
        </w:rPr>
        <w:t>Los organismos de radiodifusión llevan muchos años aplicando técnicas de control del nivel de portadora dependiente de la modulación (MDCL), como la compansión de la modulación de amplitud (AMC), a fin de reducir sus costes de transmisión. En los casos en que se empleen técnicas de esa índole, la evaluación de</w:t>
      </w:r>
      <w:r>
        <w:rPr>
          <w:lang w:val="es-ES_tradnl"/>
        </w:rPr>
        <w:t xml:space="preserve"> </w:t>
      </w:r>
      <w:r w:rsidRPr="0056409E">
        <w:rPr>
          <w:lang w:val="es-ES_tradnl"/>
        </w:rPr>
        <w:t>l</w:t>
      </w:r>
      <w:r>
        <w:rPr>
          <w:lang w:val="es-ES_tradnl"/>
        </w:rPr>
        <w:t>os</w:t>
      </w:r>
      <w:r w:rsidRPr="0056409E">
        <w:rPr>
          <w:lang w:val="es-ES_tradnl"/>
        </w:rPr>
        <w:t xml:space="preserve"> CEM debe realizarse de la misma forma que una transmisión AM con la portadora en su salida AM nominal.</w:t>
      </w:r>
    </w:p>
    <w:p w14:paraId="5CE9DDA6" w14:textId="58EBAFE4" w:rsidR="0086339D" w:rsidRPr="0056409E" w:rsidRDefault="0086339D" w:rsidP="005F163D">
      <w:pPr>
        <w:rPr>
          <w:lang w:val="es-ES_tradnl"/>
        </w:rPr>
      </w:pPr>
      <w:r w:rsidRPr="0056409E">
        <w:rPr>
          <w:lang w:val="es-ES_tradnl"/>
        </w:rPr>
        <w:t>Para una transmisión AM ordinaria, la potencia de salida de RF de cresta está relacionado con la profundidad de modulación. La modulación da lugar a menudo a una señal que varía tanto en amplitud como en frecuencia. Por esta razón normalmente es preciso efectuar una promediación en el tiempo a fin de calcular los valores que van a utilizarse en la medición y en el cálculo. Este requisito también se reconoce en las normas pertinentes. El Reglamento de Radiocomunicaciones (RR) (Apéndice</w:t>
      </w:r>
      <w:r w:rsidR="0053087A">
        <w:rPr>
          <w:lang w:val="es-ES_tradnl"/>
        </w:rPr>
        <w:t> </w:t>
      </w:r>
      <w:r w:rsidRPr="0056409E">
        <w:rPr>
          <w:lang w:val="es-ES_tradnl"/>
        </w:rPr>
        <w:t>1, Volumen</w:t>
      </w:r>
      <w:r w:rsidR="0053087A">
        <w:rPr>
          <w:lang w:val="es-ES_tradnl"/>
        </w:rPr>
        <w:t> </w:t>
      </w:r>
      <w:r w:rsidRPr="0056409E">
        <w:rPr>
          <w:lang w:val="es-ES_tradnl"/>
        </w:rPr>
        <w:t>2) clasifica las emisiones de los transmisores radioeléctricos de acuerdo con las anchuras de banda necesarias y las características básicas y opcionales de la transmisión. Véase el Adjunto 4 para obtener más información sobre cómo abordar los distintos tipos de modulación.</w:t>
      </w:r>
      <w:bookmarkStart w:id="170" w:name="_Toc65545972"/>
      <w:bookmarkStart w:id="171" w:name="_Toc65546159"/>
      <w:bookmarkStart w:id="172" w:name="_Toc86461505"/>
    </w:p>
    <w:p w14:paraId="12E92264" w14:textId="77777777" w:rsidR="0086339D" w:rsidRPr="00111E49" w:rsidRDefault="0086339D" w:rsidP="005F163D">
      <w:pPr>
        <w:pStyle w:val="Heading3"/>
        <w:rPr>
          <w:lang w:val="es-ES"/>
        </w:rPr>
      </w:pPr>
      <w:bookmarkStart w:id="173" w:name="_Toc162001342"/>
      <w:bookmarkStart w:id="174" w:name="_Toc162005895"/>
      <w:bookmarkStart w:id="175" w:name="_Toc162005988"/>
      <w:bookmarkStart w:id="176" w:name="_Toc162006219"/>
      <w:bookmarkStart w:id="177" w:name="_Toc162008574"/>
      <w:bookmarkStart w:id="178" w:name="_Toc162442999"/>
      <w:bookmarkStart w:id="179" w:name="_Toc162443416"/>
      <w:bookmarkStart w:id="180" w:name="_Toc162443565"/>
      <w:bookmarkStart w:id="181" w:name="_Toc162443784"/>
      <w:bookmarkStart w:id="182" w:name="_Toc162444014"/>
      <w:bookmarkStart w:id="183" w:name="_Toc162444565"/>
      <w:r w:rsidRPr="00111E49">
        <w:rPr>
          <w:lang w:val="es-ES"/>
        </w:rPr>
        <w:t>2.1.6</w:t>
      </w:r>
      <w:r w:rsidRPr="00111E49">
        <w:rPr>
          <w:lang w:val="es-ES"/>
        </w:rPr>
        <w:tab/>
        <w:t>Configuraciones de la interferencia</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14D91E30" w14:textId="6F4ECBCE" w:rsidR="0086339D" w:rsidRPr="0056409E" w:rsidRDefault="0086339D" w:rsidP="005F163D">
      <w:pPr>
        <w:rPr>
          <w:lang w:val="es-ES_tradnl"/>
        </w:rPr>
      </w:pPr>
      <w:r w:rsidRPr="0056409E">
        <w:rPr>
          <w:lang w:val="es-ES_tradnl"/>
        </w:rPr>
        <w:t>Tanto las estructuras naturales como</w:t>
      </w:r>
      <w:r>
        <w:rPr>
          <w:lang w:val="es-ES_tradnl"/>
        </w:rPr>
        <w:t xml:space="preserve"> las</w:t>
      </w:r>
      <w:r w:rsidRPr="0056409E">
        <w:rPr>
          <w:lang w:val="es-ES_tradnl"/>
        </w:rPr>
        <w:t xml:space="preserve"> artificiales pueden producir una radiación secundaria del CEM. Los campos procedentes de esta radiación secundaria se suman vectorialmente al campo directo, lo que da lugar a unas configuraciones de la interferencia que comprenden máximos y mínimos localizados de la intensidad de campo. La configuración de la interferencia es aún más compleja si se producen múltiples radiaciones secundarias del campo.</w:t>
      </w:r>
    </w:p>
    <w:p w14:paraId="6867D254" w14:textId="77777777" w:rsidR="0086339D" w:rsidRPr="0056409E" w:rsidRDefault="0086339D" w:rsidP="005F163D">
      <w:pPr>
        <w:rPr>
          <w:lang w:val="es-ES_tradnl"/>
        </w:rPr>
      </w:pPr>
      <w:r w:rsidRPr="0056409E">
        <w:rPr>
          <w:lang w:val="es-ES_tradnl"/>
        </w:rPr>
        <w:t>Las configuraciones de la interferencia dependen de la frecuencia de la fuente de radiación. Cuanto más elevada sea la frecuencia, más pequeña es la longitud de onda y, por consiguiente, están más próximos, espacialmente, los máximos y mínimos. A las frecuencias de televisión en ondas deci</w:t>
      </w:r>
      <w:r w:rsidRPr="0056409E">
        <w:rPr>
          <w:lang w:val="es-ES_tradnl"/>
        </w:rPr>
        <w:softHyphen/>
        <w:t>métricas los máximos y mínimos locales pueden estar separados únicamente unos decímetros.</w:t>
      </w:r>
    </w:p>
    <w:p w14:paraId="71FCD7E0" w14:textId="77777777" w:rsidR="0086339D" w:rsidRPr="0056409E" w:rsidRDefault="0086339D" w:rsidP="005F163D">
      <w:pPr>
        <w:rPr>
          <w:lang w:val="es-ES_tradnl"/>
        </w:rPr>
      </w:pPr>
      <w:r w:rsidRPr="0056409E">
        <w:rPr>
          <w:lang w:val="es-ES_tradnl"/>
        </w:rPr>
        <w:t>En el caso de múltiples fuentes de emisión se producen varias configuraciones superpuestas; por ejemplo, el caso de varios canales de radiodifusión sonora y de televisión que se transmiten desde el mismo emplazamiento.</w:t>
      </w:r>
    </w:p>
    <w:p w14:paraId="0BF293C8" w14:textId="77777777" w:rsidR="0086339D" w:rsidRPr="0056409E" w:rsidRDefault="0086339D" w:rsidP="005F163D">
      <w:pPr>
        <w:pStyle w:val="Heading2"/>
        <w:rPr>
          <w:lang w:val="es-ES_tradnl"/>
        </w:rPr>
      </w:pPr>
      <w:bookmarkStart w:id="184" w:name="_Toc65545973"/>
      <w:bookmarkStart w:id="185" w:name="_Toc65546160"/>
      <w:bookmarkStart w:id="186" w:name="_Toc65546316"/>
      <w:bookmarkStart w:id="187" w:name="_Toc86461506"/>
      <w:bookmarkStart w:id="188" w:name="_Toc162005896"/>
      <w:bookmarkStart w:id="189" w:name="_Toc162006220"/>
      <w:bookmarkStart w:id="190" w:name="_Toc162444566"/>
      <w:bookmarkStart w:id="191" w:name="_Toc162518194"/>
      <w:bookmarkStart w:id="192" w:name="_Toc162518716"/>
      <w:r w:rsidRPr="0056409E">
        <w:rPr>
          <w:lang w:val="es-ES_tradnl"/>
        </w:rPr>
        <w:t>2.2</w:t>
      </w:r>
      <w:r w:rsidRPr="0056409E">
        <w:rPr>
          <w:lang w:val="es-ES_tradnl"/>
        </w:rPr>
        <w:tab/>
        <w:t>Niveles de exposición a la intensidad de campo cerca de las antenas de radiodifusión</w:t>
      </w:r>
      <w:bookmarkEnd w:id="184"/>
      <w:bookmarkEnd w:id="185"/>
      <w:bookmarkEnd w:id="186"/>
      <w:bookmarkEnd w:id="187"/>
      <w:bookmarkEnd w:id="188"/>
      <w:bookmarkEnd w:id="189"/>
      <w:bookmarkEnd w:id="190"/>
      <w:bookmarkEnd w:id="191"/>
      <w:bookmarkEnd w:id="192"/>
    </w:p>
    <w:p w14:paraId="741C063E" w14:textId="3A452129" w:rsidR="0086339D" w:rsidRPr="0056409E" w:rsidRDefault="0086339D" w:rsidP="005F163D">
      <w:pPr>
        <w:rPr>
          <w:lang w:val="es-ES_tradnl"/>
        </w:rPr>
      </w:pPr>
      <w:r w:rsidRPr="0056409E">
        <w:rPr>
          <w:lang w:val="es-ES_tradnl"/>
        </w:rPr>
        <w:t>En este punto se consideran los niveles de intensidad de campo que aparecen en las proximidades de las antenas típicas de radiodifusión en bandas de ondas kilométricas/hectométricas, decamétricas, métricas/decimétricas, centrimétricas y ondas milimétricas.</w:t>
      </w:r>
    </w:p>
    <w:p w14:paraId="72286744" w14:textId="77777777" w:rsidR="0086339D" w:rsidRPr="0056409E" w:rsidRDefault="0086339D" w:rsidP="005F163D">
      <w:pPr>
        <w:pStyle w:val="Heading3"/>
        <w:rPr>
          <w:lang w:val="es-ES_tradnl"/>
        </w:rPr>
      </w:pPr>
      <w:bookmarkStart w:id="193" w:name="_Toc65545974"/>
      <w:bookmarkStart w:id="194" w:name="_Toc65546161"/>
      <w:bookmarkStart w:id="195" w:name="_Toc86461507"/>
      <w:bookmarkStart w:id="196" w:name="_Toc162001344"/>
      <w:bookmarkStart w:id="197" w:name="_Toc162005897"/>
      <w:bookmarkStart w:id="198" w:name="_Toc162005990"/>
      <w:bookmarkStart w:id="199" w:name="_Toc162006221"/>
      <w:bookmarkStart w:id="200" w:name="_Toc162008576"/>
      <w:bookmarkStart w:id="201" w:name="_Toc162443001"/>
      <w:bookmarkStart w:id="202" w:name="_Toc162443418"/>
      <w:bookmarkStart w:id="203" w:name="_Toc162443567"/>
      <w:bookmarkStart w:id="204" w:name="_Toc162443786"/>
      <w:bookmarkStart w:id="205" w:name="_Toc162444016"/>
      <w:bookmarkStart w:id="206" w:name="_Toc162444567"/>
      <w:r w:rsidRPr="0056409E">
        <w:rPr>
          <w:lang w:val="es-ES_tradnl"/>
        </w:rPr>
        <w:t>2.2.1</w:t>
      </w:r>
      <w:r w:rsidRPr="0056409E">
        <w:rPr>
          <w:lang w:val="es-ES_tradnl"/>
        </w:rPr>
        <w:tab/>
        <w:t>Bandas de ondas kilométricas/hectométricas (150-1</w:t>
      </w:r>
      <w:r w:rsidRPr="0056409E">
        <w:rPr>
          <w:rFonts w:ascii="Tms Rmn" w:hAnsi="Tms Rmn"/>
          <w:sz w:val="12"/>
          <w:lang w:val="es-ES_tradnl"/>
        </w:rPr>
        <w:t> </w:t>
      </w:r>
      <w:r w:rsidRPr="0056409E">
        <w:rPr>
          <w:lang w:val="es-ES_tradnl"/>
        </w:rPr>
        <w:t>605 kHz)</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130E8787" w14:textId="77777777" w:rsidR="0086339D" w:rsidRPr="0056409E" w:rsidRDefault="0086339D" w:rsidP="005F163D">
      <w:pPr>
        <w:rPr>
          <w:lang w:val="es-ES_tradnl"/>
        </w:rPr>
      </w:pPr>
      <w:r w:rsidRPr="0056409E">
        <w:rPr>
          <w:lang w:val="es-ES_tradnl"/>
        </w:rPr>
        <w:t xml:space="preserve">En las bandas de ondas kilométricas y hectométricas las frecuencias se encuentran por debajo de las frecuencias de resonancia del cuerpo humano. En el caso de efectos directos del CEM, los niveles límite (también definidos como «obtenidos») para los valores de los campos eléctrico, </w:t>
      </w:r>
      <w:r w:rsidRPr="0056409E">
        <w:rPr>
          <w:i/>
          <w:iCs/>
          <w:lang w:val="es-ES_tradnl"/>
        </w:rPr>
        <w:t>E</w:t>
      </w:r>
      <w:r w:rsidRPr="0056409E">
        <w:rPr>
          <w:lang w:val="es-ES_tradnl"/>
        </w:rPr>
        <w:t xml:space="preserve">, y magnético, </w:t>
      </w:r>
      <w:r w:rsidRPr="0056409E">
        <w:rPr>
          <w:i/>
          <w:iCs/>
          <w:lang w:val="es-ES_tradnl"/>
        </w:rPr>
        <w:lastRenderedPageBreak/>
        <w:t>H</w:t>
      </w:r>
      <w:r w:rsidRPr="0056409E">
        <w:rPr>
          <w:lang w:val="es-ES_tradnl"/>
        </w:rPr>
        <w:t>, son relativamente elevados. No obstante, en muchos casos, los valores elevados están presentes únicamente en las proximidades de la antena transmisora. Esto es especial</w:t>
      </w:r>
      <w:r w:rsidRPr="0056409E">
        <w:rPr>
          <w:lang w:val="es-ES_tradnl"/>
        </w:rPr>
        <w:softHyphen/>
        <w:t>mente cierto en el extremo inferior de la gama de ondas kilométricas/hectométricas y en el caso de normas/directrices que han especificado niveles obtenidos más elevados. No obstante, en el extremo superior de la banda las distancias pertinentes pueden extenderse del orden de unos pocos cientos de metros. Cabe señalar que este aumento en la distancia se debe, al menos en parte, a la reducción de los niveles de interferencia en el extremo superior de la banda de ondas hectométricas. Durante las transmisiones, debe evitarse el acceso al mástil o a la torre debido a los altos valores que presenta la intensidad de campo en esa zona y al riesgo de sufrir una descarga eléctrica.</w:t>
      </w:r>
    </w:p>
    <w:p w14:paraId="2F720835" w14:textId="77777777" w:rsidR="0086339D" w:rsidRPr="0056409E" w:rsidRDefault="0086339D" w:rsidP="005F163D">
      <w:pPr>
        <w:pStyle w:val="Heading3"/>
        <w:rPr>
          <w:lang w:val="es-ES_tradnl"/>
        </w:rPr>
      </w:pPr>
      <w:bookmarkStart w:id="207" w:name="_Toc65545975"/>
      <w:bookmarkStart w:id="208" w:name="_Toc65546162"/>
      <w:bookmarkStart w:id="209" w:name="_Toc86461508"/>
      <w:bookmarkStart w:id="210" w:name="_Toc162001345"/>
      <w:bookmarkStart w:id="211" w:name="_Toc162005898"/>
      <w:bookmarkStart w:id="212" w:name="_Toc162005991"/>
      <w:bookmarkStart w:id="213" w:name="_Toc162006222"/>
      <w:bookmarkStart w:id="214" w:name="_Toc162008577"/>
      <w:bookmarkStart w:id="215" w:name="_Toc162443002"/>
      <w:bookmarkStart w:id="216" w:name="_Toc162443419"/>
      <w:bookmarkStart w:id="217" w:name="_Toc162443568"/>
      <w:bookmarkStart w:id="218" w:name="_Toc162443787"/>
      <w:bookmarkStart w:id="219" w:name="_Toc162444017"/>
      <w:bookmarkStart w:id="220" w:name="_Toc162444568"/>
      <w:r w:rsidRPr="0056409E">
        <w:rPr>
          <w:lang w:val="es-ES_tradnl"/>
        </w:rPr>
        <w:t>2.2.2</w:t>
      </w:r>
      <w:r w:rsidRPr="0056409E">
        <w:rPr>
          <w:lang w:val="es-ES_tradnl"/>
        </w:rPr>
        <w:tab/>
        <w:t>Bandas de ondas decamétricas (3-30 MHz)</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44B19BA4" w14:textId="77777777" w:rsidR="0086339D" w:rsidRPr="0056409E" w:rsidRDefault="0086339D" w:rsidP="005F163D">
      <w:pPr>
        <w:rPr>
          <w:lang w:val="es-ES_tradnl"/>
        </w:rPr>
      </w:pPr>
      <w:r w:rsidRPr="0056409E">
        <w:rPr>
          <w:lang w:val="es-ES_tradnl"/>
        </w:rPr>
        <w:t xml:space="preserve">Las mediciones efectuadas sugieren que en grandes zonas en torno a estaciones transmisoras en ondas decamétricas de alta potencia el CEM rebasará los niveles de intensidad de campo eléctrico obtenidos, especialmente cerca de los alimentadores de hilo desnudo. En muchas estaciones de radiodifusión, estos alimentadores </w:t>
      </w:r>
      <w:r w:rsidRPr="00262537">
        <w:rPr>
          <w:lang w:val="es-ES_tradnl"/>
        </w:rPr>
        <w:t xml:space="preserve">están protegidos por canalizaciones </w:t>
      </w:r>
      <w:r w:rsidRPr="0056409E">
        <w:rPr>
          <w:lang w:val="es-ES_tradnl"/>
        </w:rPr>
        <w:t>para reducir el CEM, pero esto no puede hacerse alrededor de las propias antenas transmisoras. Por consiguiente, algunas partes de la superficie que contiene dichas antenas se convertirán en «zonas de exclusión» y deberán planificarse las pautas de mantenimiento de forma que se eviten los periodos de tiempo en los que las antenas están transmitiendo. Esto será difícil en muchas estaciones de ondas decamétricas donde, debido a los requisitos de programación, los diagramas de CEM pueden cambiar cada 15 minutos. La intensidad de campo frente a una antena de ondas decamétricas tiende a aumentar con la altura por encima del suelo, debido en parte a que el haz principal tiene un ángulo de elevación de unos 10 a 15 grados, pero se debe fundamentalmente a las condiciones de contorno en la superficie del suelo. La mayoría de las antenas de radiodifusión en ondas deca</w:t>
      </w:r>
      <w:r w:rsidRPr="0056409E">
        <w:rPr>
          <w:lang w:val="es-ES_tradnl"/>
        </w:rPr>
        <w:softHyphen/>
        <w:t>métricas tienen polarización horizontal, en cuyo caso la intensidad de campo eléctrico en el suelo sería cero para una tierra infinitamente conductora. No obstante, en la práctica, debido a la conductividad finita del suelo aparece una pequeña componente horizontal del campo eléctrico.</w:t>
      </w:r>
    </w:p>
    <w:p w14:paraId="6CACB9DE" w14:textId="2407676D" w:rsidR="0086339D" w:rsidRPr="0056409E" w:rsidRDefault="0086339D" w:rsidP="005F163D">
      <w:pPr>
        <w:rPr>
          <w:lang w:val="es-ES_tradnl"/>
        </w:rPr>
      </w:pPr>
      <w:r w:rsidRPr="0056409E">
        <w:rPr>
          <w:lang w:val="es-ES_tradnl"/>
        </w:rPr>
        <w:t>Es importante observar que el campo cercano de un sistema de antenas de ondas decamétricas puede extenderse a una distancia considerable, no sólo debido al propio tamaño de las antenas sino también a que las irregularidades del terreno pueden provocar una gran abertura efectiva de la antena. Ello da lugar a que las mediciones de intensidad de campo presenten valores inferiores a los niveles obtenidos en los emplazamientos próximos a la antena y aumenten nuevamente al incrementar la distancia desde la antena. Sin embargo, una vez que se llega a la región de campo lejano, los niveles de intensidad de campo siguen la norma habitual de disminuir al aumentar la distancia desde la antena.</w:t>
      </w:r>
    </w:p>
    <w:p w14:paraId="39636AF1" w14:textId="77777777" w:rsidR="0086339D" w:rsidRPr="0056409E" w:rsidRDefault="0086339D" w:rsidP="005F163D">
      <w:pPr>
        <w:rPr>
          <w:lang w:val="es-ES_tradnl"/>
        </w:rPr>
      </w:pPr>
      <w:r w:rsidRPr="0056409E">
        <w:rPr>
          <w:lang w:val="es-ES_tradnl"/>
        </w:rPr>
        <w:t xml:space="preserve">En las proximidades de un sistema de antenas de cortina en ondas decamétricas con polarización horizontal, </w:t>
      </w:r>
      <w:r w:rsidRPr="00262537">
        <w:rPr>
          <w:lang w:val="es-ES_tradnl"/>
        </w:rPr>
        <w:t>no debe suponerse que los CEM son necesariamente copolares,</w:t>
      </w:r>
      <w:r w:rsidRPr="0056409E">
        <w:rPr>
          <w:lang w:val="es-ES_tradnl"/>
        </w:rPr>
        <w:t xml:space="preserve"> pues también pueden encontrarse componentes con polarización vertical. En ese sentido, no pueden hacerse suposiciones sobre la polarización de los peligros de RF inherentes al campo cercano.</w:t>
      </w:r>
    </w:p>
    <w:p w14:paraId="360A6B9B" w14:textId="77777777" w:rsidR="0086339D" w:rsidRPr="0056409E" w:rsidRDefault="0086339D" w:rsidP="005F163D">
      <w:pPr>
        <w:pStyle w:val="Heading3"/>
        <w:rPr>
          <w:lang w:val="es-ES_tradnl"/>
        </w:rPr>
      </w:pPr>
      <w:bookmarkStart w:id="221" w:name="_Toc65545976"/>
      <w:bookmarkStart w:id="222" w:name="_Toc65546163"/>
      <w:bookmarkStart w:id="223" w:name="_Toc86461509"/>
      <w:bookmarkStart w:id="224" w:name="_Toc162001346"/>
      <w:bookmarkStart w:id="225" w:name="_Toc162005899"/>
      <w:bookmarkStart w:id="226" w:name="_Toc162005992"/>
      <w:bookmarkStart w:id="227" w:name="_Toc162006223"/>
      <w:bookmarkStart w:id="228" w:name="_Toc162008578"/>
      <w:bookmarkStart w:id="229" w:name="_Toc162443003"/>
      <w:bookmarkStart w:id="230" w:name="_Toc162443420"/>
      <w:bookmarkStart w:id="231" w:name="_Toc162443569"/>
      <w:bookmarkStart w:id="232" w:name="_Toc162443788"/>
      <w:bookmarkStart w:id="233" w:name="_Toc162444018"/>
      <w:bookmarkStart w:id="234" w:name="_Toc162444569"/>
      <w:r w:rsidRPr="0056409E">
        <w:rPr>
          <w:lang w:val="es-ES_tradnl"/>
        </w:rPr>
        <w:t>2.2.3</w:t>
      </w:r>
      <w:r w:rsidRPr="0056409E">
        <w:rPr>
          <w:lang w:val="es-ES_tradnl"/>
        </w:rPr>
        <w:tab/>
        <w:t>Bandas de ondas métricas/decimétricas</w:t>
      </w:r>
      <w:bookmarkEnd w:id="221"/>
      <w:bookmarkEnd w:id="222"/>
      <w:r w:rsidRPr="0056409E">
        <w:rPr>
          <w:lang w:val="es-ES_tradnl"/>
        </w:rPr>
        <w:t xml:space="preserve"> (30 MHz-3 GHz)</w:t>
      </w:r>
      <w:bookmarkEnd w:id="223"/>
      <w:bookmarkEnd w:id="224"/>
      <w:bookmarkEnd w:id="225"/>
      <w:bookmarkEnd w:id="226"/>
      <w:bookmarkEnd w:id="227"/>
      <w:bookmarkEnd w:id="228"/>
      <w:bookmarkEnd w:id="229"/>
      <w:bookmarkEnd w:id="230"/>
      <w:bookmarkEnd w:id="231"/>
      <w:bookmarkEnd w:id="232"/>
      <w:bookmarkEnd w:id="233"/>
      <w:bookmarkEnd w:id="234"/>
    </w:p>
    <w:p w14:paraId="48CEDACC" w14:textId="77777777" w:rsidR="0086339D" w:rsidRPr="0056409E" w:rsidRDefault="0086339D" w:rsidP="0086339D">
      <w:pPr>
        <w:rPr>
          <w:lang w:val="es-ES_tradnl"/>
        </w:rPr>
      </w:pPr>
      <w:r w:rsidRPr="0056409E">
        <w:rPr>
          <w:lang w:val="es-ES_tradnl"/>
        </w:rPr>
        <w:t>Normalmente, en los emplazamientos de radiodifusión en ondas métricas/decimétricas de alta potencia, las antenas suelen estar situadas a unos 100 m por encima del nivel del suelo y van montadas en mástiles o torres autosoportadas. Al nivel de suelo, por lo tanto, las intensidades de campo son relativamente bajas debido a la distancia desde la antena y también a la estrechez de la anchura del haz transmitido en el plano vertical.</w:t>
      </w:r>
    </w:p>
    <w:p w14:paraId="42AC9482" w14:textId="77777777" w:rsidR="0086339D" w:rsidRPr="0056409E" w:rsidRDefault="0086339D" w:rsidP="0086339D">
      <w:pPr>
        <w:pStyle w:val="Heading3"/>
        <w:rPr>
          <w:b w:val="0"/>
          <w:lang w:val="es-ES_tradnl"/>
        </w:rPr>
      </w:pPr>
      <w:bookmarkStart w:id="235" w:name="_Toc65545977"/>
      <w:bookmarkStart w:id="236" w:name="_Toc65546164"/>
      <w:bookmarkStart w:id="237" w:name="_Toc86461510"/>
      <w:bookmarkStart w:id="238" w:name="_Toc162001347"/>
      <w:bookmarkStart w:id="239" w:name="_Toc162005900"/>
      <w:bookmarkStart w:id="240" w:name="_Toc162005993"/>
      <w:bookmarkStart w:id="241" w:name="_Toc162006224"/>
      <w:bookmarkStart w:id="242" w:name="_Toc162008579"/>
      <w:bookmarkStart w:id="243" w:name="_Toc162443004"/>
      <w:bookmarkStart w:id="244" w:name="_Toc162443421"/>
      <w:bookmarkStart w:id="245" w:name="_Toc162443570"/>
      <w:bookmarkStart w:id="246" w:name="_Toc162443789"/>
      <w:bookmarkStart w:id="247" w:name="_Toc162444019"/>
      <w:bookmarkStart w:id="248" w:name="_Toc162444570"/>
      <w:r w:rsidRPr="0056409E">
        <w:rPr>
          <w:lang w:val="es-ES_tradnl"/>
        </w:rPr>
        <w:t>2.2.4</w:t>
      </w:r>
      <w:r w:rsidRPr="0056409E">
        <w:rPr>
          <w:lang w:val="es-ES_tradnl"/>
        </w:rPr>
        <w:tab/>
        <w:t>Bandas de ondas centimétricas (3-30 GHz)</w:t>
      </w:r>
      <w:bookmarkEnd w:id="235"/>
      <w:bookmarkEnd w:id="236"/>
      <w:bookmarkEnd w:id="237"/>
      <w:r w:rsidRPr="0056409E">
        <w:rPr>
          <w:lang w:val="es-ES_tradnl"/>
        </w:rPr>
        <w:t xml:space="preserve"> y ondas milimétricas (30-300 GHz)</w:t>
      </w:r>
      <w:bookmarkEnd w:id="238"/>
      <w:bookmarkEnd w:id="239"/>
      <w:bookmarkEnd w:id="240"/>
      <w:bookmarkEnd w:id="241"/>
      <w:bookmarkEnd w:id="242"/>
      <w:bookmarkEnd w:id="243"/>
      <w:bookmarkEnd w:id="244"/>
      <w:bookmarkEnd w:id="245"/>
      <w:bookmarkEnd w:id="246"/>
      <w:bookmarkEnd w:id="247"/>
      <w:bookmarkEnd w:id="248"/>
    </w:p>
    <w:p w14:paraId="71CA153E" w14:textId="236EDBEC" w:rsidR="0086339D" w:rsidRPr="0056409E" w:rsidRDefault="0086339D" w:rsidP="0086339D">
      <w:pPr>
        <w:rPr>
          <w:lang w:val="es-ES_tradnl"/>
        </w:rPr>
      </w:pPr>
      <w:r w:rsidRPr="0056409E">
        <w:rPr>
          <w:lang w:val="es-ES_tradnl"/>
        </w:rPr>
        <w:t>Las bandas de frecuencias 11,7-12,5</w:t>
      </w:r>
      <w:r w:rsidR="00873FB0">
        <w:rPr>
          <w:lang w:val="es-ES_tradnl"/>
        </w:rPr>
        <w:t> </w:t>
      </w:r>
      <w:r w:rsidRPr="0056409E">
        <w:rPr>
          <w:lang w:val="es-ES_tradnl"/>
        </w:rPr>
        <w:t>GHz, 40,5-41</w:t>
      </w:r>
      <w:r w:rsidR="00873FB0">
        <w:rPr>
          <w:lang w:val="es-ES_tradnl"/>
        </w:rPr>
        <w:t> </w:t>
      </w:r>
      <w:r w:rsidRPr="0056409E">
        <w:rPr>
          <w:lang w:val="es-ES_tradnl"/>
        </w:rPr>
        <w:t>GHz, 41-42,5</w:t>
      </w:r>
      <w:r w:rsidR="00873FB0">
        <w:rPr>
          <w:lang w:val="es-ES_tradnl"/>
        </w:rPr>
        <w:t> </w:t>
      </w:r>
      <w:r w:rsidRPr="0056409E">
        <w:rPr>
          <w:lang w:val="es-ES_tradnl"/>
        </w:rPr>
        <w:t>GHz y 74-76</w:t>
      </w:r>
      <w:r w:rsidR="00873FB0">
        <w:rPr>
          <w:lang w:val="es-ES_tradnl"/>
        </w:rPr>
        <w:t> </w:t>
      </w:r>
      <w:r w:rsidRPr="0056409E">
        <w:rPr>
          <w:lang w:val="es-ES_tradnl"/>
        </w:rPr>
        <w:t xml:space="preserve">GHz están atribuidas al servicio de radiodifusión. En estas frecuencias, el fenómeno de atenuación por propagación exige que los transmisores de radiodifusión terrenal </w:t>
      </w:r>
      <w:r>
        <w:rPr>
          <w:lang w:val="es-ES_tradnl"/>
        </w:rPr>
        <w:t>se sitúen</w:t>
      </w:r>
      <w:r w:rsidRPr="0056409E">
        <w:rPr>
          <w:lang w:val="es-ES_tradnl"/>
        </w:rPr>
        <w:t xml:space="preserve"> cerca de los receptores.</w:t>
      </w:r>
    </w:p>
    <w:p w14:paraId="709DD971" w14:textId="77777777" w:rsidR="0086339D" w:rsidRPr="0056409E" w:rsidRDefault="0086339D" w:rsidP="0086339D">
      <w:pPr>
        <w:rPr>
          <w:lang w:val="es-ES_tradnl"/>
        </w:rPr>
      </w:pPr>
      <w:r w:rsidRPr="0056409E">
        <w:rPr>
          <w:lang w:val="es-ES_tradnl"/>
        </w:rPr>
        <w:lastRenderedPageBreak/>
        <w:t>En los puntos siguientes se describen los sistemas utilizados en radiodifusión.</w:t>
      </w:r>
    </w:p>
    <w:p w14:paraId="72ABAFDF" w14:textId="77777777" w:rsidR="0086339D" w:rsidRPr="00AC776E" w:rsidRDefault="0086339D" w:rsidP="0086339D">
      <w:pPr>
        <w:pStyle w:val="Heading4"/>
        <w:rPr>
          <w:lang w:val="es-ES_tradnl"/>
        </w:rPr>
      </w:pPr>
      <w:r w:rsidRPr="00AC776E">
        <w:rPr>
          <w:lang w:val="es-ES_tradnl"/>
        </w:rPr>
        <w:t>2.2.4.1</w:t>
      </w:r>
      <w:r w:rsidRPr="00AC776E">
        <w:rPr>
          <w:lang w:val="es-ES_tradnl"/>
        </w:rPr>
        <w:tab/>
        <w:t>Definiciones de zona de campo</w:t>
      </w:r>
    </w:p>
    <w:p w14:paraId="3F86E689" w14:textId="52A504BD" w:rsidR="0086339D" w:rsidRPr="0056409E" w:rsidRDefault="0086339D" w:rsidP="0086339D">
      <w:pPr>
        <w:rPr>
          <w:lang w:val="es-ES_tradnl"/>
        </w:rPr>
      </w:pPr>
      <w:r w:rsidRPr="00AC776E">
        <w:rPr>
          <w:lang w:val="es-ES_tradnl"/>
        </w:rPr>
        <w:t xml:space="preserve">Para antenas parabólicas con diámetro </w:t>
      </w:r>
      <w:r w:rsidRPr="00AC776E">
        <w:rPr>
          <w:i/>
          <w:iCs/>
          <w:lang w:val="es-ES_tradnl"/>
        </w:rPr>
        <w:t>D</w:t>
      </w:r>
      <w:r w:rsidRPr="00AC776E">
        <w:rPr>
          <w:lang w:val="es-ES_tradnl"/>
        </w:rPr>
        <w:t xml:space="preserve"> </w:t>
      </w:r>
      <w:r w:rsidRPr="00AC776E">
        <w:rPr>
          <w:rFonts w:ascii="Symbol" w:hAnsi="Symbol"/>
          <w:lang w:val="es-ES_tradnl"/>
        </w:rPr>
        <w:t></w:t>
      </w:r>
      <w:r w:rsidRPr="00AC776E">
        <w:rPr>
          <w:rFonts w:ascii="Symbol" w:hAnsi="Symbol"/>
          <w:lang w:val="es-ES_tradnl"/>
        </w:rPr>
        <w:t></w:t>
      </w:r>
      <w:r w:rsidRPr="00AC776E">
        <w:rPr>
          <w:lang w:val="es-ES_tradnl"/>
        </w:rPr>
        <w:t xml:space="preserve"> </w:t>
      </w:r>
      <w:r w:rsidRPr="00AC776E">
        <w:rPr>
          <w:rFonts w:ascii="Symbol" w:hAnsi="Symbol"/>
          <w:lang w:val="es-ES_tradnl"/>
        </w:rPr>
        <w:t></w:t>
      </w:r>
      <w:r w:rsidRPr="00AC776E">
        <w:rPr>
          <w:lang w:val="es-ES_tradnl"/>
        </w:rPr>
        <w:t xml:space="preserve"> se utilizan las siguientes definiciones (véase asimismo la especificación ETSI TR 102 457 [7]):</w:t>
      </w:r>
    </w:p>
    <w:p w14:paraId="3546FE98" w14:textId="77777777" w:rsidR="0086339D" w:rsidRPr="0056409E" w:rsidRDefault="0086339D" w:rsidP="0086339D">
      <w:pPr>
        <w:rPr>
          <w:lang w:val="es-ES_tradnl"/>
        </w:rPr>
      </w:pPr>
      <w:r w:rsidRPr="0056409E">
        <w:rPr>
          <w:bCs/>
          <w:i/>
          <w:iCs/>
          <w:lang w:val="es-ES_tradnl"/>
        </w:rPr>
        <w:t>Región de campo cercano</w:t>
      </w:r>
      <w:r w:rsidRPr="0056409E">
        <w:rPr>
          <w:bCs/>
          <w:lang w:val="es-ES_tradnl"/>
        </w:rPr>
        <w:t> –</w:t>
      </w:r>
      <w:r w:rsidRPr="0056409E">
        <w:rPr>
          <w:b/>
          <w:lang w:val="es-ES_tradnl"/>
        </w:rPr>
        <w:t> </w:t>
      </w:r>
      <w:r w:rsidRPr="0056409E">
        <w:rPr>
          <w:lang w:val="es-ES_tradnl"/>
        </w:rPr>
        <w:t xml:space="preserve">En el campo cercano, o región de Fresnel, del haz principal, la densidad de potencia puede alcanzar un máximo antes de que empiece a disminuir con la distancia. El máximo valor de la densidad de potencia de campo cercano en el eje depende únicamente de la potencia entregada a la antena, del diámetro, </w:t>
      </w:r>
      <w:r w:rsidRPr="0056409E">
        <w:rPr>
          <w:i/>
          <w:iCs/>
          <w:lang w:val="es-ES_tradnl"/>
        </w:rPr>
        <w:t>D</w:t>
      </w:r>
      <w:r w:rsidRPr="0056409E">
        <w:rPr>
          <w:lang w:val="es-ES_tradnl"/>
        </w:rPr>
        <w:t>, de la antena y de la eficacia de la antena.</w:t>
      </w:r>
    </w:p>
    <w:p w14:paraId="7FA1EB7A" w14:textId="77777777" w:rsidR="0086339D" w:rsidRPr="0056409E" w:rsidRDefault="0086339D" w:rsidP="0086339D">
      <w:pPr>
        <w:rPr>
          <w:lang w:val="es-ES_tradnl"/>
        </w:rPr>
      </w:pPr>
      <w:r w:rsidRPr="0056409E">
        <w:rPr>
          <w:i/>
          <w:iCs/>
          <w:lang w:val="es-ES_tradnl"/>
        </w:rPr>
        <w:t>Región de transición</w:t>
      </w:r>
      <w:r w:rsidRPr="0056409E">
        <w:rPr>
          <w:lang w:val="es-ES_tradnl"/>
        </w:rPr>
        <w:t> </w:t>
      </w:r>
      <w:r w:rsidRPr="0056409E">
        <w:rPr>
          <w:bCs/>
          <w:lang w:val="es-ES_tradnl"/>
        </w:rPr>
        <w:t>–</w:t>
      </w:r>
      <w:r w:rsidRPr="0056409E">
        <w:rPr>
          <w:b/>
          <w:lang w:val="es-ES_tradnl"/>
        </w:rPr>
        <w:t> </w:t>
      </w:r>
      <w:r w:rsidRPr="0056409E">
        <w:rPr>
          <w:lang w:val="es-ES_tradnl"/>
        </w:rPr>
        <w:t>La densidad de potencia en la región de transición disminuye de manera inversamente proporcional a la distancia desde la antena.</w:t>
      </w:r>
    </w:p>
    <w:p w14:paraId="01D3947F" w14:textId="77777777" w:rsidR="0086339D" w:rsidRPr="0056409E" w:rsidRDefault="0086339D" w:rsidP="0086339D">
      <w:pPr>
        <w:rPr>
          <w:lang w:val="es-ES_tradnl"/>
        </w:rPr>
      </w:pPr>
      <w:r w:rsidRPr="0056409E">
        <w:rPr>
          <w:i/>
          <w:iCs/>
          <w:lang w:val="es-ES_tradnl"/>
        </w:rPr>
        <w:t>Región de campo lejano</w:t>
      </w:r>
      <w:r w:rsidRPr="0056409E">
        <w:rPr>
          <w:lang w:val="es-ES_tradnl"/>
        </w:rPr>
        <w:t> </w:t>
      </w:r>
      <w:r w:rsidRPr="0056409E">
        <w:rPr>
          <w:bCs/>
          <w:lang w:val="es-ES_tradnl"/>
        </w:rPr>
        <w:t>– E</w:t>
      </w:r>
      <w:r w:rsidRPr="0056409E">
        <w:rPr>
          <w:lang w:val="es-ES_tradnl"/>
        </w:rPr>
        <w:t>n el espacio libre del campo lejano, o región de Fraunhofer, la densidad de potencia del diagrama de antena disminuye de forma inversamente proporcional al cuadrado de la distancia.</w:t>
      </w:r>
    </w:p>
    <w:p w14:paraId="2CF47247" w14:textId="507FA454" w:rsidR="0086339D" w:rsidRPr="0056409E" w:rsidRDefault="0086339D" w:rsidP="0086339D">
      <w:pPr>
        <w:rPr>
          <w:lang w:val="es-ES_tradnl"/>
        </w:rPr>
      </w:pPr>
      <w:r w:rsidRPr="0056409E">
        <w:rPr>
          <w:lang w:val="es-ES_tradnl"/>
        </w:rPr>
        <w:t xml:space="preserve">En la </w:t>
      </w:r>
      <w:r w:rsidR="0042201F">
        <w:rPr>
          <w:lang w:val="es-ES_tradnl"/>
        </w:rPr>
        <w:t>Fig.</w:t>
      </w:r>
      <w:r w:rsidRPr="0056409E">
        <w:rPr>
          <w:lang w:val="es-ES_tradnl"/>
        </w:rPr>
        <w:t> 1 se representan las diversas zonas de una antena parabólica (utilizada principalmente para la realización de evaluaciones punto a punto). El siguiente método sólo es válido a lo largo del eje principal de la antena.</w:t>
      </w:r>
    </w:p>
    <w:p w14:paraId="38D0D2BB" w14:textId="77777777" w:rsidR="0086339D" w:rsidRPr="00333497" w:rsidRDefault="0086339D" w:rsidP="0086339D">
      <w:pPr>
        <w:pStyle w:val="FigureNo"/>
        <w:rPr>
          <w:lang w:val="es-ES_tradnl"/>
        </w:rPr>
      </w:pPr>
      <w:r w:rsidRPr="00333497">
        <w:rPr>
          <w:lang w:val="es-ES_tradnl"/>
        </w:rPr>
        <w:t>FigurA 1</w:t>
      </w:r>
    </w:p>
    <w:p w14:paraId="3E311E9C" w14:textId="77777777" w:rsidR="0086339D" w:rsidRPr="0056409E" w:rsidRDefault="0086339D" w:rsidP="0086339D">
      <w:pPr>
        <w:pStyle w:val="Figuretitle"/>
        <w:rPr>
          <w:lang w:val="es-ES_tradnl"/>
        </w:rPr>
      </w:pPr>
      <w:r w:rsidRPr="00333497">
        <w:rPr>
          <w:lang w:val="es-ES_tradnl"/>
        </w:rPr>
        <w:t>Densidad de potencia de una antena parabólica en el eje de la parábola</w:t>
      </w:r>
    </w:p>
    <w:p w14:paraId="7D7015DE" w14:textId="24B854B1" w:rsidR="0086339D" w:rsidRDefault="00333497" w:rsidP="0086339D">
      <w:pPr>
        <w:pStyle w:val="Figure"/>
        <w:rPr>
          <w:lang w:val="es-ES_tradnl"/>
        </w:rPr>
      </w:pPr>
      <w:r w:rsidRPr="00333497">
        <w:rPr>
          <w:noProof/>
        </w:rPr>
        <w:drawing>
          <wp:inline distT="0" distB="0" distL="0" distR="0" wp14:anchorId="56E24D32" wp14:editId="05A84DAB">
            <wp:extent cx="5558155" cy="2926080"/>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8155" cy="2926080"/>
                    </a:xfrm>
                    <a:prstGeom prst="rect">
                      <a:avLst/>
                    </a:prstGeom>
                    <a:noFill/>
                    <a:ln>
                      <a:noFill/>
                    </a:ln>
                  </pic:spPr>
                </pic:pic>
              </a:graphicData>
            </a:graphic>
          </wp:inline>
        </w:drawing>
      </w:r>
    </w:p>
    <w:p w14:paraId="7E68B95D" w14:textId="1C729505" w:rsidR="0086339D" w:rsidRPr="0056409E" w:rsidRDefault="0086339D" w:rsidP="00AE187C">
      <w:pPr>
        <w:pStyle w:val="Normalaftertitle"/>
        <w:rPr>
          <w:lang w:val="es-ES_tradnl"/>
        </w:rPr>
      </w:pPr>
      <w:r w:rsidRPr="0056409E">
        <w:rPr>
          <w:lang w:val="es-ES_tradnl"/>
        </w:rPr>
        <w:t xml:space="preserve">La radiación de una antena parabólica en la zona de campo cercano se produce a lo largo de toda la longitud de la zona que tiene la forma de un cilindro con diámetro </w:t>
      </w:r>
      <w:r w:rsidRPr="0056409E">
        <w:rPr>
          <w:i/>
          <w:iCs/>
          <w:lang w:val="es-ES_tradnl"/>
        </w:rPr>
        <w:t>D</w:t>
      </w:r>
      <w:r w:rsidRPr="0056409E">
        <w:rPr>
          <w:lang w:val="es-ES_tradnl"/>
        </w:rPr>
        <w:t>. El máximo valor del CEM y su densidad de potencia son constantes a lo largo de toda la zona del campo cercano.</w:t>
      </w:r>
    </w:p>
    <w:p w14:paraId="129C1841" w14:textId="77777777" w:rsidR="0086339D" w:rsidRPr="00111E49" w:rsidRDefault="0086339D" w:rsidP="0086339D">
      <w:pPr>
        <w:rPr>
          <w:lang w:val="es-ES"/>
        </w:rPr>
      </w:pPr>
      <w:r w:rsidRPr="0056409E">
        <w:rPr>
          <w:lang w:val="es-ES_tradnl"/>
        </w:rPr>
        <w:t>Ello se expresa mediante la ecuación:</w:t>
      </w:r>
    </w:p>
    <w:p w14:paraId="095B25A5" w14:textId="77777777" w:rsidR="0086339D" w:rsidRPr="00111E49" w:rsidRDefault="0086339D" w:rsidP="0086339D">
      <w:pPr>
        <w:pStyle w:val="Equation"/>
        <w:rPr>
          <w:lang w:val="es-ES"/>
        </w:rPr>
      </w:pPr>
      <w:r w:rsidRPr="00111E49">
        <w:rPr>
          <w:lang w:val="es-ES"/>
        </w:rPr>
        <w:tab/>
      </w:r>
      <w:r w:rsidRPr="00111E49">
        <w:rPr>
          <w:lang w:val="es-ES"/>
        </w:rPr>
        <w:tab/>
      </w:r>
      <m:oMath>
        <m:r>
          <w:rPr>
            <w:rFonts w:ascii="Cambria Math" w:hAnsi="Cambria Math"/>
          </w:rPr>
          <m:t>S</m:t>
        </m:r>
        <m:d>
          <m:dPr>
            <m:ctrlPr>
              <w:rPr>
                <w:rFonts w:ascii="Cambria Math" w:hAnsi="Cambria Math"/>
                <w:i/>
              </w:rPr>
            </m:ctrlPr>
          </m:dPr>
          <m:e>
            <m:sSup>
              <m:sSupPr>
                <m:ctrlPr>
                  <w:rPr>
                    <w:rFonts w:ascii="Cambria Math" w:hAnsi="Cambria Math"/>
                    <w:iCs/>
                  </w:rPr>
                </m:ctrlPr>
              </m:sSupPr>
              <m:e>
                <m:f>
                  <m:fPr>
                    <m:type m:val="lin"/>
                    <m:ctrlPr>
                      <w:rPr>
                        <w:rFonts w:ascii="Cambria Math" w:hAnsi="Cambria Math"/>
                        <w:iCs/>
                      </w:rPr>
                    </m:ctrlPr>
                  </m:fPr>
                  <m:num>
                    <m:r>
                      <m:rPr>
                        <m:sty m:val="p"/>
                      </m:rPr>
                      <w:rPr>
                        <w:rFonts w:ascii="Cambria Math" w:hAnsi="Cambria Math"/>
                        <w:lang w:val="es-ES"/>
                      </w:rPr>
                      <m:t>W</m:t>
                    </m:r>
                  </m:num>
                  <m:den>
                    <m:r>
                      <m:rPr>
                        <m:sty m:val="p"/>
                      </m:rPr>
                      <w:rPr>
                        <w:rFonts w:ascii="Cambria Math" w:hAnsi="Cambria Math"/>
                        <w:lang w:val="es-ES"/>
                      </w:rPr>
                      <m:t>m</m:t>
                    </m:r>
                  </m:den>
                </m:f>
              </m:e>
              <m:sup>
                <m:r>
                  <m:rPr>
                    <m:sty m:val="p"/>
                  </m:rPr>
                  <w:rPr>
                    <w:rFonts w:ascii="Cambria Math" w:hAnsi="Cambria Math"/>
                    <w:lang w:val="es-ES"/>
                  </w:rPr>
                  <m:t>2</m:t>
                </m:r>
              </m:sup>
            </m:sSup>
          </m:e>
        </m:d>
        <m:r>
          <w:rPr>
            <w:rFonts w:ascii="Cambria Math" w:hAnsi="Cambria Math"/>
            <w:lang w:val="es-ES"/>
          </w:rPr>
          <m:t>=</m:t>
        </m:r>
        <m:f>
          <m:fPr>
            <m:ctrlPr>
              <w:rPr>
                <w:rFonts w:ascii="Cambria Math" w:hAnsi="Cambria Math"/>
                <w:i/>
              </w:rPr>
            </m:ctrlPr>
          </m:fPr>
          <m:num>
            <m:r>
              <w:rPr>
                <w:rFonts w:ascii="Cambria Math" w:hAnsi="Cambria Math"/>
                <w:lang w:val="es-ES"/>
              </w:rPr>
              <m:t>16</m:t>
            </m:r>
            <m:r>
              <m:rPr>
                <m:sty m:val="p"/>
              </m:rPr>
              <w:rPr>
                <w:rFonts w:ascii="Cambria Math" w:hAnsi="Cambria Math"/>
              </w:rPr>
              <m:t>η</m:t>
            </m:r>
            <m:r>
              <w:rPr>
                <w:rFonts w:ascii="Cambria Math" w:hAnsi="Cambria Math"/>
              </w:rPr>
              <m:t>P</m:t>
            </m:r>
          </m:num>
          <m:den>
            <m:sSup>
              <m:sSupPr>
                <m:ctrlPr>
                  <w:rPr>
                    <w:rFonts w:ascii="Cambria Math" w:hAnsi="Cambria Math"/>
                    <w:i/>
                  </w:rPr>
                </m:ctrlPr>
              </m:sSupPr>
              <m:e>
                <m:r>
                  <m:rPr>
                    <m:sty m:val="p"/>
                  </m:rPr>
                  <w:rPr>
                    <w:rFonts w:ascii="Cambria Math" w:hAnsi="Cambria Math"/>
                  </w:rPr>
                  <m:t>π</m:t>
                </m:r>
                <m:r>
                  <w:rPr>
                    <w:rFonts w:ascii="Cambria Math" w:hAnsi="Cambria Math"/>
                  </w:rPr>
                  <m:t>D</m:t>
                </m:r>
              </m:e>
              <m:sup>
                <m:r>
                  <w:rPr>
                    <w:rFonts w:ascii="Cambria Math" w:hAnsi="Cambria Math"/>
                    <w:lang w:val="es-ES"/>
                  </w:rPr>
                  <m:t>2</m:t>
                </m:r>
              </m:sup>
            </m:sSup>
          </m:den>
        </m:f>
      </m:oMath>
      <w:r w:rsidRPr="00111E49">
        <w:rPr>
          <w:lang w:val="es-ES"/>
        </w:rPr>
        <w:tab/>
        <w:t>(11)</w:t>
      </w:r>
    </w:p>
    <w:p w14:paraId="08BFEEFB" w14:textId="77777777" w:rsidR="0086339D" w:rsidRPr="0056409E" w:rsidRDefault="0086339D" w:rsidP="0086339D">
      <w:pPr>
        <w:rPr>
          <w:lang w:val="es-ES_tradnl"/>
        </w:rPr>
      </w:pPr>
      <w:r w:rsidRPr="0056409E">
        <w:rPr>
          <w:lang w:val="es-ES_tradnl"/>
        </w:rPr>
        <w:t>donde:</w:t>
      </w:r>
    </w:p>
    <w:p w14:paraId="463FC3F6" w14:textId="77777777" w:rsidR="0086339D" w:rsidRPr="0056409E" w:rsidRDefault="0086339D" w:rsidP="0086339D">
      <w:pPr>
        <w:pStyle w:val="Equationlegend"/>
        <w:rPr>
          <w:lang w:val="es-ES_tradnl"/>
        </w:rPr>
      </w:pPr>
      <w:r w:rsidRPr="0056409E">
        <w:rPr>
          <w:sz w:val="28"/>
          <w:lang w:val="es-ES_tradnl"/>
        </w:rPr>
        <w:tab/>
      </w:r>
      <w:r w:rsidRPr="0056409E">
        <w:rPr>
          <w:rFonts w:ascii="Symbol" w:hAnsi="Symbol"/>
          <w:lang w:val="es-ES_tradnl"/>
        </w:rPr>
        <w:t></w:t>
      </w:r>
      <w:r w:rsidRPr="0056409E">
        <w:rPr>
          <w:rFonts w:ascii="Tms Rmn" w:hAnsi="Tms Rmn"/>
          <w:sz w:val="12"/>
          <w:lang w:val="es-ES_tradnl"/>
        </w:rPr>
        <w:t> </w:t>
      </w:r>
      <w:r w:rsidRPr="0056409E">
        <w:rPr>
          <w:lang w:val="es-ES_tradnl"/>
        </w:rPr>
        <w:t xml:space="preserve">: </w:t>
      </w:r>
      <w:r w:rsidRPr="0056409E">
        <w:rPr>
          <w:sz w:val="28"/>
          <w:lang w:val="es-ES_tradnl"/>
        </w:rPr>
        <w:tab/>
      </w:r>
      <w:r w:rsidRPr="0056409E">
        <w:rPr>
          <w:lang w:val="es-ES_tradnl"/>
        </w:rPr>
        <w:t>eficacia de la antena parabólica (se utiliza un valor de 0,55)</w:t>
      </w:r>
    </w:p>
    <w:p w14:paraId="174D97BA" w14:textId="77777777" w:rsidR="0086339D" w:rsidRPr="0056409E" w:rsidRDefault="0086339D" w:rsidP="0086339D">
      <w:pPr>
        <w:pStyle w:val="Equationlegend"/>
        <w:rPr>
          <w:lang w:val="es-ES_tradnl"/>
        </w:rPr>
      </w:pPr>
      <w:r w:rsidRPr="0056409E">
        <w:rPr>
          <w:lang w:val="es-ES_tradnl"/>
        </w:rPr>
        <w:tab/>
      </w:r>
      <w:r w:rsidRPr="0056409E">
        <w:rPr>
          <w:i/>
          <w:iCs/>
          <w:lang w:val="es-ES_tradnl"/>
        </w:rPr>
        <w:t>P</w:t>
      </w:r>
      <w:r w:rsidRPr="0056409E">
        <w:rPr>
          <w:rFonts w:ascii="Tms Rmn" w:hAnsi="Tms Rmn"/>
          <w:sz w:val="12"/>
          <w:lang w:val="es-ES_tradnl"/>
        </w:rPr>
        <w:t> </w:t>
      </w:r>
      <w:r w:rsidRPr="0056409E">
        <w:rPr>
          <w:lang w:val="es-ES_tradnl"/>
        </w:rPr>
        <w:t xml:space="preserve">: </w:t>
      </w:r>
      <w:r w:rsidRPr="0056409E">
        <w:rPr>
          <w:sz w:val="28"/>
          <w:lang w:val="es-ES_tradnl"/>
        </w:rPr>
        <w:tab/>
      </w:r>
      <w:r w:rsidRPr="0056409E">
        <w:rPr>
          <w:lang w:val="es-ES_tradnl"/>
        </w:rPr>
        <w:t>potencia del transmisor (W)</w:t>
      </w:r>
    </w:p>
    <w:p w14:paraId="16C26881" w14:textId="77777777" w:rsidR="0086339D" w:rsidRPr="0056409E" w:rsidRDefault="0086339D" w:rsidP="0086339D">
      <w:pPr>
        <w:pStyle w:val="Equationlegend"/>
        <w:rPr>
          <w:lang w:val="es-ES_tradnl"/>
        </w:rPr>
      </w:pPr>
      <w:r w:rsidRPr="0056409E">
        <w:rPr>
          <w:lang w:val="es-ES_tradnl"/>
        </w:rPr>
        <w:lastRenderedPageBreak/>
        <w:tab/>
      </w:r>
      <w:r w:rsidRPr="0056409E">
        <w:rPr>
          <w:i/>
          <w:iCs/>
          <w:lang w:val="es-ES_tradnl"/>
        </w:rPr>
        <w:t>D</w:t>
      </w:r>
      <w:r w:rsidRPr="0056409E">
        <w:rPr>
          <w:rFonts w:ascii="Tms Rmn" w:hAnsi="Tms Rmn"/>
          <w:sz w:val="12"/>
          <w:lang w:val="es-ES_tradnl"/>
        </w:rPr>
        <w:t> </w:t>
      </w:r>
      <w:r w:rsidRPr="0056409E">
        <w:rPr>
          <w:lang w:val="es-ES_tradnl"/>
        </w:rPr>
        <w:t xml:space="preserve">: </w:t>
      </w:r>
      <w:r w:rsidRPr="0056409E">
        <w:rPr>
          <w:sz w:val="28"/>
          <w:lang w:val="es-ES_tradnl"/>
        </w:rPr>
        <w:tab/>
      </w:r>
      <w:r w:rsidRPr="0056409E">
        <w:rPr>
          <w:lang w:val="es-ES_tradnl"/>
        </w:rPr>
        <w:t>diámetro de la antena parabólica (m).</w:t>
      </w:r>
    </w:p>
    <w:p w14:paraId="3B2FDD9A" w14:textId="77777777" w:rsidR="0086339D" w:rsidRPr="0056409E" w:rsidRDefault="0086339D" w:rsidP="0086339D">
      <w:pPr>
        <w:rPr>
          <w:lang w:val="es-ES_tradnl"/>
        </w:rPr>
      </w:pPr>
      <w:r w:rsidRPr="0056409E">
        <w:rPr>
          <w:lang w:val="es-ES_tradnl"/>
        </w:rPr>
        <w:t xml:space="preserve">La densidad </w:t>
      </w:r>
      <w:r w:rsidRPr="0056409E">
        <w:rPr>
          <w:i/>
          <w:iCs/>
          <w:sz w:val="28"/>
          <w:lang w:val="es-ES_tradnl"/>
        </w:rPr>
        <w:t>S</w:t>
      </w:r>
      <w:r w:rsidRPr="0056409E">
        <w:rPr>
          <w:lang w:val="es-ES_tradnl"/>
        </w:rPr>
        <w:t xml:space="preserve"> es máxima a lo largo de la zona de campo cercano.</w:t>
      </w:r>
    </w:p>
    <w:p w14:paraId="36553463" w14:textId="77777777" w:rsidR="0086339D" w:rsidRPr="0056409E" w:rsidRDefault="0086339D" w:rsidP="0086339D">
      <w:pPr>
        <w:rPr>
          <w:lang w:val="es-ES_tradnl"/>
        </w:rPr>
      </w:pPr>
      <w:r w:rsidRPr="0056409E">
        <w:rPr>
          <w:lang w:val="es-ES_tradnl"/>
        </w:rPr>
        <w:t xml:space="preserve">A partir del punto 1 (comienzo de la zona de transición) la densidad </w:t>
      </w:r>
      <w:r w:rsidRPr="0056409E">
        <w:rPr>
          <w:i/>
          <w:iCs/>
          <w:lang w:val="es-ES_tradnl"/>
        </w:rPr>
        <w:t>S</w:t>
      </w:r>
      <w:r w:rsidRPr="0056409E">
        <w:rPr>
          <w:lang w:val="es-ES_tradnl"/>
        </w:rPr>
        <w:t xml:space="preserve"> disminuye linealmente con la distancia </w:t>
      </w:r>
      <w:r w:rsidRPr="0056409E">
        <w:rPr>
          <w:i/>
          <w:iCs/>
          <w:lang w:val="es-ES_tradnl"/>
        </w:rPr>
        <w:t>r</w:t>
      </w:r>
      <w:r w:rsidRPr="0056409E">
        <w:rPr>
          <w:lang w:val="es-ES_tradnl"/>
        </w:rPr>
        <w:t xml:space="preserve"> hasta llegar al punto 2, donde empieza la zona de campo lejano.</w:t>
      </w:r>
    </w:p>
    <w:p w14:paraId="7DC792D4" w14:textId="77777777" w:rsidR="0086339D" w:rsidRPr="00111E49" w:rsidRDefault="0086339D" w:rsidP="0086339D">
      <w:pPr>
        <w:rPr>
          <w:lang w:val="es-ES"/>
        </w:rPr>
      </w:pPr>
      <w:r w:rsidRPr="0056409E">
        <w:rPr>
          <w:lang w:val="es-ES_tradnl"/>
        </w:rPr>
        <w:t xml:space="preserve">En la zona de espacio libre del campo lejano, </w:t>
      </w:r>
      <w:r w:rsidRPr="0056409E">
        <w:rPr>
          <w:i/>
          <w:iCs/>
          <w:lang w:val="es-ES_tradnl"/>
        </w:rPr>
        <w:t>S</w:t>
      </w:r>
      <w:r w:rsidRPr="0056409E">
        <w:rPr>
          <w:lang w:val="es-ES_tradnl"/>
        </w:rPr>
        <w:t xml:space="preserve"> disminuye con el cuadrado de la distancia según la ecuación:</w:t>
      </w:r>
    </w:p>
    <w:p w14:paraId="6C58B930" w14:textId="77777777" w:rsidR="0086339D" w:rsidRPr="00111E49" w:rsidRDefault="0086339D" w:rsidP="0086339D">
      <w:pPr>
        <w:pStyle w:val="Equation"/>
        <w:rPr>
          <w:lang w:val="es-ES"/>
        </w:rPr>
      </w:pPr>
      <w:r w:rsidRPr="00111E49">
        <w:rPr>
          <w:lang w:val="es-ES"/>
        </w:rPr>
        <w:tab/>
      </w:r>
      <w:r w:rsidRPr="00111E49">
        <w:rPr>
          <w:lang w:val="es-ES"/>
        </w:rPr>
        <w:tab/>
      </w:r>
      <m:oMath>
        <m:r>
          <w:rPr>
            <w:rFonts w:ascii="Cambria Math" w:hAnsi="Cambria Math"/>
          </w:rPr>
          <m:t>S</m:t>
        </m:r>
        <m:d>
          <m:dPr>
            <m:ctrlPr>
              <w:rPr>
                <w:rFonts w:ascii="Cambria Math" w:hAnsi="Cambria Math"/>
                <w:i/>
              </w:rPr>
            </m:ctrlPr>
          </m:dPr>
          <m:e>
            <m:sSup>
              <m:sSupPr>
                <m:ctrlPr>
                  <w:rPr>
                    <w:rFonts w:ascii="Cambria Math" w:hAnsi="Cambria Math"/>
                    <w:iCs/>
                  </w:rPr>
                </m:ctrlPr>
              </m:sSupPr>
              <m:e>
                <m:f>
                  <m:fPr>
                    <m:type m:val="lin"/>
                    <m:ctrlPr>
                      <w:rPr>
                        <w:rFonts w:ascii="Cambria Math" w:hAnsi="Cambria Math"/>
                        <w:iCs/>
                      </w:rPr>
                    </m:ctrlPr>
                  </m:fPr>
                  <m:num>
                    <m:r>
                      <m:rPr>
                        <m:sty m:val="p"/>
                      </m:rPr>
                      <w:rPr>
                        <w:rFonts w:ascii="Cambria Math" w:hAnsi="Cambria Math"/>
                        <w:lang w:val="es-ES"/>
                      </w:rPr>
                      <m:t>W</m:t>
                    </m:r>
                  </m:num>
                  <m:den>
                    <m:r>
                      <m:rPr>
                        <m:sty m:val="p"/>
                      </m:rPr>
                      <w:rPr>
                        <w:rFonts w:ascii="Cambria Math" w:hAnsi="Cambria Math"/>
                        <w:lang w:val="es-ES"/>
                      </w:rPr>
                      <m:t>m</m:t>
                    </m:r>
                  </m:den>
                </m:f>
              </m:e>
              <m:sup>
                <m:r>
                  <m:rPr>
                    <m:sty m:val="p"/>
                  </m:rPr>
                  <w:rPr>
                    <w:rFonts w:ascii="Cambria Math" w:hAnsi="Cambria Math"/>
                    <w:lang w:val="es-ES"/>
                  </w:rPr>
                  <m:t>2</m:t>
                </m:r>
              </m:sup>
            </m:sSup>
          </m:e>
        </m:d>
        <m:r>
          <w:rPr>
            <w:rFonts w:ascii="Cambria Math" w:hAnsi="Cambria Math"/>
            <w:lang w:val="es-ES"/>
          </w:rPr>
          <m:t>=</m:t>
        </m:r>
        <m:f>
          <m:fPr>
            <m:ctrlPr>
              <w:rPr>
                <w:rFonts w:ascii="Cambria Math" w:hAnsi="Cambria Math"/>
                <w:i/>
              </w:rPr>
            </m:ctrlPr>
          </m:fPr>
          <m:num>
            <m:r>
              <w:rPr>
                <w:rFonts w:ascii="Cambria Math" w:hAnsi="Cambria Math"/>
              </w:rPr>
              <m:t>GP</m:t>
            </m:r>
          </m:num>
          <m:den>
            <m:r>
              <w:rPr>
                <w:rFonts w:ascii="Cambria Math" w:hAnsi="Cambria Math"/>
                <w:lang w:val="es-ES"/>
              </w:rPr>
              <m:t>4</m:t>
            </m:r>
            <m:sSup>
              <m:sSupPr>
                <m:ctrlPr>
                  <w:rPr>
                    <w:rFonts w:ascii="Cambria Math" w:hAnsi="Cambria Math"/>
                    <w:i/>
                  </w:rPr>
                </m:ctrlPr>
              </m:sSupPr>
              <m:e>
                <m:r>
                  <m:rPr>
                    <m:sty m:val="p"/>
                  </m:rPr>
                  <w:rPr>
                    <w:rFonts w:ascii="Cambria Math" w:hAnsi="Cambria Math"/>
                  </w:rPr>
                  <m:t>π</m:t>
                </m:r>
                <m:r>
                  <w:rPr>
                    <w:rFonts w:ascii="Cambria Math" w:hAnsi="Cambria Math"/>
                    <w:lang w:val="es-ES"/>
                  </w:rPr>
                  <m:t xml:space="preserve"> </m:t>
                </m:r>
                <m:r>
                  <w:rPr>
                    <w:rFonts w:ascii="Cambria Math" w:hAnsi="Cambria Math"/>
                  </w:rPr>
                  <m:t>r</m:t>
                </m:r>
              </m:e>
              <m:sup>
                <m:r>
                  <w:rPr>
                    <w:rFonts w:ascii="Cambria Math" w:hAnsi="Cambria Math"/>
                    <w:lang w:val="es-ES"/>
                  </w:rPr>
                  <m:t>2</m:t>
                </m:r>
              </m:sup>
            </m:sSup>
          </m:den>
        </m:f>
      </m:oMath>
      <w:r w:rsidRPr="00111E49">
        <w:rPr>
          <w:lang w:val="es-ES"/>
        </w:rPr>
        <w:tab/>
        <w:t>(12)</w:t>
      </w:r>
    </w:p>
    <w:p w14:paraId="22C54F1D" w14:textId="77777777" w:rsidR="0086339D" w:rsidRPr="0056409E" w:rsidRDefault="0086339D" w:rsidP="0086339D">
      <w:pPr>
        <w:rPr>
          <w:lang w:val="es-ES_tradnl"/>
        </w:rPr>
      </w:pPr>
      <w:r w:rsidRPr="0056409E">
        <w:rPr>
          <w:lang w:val="es-ES_tradnl"/>
        </w:rPr>
        <w:t>donde:</w:t>
      </w:r>
    </w:p>
    <w:p w14:paraId="0678DBF0" w14:textId="77777777" w:rsidR="0086339D" w:rsidRPr="0056409E" w:rsidRDefault="0086339D" w:rsidP="0086339D">
      <w:pPr>
        <w:pStyle w:val="Equationlegend"/>
        <w:rPr>
          <w:lang w:val="es-ES_tradnl"/>
        </w:rPr>
      </w:pPr>
      <w:r w:rsidRPr="0056409E">
        <w:rPr>
          <w:lang w:val="es-ES_tradnl"/>
        </w:rPr>
        <w:tab/>
      </w:r>
      <w:r w:rsidRPr="0056409E">
        <w:rPr>
          <w:i/>
          <w:iCs/>
          <w:lang w:val="es-ES_tradnl"/>
        </w:rPr>
        <w:t>G</w:t>
      </w:r>
      <w:r w:rsidRPr="0056409E">
        <w:rPr>
          <w:rFonts w:ascii="Tms Rmn" w:hAnsi="Tms Rmn"/>
          <w:sz w:val="12"/>
          <w:lang w:val="es-ES_tradnl"/>
        </w:rPr>
        <w:t> </w:t>
      </w:r>
      <w:r w:rsidRPr="0056409E">
        <w:rPr>
          <w:lang w:val="es-ES_tradnl"/>
        </w:rPr>
        <w:t xml:space="preserve">: </w:t>
      </w:r>
      <w:r w:rsidRPr="0056409E">
        <w:rPr>
          <w:sz w:val="28"/>
          <w:lang w:val="es-ES_tradnl"/>
        </w:rPr>
        <w:tab/>
      </w:r>
      <w:r w:rsidRPr="0056409E">
        <w:rPr>
          <w:lang w:val="es-ES_tradnl"/>
        </w:rPr>
        <w:t>ganancia de la antena parabólica con respecto a una fuente isótropa</w:t>
      </w:r>
    </w:p>
    <w:p w14:paraId="659A35D7" w14:textId="77777777" w:rsidR="0086339D" w:rsidRPr="0056409E" w:rsidRDefault="0086339D" w:rsidP="0086339D">
      <w:pPr>
        <w:pStyle w:val="Equationlegend"/>
        <w:rPr>
          <w:lang w:val="es-ES_tradnl"/>
        </w:rPr>
      </w:pPr>
      <w:r w:rsidRPr="0056409E">
        <w:rPr>
          <w:lang w:val="es-ES_tradnl"/>
        </w:rPr>
        <w:tab/>
      </w:r>
      <w:r w:rsidRPr="0056409E">
        <w:rPr>
          <w:i/>
          <w:iCs/>
          <w:lang w:val="es-ES_tradnl"/>
        </w:rPr>
        <w:t>r</w:t>
      </w:r>
      <w:r w:rsidRPr="0056409E">
        <w:rPr>
          <w:rFonts w:ascii="Tms Rmn" w:hAnsi="Tms Rmn"/>
          <w:sz w:val="12"/>
          <w:lang w:val="es-ES_tradnl"/>
        </w:rPr>
        <w:t> </w:t>
      </w:r>
      <w:r w:rsidRPr="0056409E">
        <w:rPr>
          <w:lang w:val="es-ES_tradnl"/>
        </w:rPr>
        <w:t xml:space="preserve">: </w:t>
      </w:r>
      <w:r w:rsidRPr="0056409E">
        <w:rPr>
          <w:sz w:val="28"/>
          <w:lang w:val="es-ES_tradnl"/>
        </w:rPr>
        <w:tab/>
      </w:r>
      <w:r w:rsidRPr="0056409E">
        <w:rPr>
          <w:lang w:val="es-ES_tradnl"/>
        </w:rPr>
        <w:t>distancia desde la antena parabólica (m).</w:t>
      </w:r>
    </w:p>
    <w:p w14:paraId="68106706" w14:textId="77777777" w:rsidR="0086339D" w:rsidRPr="0056409E" w:rsidRDefault="0086339D" w:rsidP="0086339D">
      <w:pPr>
        <w:rPr>
          <w:lang w:val="es-ES_tradnl"/>
        </w:rPr>
      </w:pPr>
      <w:r w:rsidRPr="0056409E">
        <w:rPr>
          <w:lang w:val="es-ES_tradnl"/>
        </w:rPr>
        <w:t xml:space="preserve">La densidad </w:t>
      </w:r>
      <w:r w:rsidRPr="0056409E">
        <w:rPr>
          <w:i/>
          <w:iCs/>
          <w:lang w:val="es-ES_tradnl"/>
        </w:rPr>
        <w:t>S</w:t>
      </w:r>
      <w:r w:rsidRPr="0056409E">
        <w:rPr>
          <w:lang w:val="es-ES_tradnl"/>
        </w:rPr>
        <w:t xml:space="preserve"> es máxima en el eje de la antena parabólica.</w:t>
      </w:r>
    </w:p>
    <w:p w14:paraId="584D3CED" w14:textId="77777777" w:rsidR="0086339D" w:rsidRPr="0056409E" w:rsidRDefault="0086339D" w:rsidP="0086339D">
      <w:pPr>
        <w:pStyle w:val="Heading2"/>
        <w:rPr>
          <w:lang w:val="es-ES_tradnl"/>
        </w:rPr>
      </w:pPr>
      <w:bookmarkStart w:id="249" w:name="_Toc65545978"/>
      <w:bookmarkStart w:id="250" w:name="_Toc65546165"/>
      <w:bookmarkStart w:id="251" w:name="_Toc65546317"/>
      <w:bookmarkStart w:id="252" w:name="_Toc86461511"/>
      <w:bookmarkStart w:id="253" w:name="_Toc162005901"/>
      <w:bookmarkStart w:id="254" w:name="_Toc162006225"/>
      <w:bookmarkStart w:id="255" w:name="_Toc162444571"/>
      <w:bookmarkStart w:id="256" w:name="_Toc162518195"/>
      <w:bookmarkStart w:id="257" w:name="_Toc162518717"/>
      <w:r w:rsidRPr="0056409E">
        <w:rPr>
          <w:lang w:val="es-ES_tradnl"/>
        </w:rPr>
        <w:t>2.3</w:t>
      </w:r>
      <w:r w:rsidRPr="0056409E">
        <w:rPr>
          <w:lang w:val="es-ES_tradnl"/>
        </w:rPr>
        <w:tab/>
        <w:t>Campo de frecuencias combinado</w:t>
      </w:r>
      <w:bookmarkEnd w:id="249"/>
      <w:bookmarkEnd w:id="250"/>
      <w:bookmarkEnd w:id="251"/>
      <w:bookmarkEnd w:id="252"/>
      <w:bookmarkEnd w:id="253"/>
      <w:bookmarkEnd w:id="254"/>
      <w:bookmarkEnd w:id="255"/>
      <w:bookmarkEnd w:id="256"/>
      <w:bookmarkEnd w:id="257"/>
    </w:p>
    <w:p w14:paraId="26273195" w14:textId="77777777" w:rsidR="0086339D" w:rsidRPr="0056409E" w:rsidRDefault="0086339D" w:rsidP="0086339D">
      <w:pPr>
        <w:rPr>
          <w:lang w:val="es-ES_tradnl"/>
        </w:rPr>
      </w:pPr>
      <w:r w:rsidRPr="0056409E">
        <w:rPr>
          <w:lang w:val="es-ES_tradnl"/>
        </w:rPr>
        <w:t>Es común contar con más de un transmisor (que utiliza distintas frecuencias de transmisión) situado en el mismo emplazamiento de transmisión. En este caso es necesario considerar un efecto total (combinado) de la exposición de los seres humanos a la energía de RF. Por otro lado, los efectos dependen de la frecuencia y, por lo tanto, una vez calculados los parámetros pertinentes (S, E y H), debe tenerse en cuenta el efecto combinado.</w:t>
      </w:r>
    </w:p>
    <w:p w14:paraId="48A5E0AB" w14:textId="77777777" w:rsidR="0086339D" w:rsidRPr="0056409E" w:rsidRDefault="0086339D" w:rsidP="0086339D">
      <w:pPr>
        <w:rPr>
          <w:lang w:val="es-ES_tradnl"/>
        </w:rPr>
      </w:pPr>
      <w:r w:rsidRPr="0056409E">
        <w:rPr>
          <w:lang w:val="es-ES_tradnl"/>
        </w:rPr>
        <w:t>Para el efecto térmico, los límites de exposición aparecen en términos de la tasa de absorción específica (SAR) (véase el Adjunto 3), lo que significa que deben determinarse las densidades de potencia apropiadas. En el caso de un emplazamiento de transmisor multifrecuencia, se recomienda que la densidad de potencia total sea la suma de la densidad de potencia en cada frecuencia transmisora:</w:t>
      </w:r>
    </w:p>
    <w:p w14:paraId="1EA8DB29" w14:textId="77777777" w:rsidR="0086339D" w:rsidRPr="0056409E" w:rsidRDefault="0086339D" w:rsidP="0086339D">
      <w:pPr>
        <w:pStyle w:val="Equation"/>
        <w:spacing w:before="60"/>
        <w:rPr>
          <w:lang w:val="es-ES_tradnl"/>
        </w:rPr>
      </w:pPr>
      <w:r w:rsidRPr="0056409E">
        <w:rPr>
          <w:lang w:val="es-ES_tradnl"/>
        </w:rPr>
        <w:tab/>
      </w:r>
      <w:r w:rsidRPr="0056409E">
        <w:rPr>
          <w:lang w:val="es-ES_tradnl"/>
        </w:rPr>
        <w:tab/>
      </w:r>
      <w:r w:rsidRPr="0056409E">
        <w:rPr>
          <w:position w:val="-34"/>
          <w:lang w:val="es-ES_tradnl"/>
        </w:rPr>
        <w:object w:dxaOrig="1160" w:dyaOrig="800" w14:anchorId="1B6B633A">
          <v:shape id="_x0000_i1220" type="#_x0000_t75" style="width:58.4pt;height:40.1pt" o:ole="">
            <v:imagedata r:id="rId36" o:title=""/>
          </v:shape>
          <o:OLEObject Type="Embed" ProgID="Equation.3" ShapeID="_x0000_i1220" DrawAspect="Content" ObjectID="_1773141085" r:id="rId37"/>
        </w:object>
      </w:r>
      <w:r w:rsidRPr="0056409E">
        <w:rPr>
          <w:lang w:val="es-ES_tradnl"/>
        </w:rPr>
        <w:tab/>
        <w:t>(13)</w:t>
      </w:r>
    </w:p>
    <w:p w14:paraId="4EEC81F8" w14:textId="77777777" w:rsidR="0086339D" w:rsidRPr="0056409E" w:rsidRDefault="0086339D" w:rsidP="0086339D">
      <w:pPr>
        <w:spacing w:before="80"/>
        <w:rPr>
          <w:lang w:val="es-ES_tradnl"/>
        </w:rPr>
      </w:pPr>
      <w:r w:rsidRPr="0056409E">
        <w:rPr>
          <w:lang w:val="es-ES_tradnl"/>
        </w:rPr>
        <w:t xml:space="preserve">siendo </w:t>
      </w:r>
      <w:r w:rsidRPr="0056409E">
        <w:rPr>
          <w:i/>
          <w:iCs/>
          <w:lang w:val="es-ES_tradnl"/>
        </w:rPr>
        <w:t>S</w:t>
      </w:r>
      <w:r w:rsidRPr="0056409E">
        <w:rPr>
          <w:i/>
          <w:iCs/>
          <w:vertAlign w:val="subscript"/>
          <w:lang w:val="es-ES_tradnl"/>
        </w:rPr>
        <w:t>i</w:t>
      </w:r>
      <w:r w:rsidRPr="0056409E">
        <w:rPr>
          <w:lang w:val="es-ES_tradnl"/>
        </w:rPr>
        <w:t xml:space="preserve"> la densidad de potencia a la frecuencia </w:t>
      </w:r>
      <w:r w:rsidRPr="0056409E">
        <w:rPr>
          <w:i/>
          <w:iCs/>
          <w:lang w:val="es-ES_tradnl"/>
        </w:rPr>
        <w:t>f</w:t>
      </w:r>
      <w:r w:rsidRPr="0056409E">
        <w:rPr>
          <w:i/>
          <w:iCs/>
          <w:vertAlign w:val="subscript"/>
          <w:lang w:val="es-ES_tradnl"/>
        </w:rPr>
        <w:t>i</w:t>
      </w:r>
      <w:r w:rsidRPr="0056409E">
        <w:rPr>
          <w:lang w:val="es-ES_tradnl"/>
        </w:rPr>
        <w:t xml:space="preserve"> (</w:t>
      </w:r>
      <w:r w:rsidRPr="0056409E">
        <w:rPr>
          <w:i/>
          <w:iCs/>
          <w:lang w:val="es-ES_tradnl"/>
        </w:rPr>
        <w:t xml:space="preserve">i </w:t>
      </w:r>
      <w:r w:rsidRPr="0056409E">
        <w:rPr>
          <w:lang w:val="es-ES_tradnl"/>
        </w:rPr>
        <w:t xml:space="preserve">= 1, 2, … </w:t>
      </w:r>
      <w:r w:rsidRPr="0056409E">
        <w:rPr>
          <w:i/>
          <w:iCs/>
          <w:lang w:val="es-ES_tradnl"/>
        </w:rPr>
        <w:t>n</w:t>
      </w:r>
      <w:r w:rsidRPr="0056409E">
        <w:rPr>
          <w:lang w:val="es-ES_tradnl"/>
        </w:rPr>
        <w:t>), con la siguiente condición:</w:t>
      </w:r>
    </w:p>
    <w:p w14:paraId="6242EB45" w14:textId="77777777" w:rsidR="0086339D" w:rsidRPr="0056409E" w:rsidRDefault="0086339D" w:rsidP="0086339D">
      <w:pPr>
        <w:pStyle w:val="Equation"/>
        <w:spacing w:before="60"/>
        <w:rPr>
          <w:lang w:val="es-ES_tradnl"/>
        </w:rPr>
      </w:pPr>
      <w:r w:rsidRPr="0056409E">
        <w:rPr>
          <w:lang w:val="es-ES_tradnl"/>
        </w:rPr>
        <w:tab/>
      </w:r>
      <w:r w:rsidRPr="0056409E">
        <w:rPr>
          <w:position w:val="-10"/>
          <w:lang w:val="es-ES_tradnl"/>
        </w:rPr>
        <w:object w:dxaOrig="180" w:dyaOrig="340" w14:anchorId="01CA581A">
          <v:shape id="_x0000_i1221" type="#_x0000_t75" style="width:10.2pt;height:17.65pt" o:ole="">
            <v:imagedata r:id="rId38" o:title=""/>
          </v:shape>
          <o:OLEObject Type="Embed" ProgID="Equation.3" ShapeID="_x0000_i1221" DrawAspect="Content" ObjectID="_1773141086" r:id="rId39"/>
        </w:object>
      </w:r>
      <w:r w:rsidRPr="0056409E">
        <w:rPr>
          <w:lang w:val="es-ES_tradnl"/>
        </w:rPr>
        <w:tab/>
      </w:r>
      <w:r w:rsidRPr="0056409E">
        <w:rPr>
          <w:position w:val="-34"/>
          <w:lang w:val="es-ES_tradnl"/>
        </w:rPr>
        <w:object w:dxaOrig="1040" w:dyaOrig="800" w14:anchorId="4AA2A17B">
          <v:shape id="_x0000_i1222" type="#_x0000_t75" style="width:51.6pt;height:40.1pt" o:ole="">
            <v:imagedata r:id="rId40" o:title=""/>
          </v:shape>
          <o:OLEObject Type="Embed" ProgID="Equation.3" ShapeID="_x0000_i1222" DrawAspect="Content" ObjectID="_1773141087" r:id="rId41"/>
        </w:object>
      </w:r>
      <w:r w:rsidRPr="0056409E">
        <w:rPr>
          <w:lang w:val="es-ES_tradnl"/>
        </w:rPr>
        <w:tab/>
        <w:t>(14)</w:t>
      </w:r>
    </w:p>
    <w:p w14:paraId="3C48B0A6" w14:textId="77777777" w:rsidR="0086339D" w:rsidRPr="0056409E" w:rsidRDefault="0086339D" w:rsidP="00152FFD">
      <w:pPr>
        <w:rPr>
          <w:lang w:val="es-ES_tradnl"/>
        </w:rPr>
      </w:pPr>
      <w:r w:rsidRPr="0056409E">
        <w:rPr>
          <w:lang w:val="es-ES_tradnl"/>
        </w:rPr>
        <w:t xml:space="preserve">siendo </w:t>
      </w:r>
      <w:r w:rsidRPr="0056409E">
        <w:rPr>
          <w:i/>
          <w:iCs/>
          <w:lang w:val="es-ES_tradnl"/>
        </w:rPr>
        <w:t>L</w:t>
      </w:r>
      <w:r w:rsidRPr="0056409E">
        <w:rPr>
          <w:i/>
          <w:iCs/>
          <w:vertAlign w:val="subscript"/>
          <w:lang w:val="es-ES_tradnl"/>
        </w:rPr>
        <w:t>i</w:t>
      </w:r>
      <w:r w:rsidRPr="0056409E">
        <w:rPr>
          <w:lang w:val="es-ES_tradnl"/>
        </w:rPr>
        <w:t xml:space="preserve"> el nivel de referencia de la densidad de potencia a la frecuencia </w:t>
      </w:r>
      <w:r w:rsidRPr="0056409E">
        <w:rPr>
          <w:i/>
          <w:iCs/>
          <w:lang w:val="es-ES_tradnl"/>
        </w:rPr>
        <w:t>f</w:t>
      </w:r>
      <w:r w:rsidRPr="0056409E">
        <w:rPr>
          <w:i/>
          <w:iCs/>
          <w:vertAlign w:val="subscript"/>
          <w:lang w:val="es-ES_tradnl"/>
        </w:rPr>
        <w:t>i</w:t>
      </w:r>
      <w:r w:rsidRPr="0056409E">
        <w:rPr>
          <w:lang w:val="es-ES_tradnl"/>
        </w:rPr>
        <w:t xml:space="preserve"> (</w:t>
      </w:r>
      <w:r w:rsidRPr="0056409E">
        <w:rPr>
          <w:i/>
          <w:iCs/>
          <w:lang w:val="es-ES_tradnl"/>
        </w:rPr>
        <w:t>i</w:t>
      </w:r>
      <w:r w:rsidRPr="0056409E">
        <w:rPr>
          <w:lang w:val="es-ES_tradnl"/>
        </w:rPr>
        <w:t xml:space="preserve"> </w:t>
      </w:r>
      <w:r w:rsidRPr="0056409E">
        <w:rPr>
          <w:rFonts w:ascii="Symbol" w:hAnsi="Symbol"/>
          <w:lang w:val="es-ES_tradnl"/>
        </w:rPr>
        <w:t></w:t>
      </w:r>
      <w:r w:rsidRPr="0056409E">
        <w:rPr>
          <w:lang w:val="es-ES_tradnl"/>
        </w:rPr>
        <w:t xml:space="preserve"> 1, 2, … </w:t>
      </w:r>
      <w:r w:rsidRPr="0056409E">
        <w:rPr>
          <w:i/>
          <w:iCs/>
          <w:lang w:val="es-ES_tradnl"/>
        </w:rPr>
        <w:t>n</w:t>
      </w:r>
      <w:r w:rsidRPr="0056409E">
        <w:rPr>
          <w:lang w:val="es-ES_tradnl"/>
        </w:rPr>
        <w:t>).</w:t>
      </w:r>
    </w:p>
    <w:p w14:paraId="4BADB070" w14:textId="77777777" w:rsidR="0086339D" w:rsidRPr="0056409E" w:rsidRDefault="0086339D" w:rsidP="00152FFD">
      <w:pPr>
        <w:rPr>
          <w:lang w:val="es-ES_tradnl"/>
        </w:rPr>
      </w:pPr>
      <w:r w:rsidRPr="0056409E">
        <w:rPr>
          <w:lang w:val="es-ES_tradnl"/>
        </w:rPr>
        <w:t>Éste es el principio básico pero hay algunas diferencias en la forma de aplicar dicho principio (véase el Adjunto 3).</w:t>
      </w:r>
    </w:p>
    <w:p w14:paraId="61569440" w14:textId="2C1EC9F6" w:rsidR="0086339D" w:rsidRPr="0056409E" w:rsidRDefault="0086339D" w:rsidP="0086339D">
      <w:pPr>
        <w:pStyle w:val="Heading2"/>
        <w:rPr>
          <w:lang w:val="es-ES_tradnl"/>
        </w:rPr>
      </w:pPr>
      <w:bookmarkStart w:id="258" w:name="_Toc86461512"/>
      <w:bookmarkStart w:id="259" w:name="_Toc162005902"/>
      <w:bookmarkStart w:id="260" w:name="_Toc162006226"/>
      <w:bookmarkStart w:id="261" w:name="_Toc162444572"/>
      <w:bookmarkStart w:id="262" w:name="_Toc162518196"/>
      <w:bookmarkStart w:id="263" w:name="_Toc162518718"/>
      <w:r w:rsidRPr="0056409E">
        <w:rPr>
          <w:lang w:val="es-ES_tradnl"/>
        </w:rPr>
        <w:t>2.4</w:t>
      </w:r>
      <w:r w:rsidRPr="0056409E">
        <w:rPr>
          <w:b w:val="0"/>
          <w:lang w:val="es-ES_tradnl"/>
        </w:rPr>
        <w:tab/>
      </w:r>
      <w:r w:rsidRPr="0056409E">
        <w:rPr>
          <w:lang w:val="es-ES_tradnl"/>
        </w:rPr>
        <w:t>CEM en el interior de edificios</w:t>
      </w:r>
      <w:bookmarkEnd w:id="258"/>
      <w:bookmarkEnd w:id="259"/>
      <w:bookmarkEnd w:id="260"/>
      <w:bookmarkEnd w:id="261"/>
      <w:bookmarkEnd w:id="262"/>
      <w:bookmarkEnd w:id="263"/>
    </w:p>
    <w:p w14:paraId="518233BD" w14:textId="77777777" w:rsidR="0086339D" w:rsidRPr="0056409E" w:rsidRDefault="0086339D" w:rsidP="00152FFD">
      <w:pPr>
        <w:rPr>
          <w:lang w:val="es-ES_tradnl"/>
        </w:rPr>
      </w:pPr>
      <w:r w:rsidRPr="0056409E">
        <w:rPr>
          <w:lang w:val="es-ES_tradnl"/>
        </w:rPr>
        <w:t>Los materiales del edificio y la infraestructura dentro de un edificio tienen una fuerte influencia sobre el CEM y provocan variaciones en el campo resultante, de punto a punto, incluso dentro de una misma sala. Las variaciones espaciales del CEM son causadas por las múltiples reflexiones de la onda incidente y, en consecuencia, la polarización del campo resultante puede ser distinta a la de la onda incidente.</w:t>
      </w:r>
    </w:p>
    <w:p w14:paraId="0B07C75C" w14:textId="77777777" w:rsidR="0086339D" w:rsidRPr="0056409E" w:rsidRDefault="0086339D" w:rsidP="00152FFD">
      <w:pPr>
        <w:rPr>
          <w:lang w:val="es-ES_tradnl"/>
        </w:rPr>
      </w:pPr>
      <w:r w:rsidRPr="0056409E">
        <w:rPr>
          <w:lang w:val="es-ES_tradnl"/>
        </w:rPr>
        <w:t>Los objetos metálicos y los conductos (líneas y tubos) provocan una radiación secundaria (actuando con una fuente secundaria) y modifican la intensidad de los CEM en sus proximidades.</w:t>
      </w:r>
    </w:p>
    <w:p w14:paraId="4477C4E7" w14:textId="77777777" w:rsidR="0086339D" w:rsidRPr="0056409E" w:rsidRDefault="0086339D" w:rsidP="00152FFD">
      <w:pPr>
        <w:rPr>
          <w:lang w:val="es-ES_tradnl"/>
        </w:rPr>
      </w:pPr>
      <w:r w:rsidRPr="0056409E">
        <w:rPr>
          <w:lang w:val="es-ES_tradnl"/>
        </w:rPr>
        <w:lastRenderedPageBreak/>
        <w:t>Todas estas condiciones hacen difícil evaluar la exposición. Cuando se llevan a cabo cálculos o mediciones al respecto deben tenerse en cuenta un gran número de parámetros.</w:t>
      </w:r>
    </w:p>
    <w:p w14:paraId="41C99966" w14:textId="77777777" w:rsidR="0086339D" w:rsidRPr="0056409E" w:rsidRDefault="0086339D" w:rsidP="00152FFD">
      <w:pPr>
        <w:rPr>
          <w:lang w:val="es-ES_tradnl"/>
        </w:rPr>
      </w:pPr>
      <w:r w:rsidRPr="0056409E">
        <w:rPr>
          <w:lang w:val="es-ES_tradnl"/>
        </w:rPr>
        <w:t>Para lograr una precisión aceptable en el cálculo de la exposición, es necesario seleccionar un modelo adecuado que represente el entorno.</w:t>
      </w:r>
    </w:p>
    <w:p w14:paraId="6E0EC2D5" w14:textId="77777777" w:rsidR="0086339D" w:rsidRPr="0056409E" w:rsidRDefault="0086339D" w:rsidP="00152FFD">
      <w:pPr>
        <w:rPr>
          <w:lang w:val="es-ES_tradnl"/>
        </w:rPr>
      </w:pPr>
      <w:r w:rsidRPr="0056409E">
        <w:rPr>
          <w:lang w:val="es-ES_tradnl"/>
        </w:rPr>
        <w:t>La precisión de la medición depende del tamaño y del tipo de detección de la sonda</w:t>
      </w:r>
      <w:r>
        <w:rPr>
          <w:lang w:val="es-ES_tradnl"/>
        </w:rPr>
        <w:t>,</w:t>
      </w:r>
      <w:r w:rsidRPr="0056409E">
        <w:rPr>
          <w:lang w:val="es-ES_tradnl"/>
        </w:rPr>
        <w:t xml:space="preserve"> así como del emplazamiento del operario que va a realizar las mediciones con respecto a la fuente de radiación y la sonda. Véase el Informe UIT-R SM.2452,</w:t>
      </w:r>
      <w:r w:rsidRPr="0056409E">
        <w:rPr>
          <w:i/>
          <w:iCs/>
          <w:lang w:val="es-ES_tradnl"/>
        </w:rPr>
        <w:t xml:space="preserve"> </w:t>
      </w:r>
      <w:r w:rsidRPr="0056409E">
        <w:rPr>
          <w:i/>
          <w:iCs/>
          <w:lang w:val="es-ES_tradnl" w:eastAsia="zh-CN"/>
        </w:rPr>
        <w:t>Medición de campos electromagnéticos para la evaluación de la exposición de las personas</w:t>
      </w:r>
      <w:r w:rsidRPr="0056409E">
        <w:rPr>
          <w:lang w:val="es-ES_tradnl" w:eastAsia="zh-CN"/>
        </w:rPr>
        <w:t>,</w:t>
      </w:r>
      <w:r w:rsidRPr="0056409E">
        <w:rPr>
          <w:lang w:val="es-ES_tradnl"/>
        </w:rPr>
        <w:t xml:space="preserve"> la Recomendación UIT-R P.1238, la Recomendación UIT-R P.2109 y la Recomendación UIT-T K.61.</w:t>
      </w:r>
    </w:p>
    <w:p w14:paraId="47554AFB" w14:textId="77777777" w:rsidR="0086339D" w:rsidRPr="0056409E" w:rsidRDefault="0086339D" w:rsidP="00152FFD">
      <w:pPr>
        <w:rPr>
          <w:lang w:val="es-ES_tradnl"/>
        </w:rPr>
      </w:pPr>
      <w:r w:rsidRPr="0056409E">
        <w:rPr>
          <w:lang w:val="es-ES_tradnl"/>
        </w:rPr>
        <w:t>El problema fundamental no es simplemente determinar el valor de los propios límites de exposición sino la forma en que los cálculos y las mediciones deben efectuarse, y es el objetivo principal de la presente Recomendación.</w:t>
      </w:r>
    </w:p>
    <w:p w14:paraId="2E2A64B6" w14:textId="77777777" w:rsidR="0086339D" w:rsidRPr="0056409E" w:rsidRDefault="0086339D" w:rsidP="0086339D">
      <w:pPr>
        <w:pStyle w:val="Heading1"/>
        <w:rPr>
          <w:lang w:val="es-ES_tradnl"/>
        </w:rPr>
      </w:pPr>
      <w:bookmarkStart w:id="264" w:name="_Toc65545980"/>
      <w:bookmarkStart w:id="265" w:name="_Toc65546167"/>
      <w:bookmarkStart w:id="266" w:name="_Toc65546319"/>
      <w:bookmarkStart w:id="267" w:name="_Toc86461513"/>
      <w:bookmarkStart w:id="268" w:name="_Toc162005903"/>
      <w:bookmarkStart w:id="269" w:name="_Toc162006227"/>
      <w:bookmarkStart w:id="270" w:name="_Toc162444573"/>
      <w:bookmarkStart w:id="271" w:name="_Toc162518197"/>
      <w:bookmarkStart w:id="272" w:name="_Toc162518719"/>
      <w:r w:rsidRPr="0056409E">
        <w:rPr>
          <w:lang w:val="es-ES_tradnl"/>
        </w:rPr>
        <w:t>3</w:t>
      </w:r>
      <w:r w:rsidRPr="0056409E">
        <w:rPr>
          <w:lang w:val="es-ES_tradnl"/>
        </w:rPr>
        <w:tab/>
        <w:t>Cálculo</w:t>
      </w:r>
      <w:bookmarkEnd w:id="264"/>
      <w:bookmarkEnd w:id="265"/>
      <w:bookmarkEnd w:id="266"/>
      <w:bookmarkEnd w:id="267"/>
      <w:bookmarkEnd w:id="268"/>
      <w:bookmarkEnd w:id="269"/>
      <w:bookmarkEnd w:id="270"/>
      <w:bookmarkEnd w:id="271"/>
      <w:bookmarkEnd w:id="272"/>
    </w:p>
    <w:p w14:paraId="2B6678AE" w14:textId="1612D45B" w:rsidR="0086339D" w:rsidRPr="0056409E" w:rsidRDefault="0086339D" w:rsidP="0086339D">
      <w:pPr>
        <w:rPr>
          <w:lang w:val="es-ES_tradnl"/>
        </w:rPr>
      </w:pPr>
      <w:r w:rsidRPr="0056409E">
        <w:rPr>
          <w:lang w:val="es-ES_tradnl"/>
        </w:rPr>
        <w:t xml:space="preserve">Los procedimientos analíticos sólo pueden utilizarse para calcular las propiedades electromagnéticas en algunos casos y con geometrías especiales. A fin de resolver problemas generales, deben aplicarse técnicas numéricas. Cabe la posibilidad de utilizar programas comerciales según el caso. La óptica física y la óptica geométrica no se aplican en el campo cercano; la especificación 62232 [5] de la CEI contiene información adicional y directrices </w:t>
      </w:r>
      <w:r>
        <w:rPr>
          <w:lang w:val="es-ES_tradnl"/>
        </w:rPr>
        <w:t>relacionadas con</w:t>
      </w:r>
      <w:r w:rsidRPr="0056409E">
        <w:rPr>
          <w:lang w:val="es-ES_tradnl"/>
        </w:rPr>
        <w:t xml:space="preserve"> los métodos de cálculo de la exposición a los CEM.</w:t>
      </w:r>
    </w:p>
    <w:p w14:paraId="15306788" w14:textId="77777777" w:rsidR="0086339D" w:rsidRPr="0056409E" w:rsidRDefault="0086339D" w:rsidP="0086339D">
      <w:pPr>
        <w:pStyle w:val="Heading2"/>
        <w:rPr>
          <w:lang w:val="es-ES_tradnl"/>
        </w:rPr>
      </w:pPr>
      <w:bookmarkStart w:id="273" w:name="_Toc65545981"/>
      <w:bookmarkStart w:id="274" w:name="_Toc65546168"/>
      <w:bookmarkStart w:id="275" w:name="_Toc65546320"/>
      <w:bookmarkStart w:id="276" w:name="_Toc86461514"/>
      <w:bookmarkStart w:id="277" w:name="_Toc162005904"/>
      <w:bookmarkStart w:id="278" w:name="_Toc162006228"/>
      <w:bookmarkStart w:id="279" w:name="_Toc162444574"/>
      <w:bookmarkStart w:id="280" w:name="_Toc162518198"/>
      <w:bookmarkStart w:id="281" w:name="_Toc162518720"/>
      <w:r w:rsidRPr="0056409E">
        <w:rPr>
          <w:lang w:val="es-ES_tradnl"/>
        </w:rPr>
        <w:t>3.1</w:t>
      </w:r>
      <w:r w:rsidRPr="0056409E">
        <w:rPr>
          <w:lang w:val="es-ES_tradnl"/>
        </w:rPr>
        <w:tab/>
        <w:t>Procedimientos</w:t>
      </w:r>
      <w:bookmarkEnd w:id="273"/>
      <w:bookmarkEnd w:id="274"/>
      <w:bookmarkEnd w:id="275"/>
      <w:bookmarkEnd w:id="276"/>
      <w:bookmarkEnd w:id="277"/>
      <w:bookmarkEnd w:id="278"/>
      <w:bookmarkEnd w:id="279"/>
      <w:bookmarkEnd w:id="280"/>
      <w:bookmarkEnd w:id="281"/>
    </w:p>
    <w:p w14:paraId="7D008858" w14:textId="77777777" w:rsidR="0086339D" w:rsidRPr="0056409E" w:rsidRDefault="0086339D" w:rsidP="00152FFD">
      <w:pPr>
        <w:rPr>
          <w:lang w:val="es-ES_tradnl"/>
        </w:rPr>
      </w:pPr>
      <w:r w:rsidRPr="0056409E">
        <w:rPr>
          <w:lang w:val="es-ES_tradnl"/>
        </w:rPr>
        <w:t>Los métodos de cálculo analítico y numérico pueden predecir los campos externos o internos procedentes de un emisor electromagnético. Los cálculos son útiles para estimar el nivel de las intensidades de campo en una cierta situación de exposición a fin de determinar si es necesario realizar mediciones y, de ser así, qué equipos deben utilizarse para ello. Los cálculos también pueden ser un complemento a las mediciones y debe emplearse para verificar que los resultados de dichas mediciones son razonables.</w:t>
      </w:r>
    </w:p>
    <w:p w14:paraId="187BA42A" w14:textId="4A6759F8" w:rsidR="0086339D" w:rsidRPr="0056409E" w:rsidRDefault="0086339D" w:rsidP="00152FFD">
      <w:pPr>
        <w:rPr>
          <w:lang w:val="es-ES_tradnl"/>
        </w:rPr>
      </w:pPr>
      <w:r w:rsidRPr="0056409E">
        <w:rPr>
          <w:lang w:val="es-ES_tradnl"/>
        </w:rPr>
        <w:t>En algunas situaciones, como por ejemplo en condiciones de exposición de campo cercano complicadas en las que no se dispone del costoso equipo de medición de la SAR, los cálculos pueden sustituir a las mediciones.</w:t>
      </w:r>
    </w:p>
    <w:p w14:paraId="5A558D0A" w14:textId="77777777" w:rsidR="0086339D" w:rsidRPr="0056409E" w:rsidRDefault="0086339D" w:rsidP="00152FFD">
      <w:pPr>
        <w:rPr>
          <w:lang w:val="es-ES_tradnl"/>
        </w:rPr>
      </w:pPr>
      <w:r w:rsidRPr="0056409E">
        <w:rPr>
          <w:lang w:val="es-ES_tradnl"/>
        </w:rPr>
        <w:t>La precisión y calidad de los cálculos dependerá del método analítico o numérico utilizado y de la exactitud con que se han descrito las fuentes EM y los objetos físicos situados entre el emisor y el punto de predicción que puede afectar a los campos. Para cálculos de la SAR, la precisión del modelo de cuerpo también afectará la calidad de los resultados.</w:t>
      </w:r>
    </w:p>
    <w:p w14:paraId="1F1091CD" w14:textId="77777777" w:rsidR="0086339D" w:rsidRDefault="0086339D" w:rsidP="00152FFD">
      <w:pPr>
        <w:rPr>
          <w:lang w:val="es-ES_tradnl"/>
        </w:rPr>
      </w:pPr>
      <w:r w:rsidRPr="0056409E">
        <w:rPr>
          <w:lang w:val="es-ES_tradnl"/>
        </w:rPr>
        <w:t>Para poder realizar los cálculos, es necesario conocer los parámetros de la fuente o hacer una estimación de los mismos.</w:t>
      </w:r>
    </w:p>
    <w:p w14:paraId="59B61ECB" w14:textId="32FB41B2" w:rsidR="0086339D" w:rsidRPr="0056409E" w:rsidRDefault="0086339D" w:rsidP="00152FFD">
      <w:pPr>
        <w:rPr>
          <w:lang w:val="es-ES_tradnl"/>
        </w:rPr>
      </w:pPr>
      <w:r w:rsidRPr="0056409E">
        <w:rPr>
          <w:lang w:val="es-ES_tradnl"/>
        </w:rPr>
        <w:t>Entr</w:t>
      </w:r>
      <w:r w:rsidR="00AC776E">
        <w:rPr>
          <w:lang w:val="es-ES_tradnl"/>
        </w:rPr>
        <w:t>e</w:t>
      </w:r>
      <w:r w:rsidRPr="0056409E">
        <w:rPr>
          <w:lang w:val="es-ES_tradnl"/>
        </w:rPr>
        <w:t xml:space="preserve"> los parámetros relativos a la fuente de radiodifusión cabe citar la frecuencia, la potencia, el diagrama de antena, la ganancia y la altitud sobre el suelo.</w:t>
      </w:r>
    </w:p>
    <w:p w14:paraId="3AC829DD" w14:textId="6274D626" w:rsidR="0086339D" w:rsidRPr="0056409E" w:rsidRDefault="0086339D" w:rsidP="00933B07">
      <w:pPr>
        <w:pStyle w:val="Heading2"/>
        <w:rPr>
          <w:lang w:val="es-ES_tradnl"/>
        </w:rPr>
      </w:pPr>
      <w:bookmarkStart w:id="282" w:name="_Toc65545982"/>
      <w:bookmarkStart w:id="283" w:name="_Toc65546169"/>
      <w:bookmarkStart w:id="284" w:name="_Toc86461515"/>
      <w:bookmarkStart w:id="285" w:name="_Toc162005905"/>
      <w:bookmarkStart w:id="286" w:name="_Toc162006229"/>
      <w:bookmarkStart w:id="287" w:name="_Toc162444575"/>
      <w:bookmarkStart w:id="288" w:name="_Toc162518721"/>
      <w:r w:rsidRPr="0056409E">
        <w:rPr>
          <w:lang w:val="es-ES_tradnl"/>
        </w:rPr>
        <w:t>3.2</w:t>
      </w:r>
      <w:r w:rsidRPr="0056409E">
        <w:rPr>
          <w:lang w:val="es-ES_tradnl"/>
        </w:rPr>
        <w:tab/>
        <w:t>Soluciones cerradas</w:t>
      </w:r>
      <w:bookmarkEnd w:id="282"/>
      <w:bookmarkEnd w:id="283"/>
      <w:bookmarkEnd w:id="284"/>
      <w:bookmarkEnd w:id="285"/>
      <w:bookmarkEnd w:id="286"/>
      <w:bookmarkEnd w:id="287"/>
      <w:bookmarkEnd w:id="288"/>
    </w:p>
    <w:p w14:paraId="2BFACE24" w14:textId="77777777" w:rsidR="0086339D" w:rsidRPr="0056409E" w:rsidRDefault="0086339D" w:rsidP="0086339D">
      <w:pPr>
        <w:rPr>
          <w:lang w:val="es-ES_tradnl"/>
        </w:rPr>
      </w:pPr>
      <w:r w:rsidRPr="0056409E">
        <w:rPr>
          <w:lang w:val="es-ES_tradnl"/>
        </w:rPr>
        <w:t>En la región de campo lejano de una fuente transmisora donde los CEM tienen fundamentalmente el carácter de una onda plana, pueden utilizarse expresiones analíticas para realizar una estimación de las intensidades de campo. En la dirección principal de una antena, suele emplearse la ecuación de espacio libre de Friis para calcular la densidad de potencia:</w:t>
      </w:r>
    </w:p>
    <w:p w14:paraId="4FC30029" w14:textId="77777777" w:rsidR="0086339D" w:rsidRPr="0056409E" w:rsidRDefault="0086339D" w:rsidP="0086339D">
      <w:pPr>
        <w:pStyle w:val="Equation"/>
        <w:rPr>
          <w:lang w:val="es-ES_tradnl"/>
        </w:rPr>
      </w:pPr>
      <w:r w:rsidRPr="0056409E">
        <w:rPr>
          <w:i/>
          <w:lang w:val="es-ES_tradnl"/>
        </w:rPr>
        <w:lastRenderedPageBreak/>
        <w:tab/>
      </w:r>
      <w:r w:rsidRPr="0056409E">
        <w:rPr>
          <w:i/>
          <w:lang w:val="es-ES_tradnl"/>
        </w:rPr>
        <w:tab/>
      </w:r>
      <w:r w:rsidRPr="0056409E">
        <w:rPr>
          <w:position w:val="-34"/>
          <w:lang w:val="es-ES_tradnl"/>
        </w:rPr>
        <w:object w:dxaOrig="1120" w:dyaOrig="720" w14:anchorId="5C19C2D3">
          <v:shape id="_x0000_i1223" type="#_x0000_t75" style="width:54.35pt;height:36pt" o:ole="">
            <v:imagedata r:id="rId42" o:title=""/>
          </v:shape>
          <o:OLEObject Type="Embed" ProgID="Equation.3" ShapeID="_x0000_i1223" DrawAspect="Content" ObjectID="_1773141088" r:id="rId43"/>
        </w:object>
      </w:r>
      <w:r w:rsidRPr="0056409E">
        <w:rPr>
          <w:i/>
          <w:lang w:val="es-ES_tradnl"/>
        </w:rPr>
        <w:tab/>
      </w:r>
      <w:r w:rsidRPr="0056409E">
        <w:rPr>
          <w:lang w:val="es-ES_tradnl"/>
        </w:rPr>
        <w:t>(15)</w:t>
      </w:r>
    </w:p>
    <w:p w14:paraId="06EA10DF" w14:textId="77777777" w:rsidR="0086339D" w:rsidRPr="0056409E" w:rsidRDefault="0086339D" w:rsidP="0086339D">
      <w:pPr>
        <w:rPr>
          <w:lang w:val="es-ES_tradnl"/>
        </w:rPr>
      </w:pPr>
      <w:r w:rsidRPr="0056409E">
        <w:rPr>
          <w:lang w:val="es-ES_tradnl"/>
        </w:rPr>
        <w:t>siendo:</w:t>
      </w:r>
    </w:p>
    <w:p w14:paraId="5C95E4AC" w14:textId="77777777" w:rsidR="0086339D" w:rsidRPr="0056409E" w:rsidRDefault="0086339D" w:rsidP="0086339D">
      <w:pPr>
        <w:pStyle w:val="Equationlegend"/>
        <w:rPr>
          <w:lang w:val="es-ES_tradnl"/>
        </w:rPr>
      </w:pPr>
      <w:r w:rsidRPr="0056409E">
        <w:rPr>
          <w:i/>
          <w:iCs/>
          <w:lang w:val="es-ES_tradnl"/>
        </w:rPr>
        <w:tab/>
        <w:t>S</w:t>
      </w:r>
      <w:r w:rsidRPr="0056409E">
        <w:rPr>
          <w:rFonts w:ascii="Tms Rmn" w:hAnsi="Tms Rmn"/>
          <w:sz w:val="12"/>
          <w:lang w:val="es-ES_tradnl"/>
        </w:rPr>
        <w:t> </w:t>
      </w:r>
      <w:r w:rsidRPr="0056409E">
        <w:rPr>
          <w:lang w:val="es-ES_tradnl"/>
        </w:rPr>
        <w:t>:</w:t>
      </w:r>
      <w:r w:rsidRPr="0056409E">
        <w:rPr>
          <w:lang w:val="es-ES_tradnl"/>
        </w:rPr>
        <w:tab/>
        <w:t>densidad de potencia (W/m</w:t>
      </w:r>
      <w:r w:rsidRPr="0056409E">
        <w:rPr>
          <w:vertAlign w:val="superscript"/>
          <w:lang w:val="es-ES_tradnl"/>
        </w:rPr>
        <w:t>2</w:t>
      </w:r>
      <w:r w:rsidRPr="0056409E">
        <w:rPr>
          <w:lang w:val="es-ES_tradnl"/>
        </w:rPr>
        <w:t>)</w:t>
      </w:r>
    </w:p>
    <w:p w14:paraId="7D727405" w14:textId="77777777" w:rsidR="0086339D" w:rsidRPr="0056409E" w:rsidRDefault="0086339D" w:rsidP="0086339D">
      <w:pPr>
        <w:pStyle w:val="Equationlegend"/>
        <w:rPr>
          <w:lang w:val="es-ES_tradnl"/>
        </w:rPr>
      </w:pPr>
      <w:r w:rsidRPr="0056409E">
        <w:rPr>
          <w:i/>
          <w:iCs/>
          <w:lang w:val="es-ES_tradnl"/>
        </w:rPr>
        <w:tab/>
        <w:t>P</w:t>
      </w:r>
      <w:r w:rsidRPr="0056409E">
        <w:rPr>
          <w:rFonts w:ascii="Tms Rmn" w:hAnsi="Tms Rmn"/>
          <w:sz w:val="12"/>
          <w:lang w:val="es-ES_tradnl"/>
        </w:rPr>
        <w:t> </w:t>
      </w:r>
      <w:r w:rsidRPr="0056409E">
        <w:rPr>
          <w:lang w:val="es-ES_tradnl"/>
        </w:rPr>
        <w:t>:</w:t>
      </w:r>
      <w:r w:rsidRPr="0056409E">
        <w:rPr>
          <w:lang w:val="es-ES_tradnl"/>
        </w:rPr>
        <w:tab/>
        <w:t>potencia de salida media (W)</w:t>
      </w:r>
    </w:p>
    <w:p w14:paraId="2AD9E658" w14:textId="77777777" w:rsidR="0086339D" w:rsidRPr="0056409E" w:rsidRDefault="0086339D" w:rsidP="0086339D">
      <w:pPr>
        <w:pStyle w:val="Equationlegend"/>
        <w:rPr>
          <w:lang w:val="es-ES_tradnl"/>
        </w:rPr>
      </w:pPr>
      <w:r w:rsidRPr="0056409E">
        <w:rPr>
          <w:i/>
          <w:iCs/>
          <w:lang w:val="es-ES_tradnl"/>
        </w:rPr>
        <w:tab/>
        <w:t>G</w:t>
      </w:r>
      <w:r w:rsidRPr="0056409E">
        <w:rPr>
          <w:rFonts w:ascii="Tms Rmn" w:hAnsi="Tms Rmn"/>
          <w:sz w:val="12"/>
          <w:lang w:val="es-ES_tradnl"/>
        </w:rPr>
        <w:t> </w:t>
      </w:r>
      <w:r w:rsidRPr="0056409E">
        <w:rPr>
          <w:lang w:val="es-ES_tradnl"/>
        </w:rPr>
        <w:t>:</w:t>
      </w:r>
      <w:r w:rsidRPr="0056409E">
        <w:rPr>
          <w:lang w:val="es-ES_tradnl"/>
        </w:rPr>
        <w:tab/>
        <w:t>ganancia de campo lejano de la antena con respecto a un radiador isótropo</w:t>
      </w:r>
    </w:p>
    <w:p w14:paraId="046681A2" w14:textId="77777777" w:rsidR="0086339D" w:rsidRPr="0056409E" w:rsidRDefault="0086339D" w:rsidP="0086339D">
      <w:pPr>
        <w:pStyle w:val="Equationlegend"/>
        <w:rPr>
          <w:lang w:val="es-ES_tradnl"/>
        </w:rPr>
      </w:pPr>
      <w:r w:rsidRPr="0056409E">
        <w:rPr>
          <w:i/>
          <w:iCs/>
          <w:lang w:val="es-ES_tradnl"/>
        </w:rPr>
        <w:tab/>
        <w:t>d</w:t>
      </w:r>
      <w:r w:rsidRPr="0056409E">
        <w:rPr>
          <w:rFonts w:ascii="Tms Rmn" w:hAnsi="Tms Rmn"/>
          <w:sz w:val="12"/>
          <w:lang w:val="es-ES_tradnl"/>
        </w:rPr>
        <w:t> </w:t>
      </w:r>
      <w:r w:rsidRPr="0056409E">
        <w:rPr>
          <w:lang w:val="es-ES_tradnl"/>
        </w:rPr>
        <w:t>:</w:t>
      </w:r>
      <w:r w:rsidRPr="0056409E">
        <w:rPr>
          <w:lang w:val="es-ES_tradnl"/>
        </w:rPr>
        <w:tab/>
        <w:t>distancia desde el radiador (m).</w:t>
      </w:r>
    </w:p>
    <w:p w14:paraId="6B87D826" w14:textId="77777777" w:rsidR="0086339D" w:rsidRPr="0056409E" w:rsidRDefault="0086339D" w:rsidP="0086339D">
      <w:pPr>
        <w:rPr>
          <w:lang w:val="es-ES_tradnl"/>
        </w:rPr>
      </w:pPr>
      <w:r w:rsidRPr="0056409E">
        <w:rPr>
          <w:lang w:val="es-ES_tradnl"/>
        </w:rPr>
        <w:t>La relación entre la densidad de potencia y las intensidades de campo eléctrico y magnético viene dada por la siguiente ecuación:</w:t>
      </w:r>
    </w:p>
    <w:p w14:paraId="74C7B9EF" w14:textId="77777777" w:rsidR="00AC776E" w:rsidRPr="00111E49" w:rsidRDefault="00AC776E" w:rsidP="00AC776E">
      <w:pPr>
        <w:pStyle w:val="Equation"/>
        <w:rPr>
          <w:lang w:val="es-ES"/>
        </w:rPr>
      </w:pPr>
      <w:r w:rsidRPr="00111E49">
        <w:rPr>
          <w:lang w:val="es-ES"/>
        </w:rPr>
        <w:tab/>
      </w:r>
      <w:r w:rsidRPr="00111E49">
        <w:rPr>
          <w:lang w:val="es-ES"/>
        </w:rPr>
        <w:tab/>
      </w:r>
      <m:oMath>
        <m:r>
          <w:rPr>
            <w:rFonts w:ascii="Cambria Math" w:hAnsi="Cambria Math"/>
          </w:rPr>
          <m:t>S</m:t>
        </m:r>
        <m:r>
          <w:rPr>
            <w:rFonts w:ascii="Cambria Math" w:hAnsi="Cambria Math"/>
            <w:lang w:val="es-ES"/>
          </w:rPr>
          <m:t>=</m:t>
        </m:r>
        <m:f>
          <m:fPr>
            <m:ctrlPr>
              <w:rPr>
                <w:rFonts w:ascii="Cambria Math" w:hAnsi="Cambria Math"/>
                <w:i/>
              </w:rPr>
            </m:ctrlPr>
          </m:fPr>
          <m:num>
            <m:sSup>
              <m:sSupPr>
                <m:ctrlPr>
                  <w:rPr>
                    <w:rFonts w:ascii="Cambria Math" w:hAnsi="Cambria Math"/>
                    <w:i/>
                  </w:rPr>
                </m:ctrlPr>
              </m:sSupPr>
              <m:e>
                <m:r>
                  <w:rPr>
                    <w:rFonts w:ascii="Cambria Math"/>
                  </w:rPr>
                  <m:t>E</m:t>
                </m:r>
              </m:e>
              <m:sup>
                <m:r>
                  <w:rPr>
                    <w:rFonts w:ascii="Cambria Math"/>
                    <w:lang w:val="es-ES"/>
                  </w:rPr>
                  <m:t>2</m:t>
                </m:r>
              </m:sup>
            </m:sSup>
          </m:num>
          <m:den>
            <m:sSub>
              <m:sSubPr>
                <m:ctrlPr>
                  <w:rPr>
                    <w:rFonts w:ascii="Cambria Math" w:hAnsi="Cambria Math"/>
                    <w:i/>
                  </w:rPr>
                </m:ctrlPr>
              </m:sSubPr>
              <m:e>
                <m:r>
                  <w:rPr>
                    <w:rFonts w:ascii="Cambria Math"/>
                  </w:rPr>
                  <m:t>Z</m:t>
                </m:r>
              </m:e>
              <m:sub>
                <m:r>
                  <w:rPr>
                    <w:rFonts w:ascii="Cambria Math"/>
                    <w:lang w:val="es-ES"/>
                  </w:rPr>
                  <m:t>0</m:t>
                </m:r>
              </m:sub>
            </m:sSub>
          </m:den>
        </m:f>
        <m:r>
          <w:rPr>
            <w:rFonts w:ascii="Cambria Math" w:hAnsi="Cambria Math"/>
            <w:lang w:val="es-ES"/>
          </w:rPr>
          <m:t>=</m:t>
        </m:r>
        <m:sSup>
          <m:sSupPr>
            <m:ctrlPr>
              <w:rPr>
                <w:rFonts w:ascii="Cambria Math" w:hAnsi="Cambria Math"/>
                <w:i/>
              </w:rPr>
            </m:ctrlPr>
          </m:sSupPr>
          <m:e>
            <m:r>
              <w:rPr>
                <w:rFonts w:ascii="Cambria Math"/>
              </w:rPr>
              <m:t>H</m:t>
            </m:r>
          </m:e>
          <m:sup>
            <m:r>
              <w:rPr>
                <w:rFonts w:ascii="Cambria Math"/>
                <w:lang w:val="es-ES"/>
              </w:rPr>
              <m:t>2</m:t>
            </m:r>
          </m:sup>
        </m:sSup>
        <m:sSub>
          <m:sSubPr>
            <m:ctrlPr>
              <w:rPr>
                <w:rFonts w:ascii="Cambria Math" w:hAnsi="Cambria Math"/>
                <w:i/>
              </w:rPr>
            </m:ctrlPr>
          </m:sSubPr>
          <m:e>
            <m:r>
              <w:rPr>
                <w:rFonts w:ascii="Cambria Math"/>
              </w:rPr>
              <m:t>Z</m:t>
            </m:r>
          </m:e>
          <m:sub>
            <m:r>
              <w:rPr>
                <w:rFonts w:ascii="Cambria Math"/>
                <w:lang w:val="es-ES"/>
              </w:rPr>
              <m:t>0</m:t>
            </m:r>
          </m:sub>
        </m:sSub>
      </m:oMath>
      <w:r w:rsidRPr="00111E49">
        <w:rPr>
          <w:lang w:val="es-ES"/>
        </w:rPr>
        <w:tab/>
        <w:t>(16)</w:t>
      </w:r>
    </w:p>
    <w:p w14:paraId="16282EB4" w14:textId="77777777" w:rsidR="0086339D" w:rsidRPr="0056409E" w:rsidRDefault="0086339D" w:rsidP="0086339D">
      <w:pPr>
        <w:rPr>
          <w:lang w:val="es-ES_tradnl"/>
        </w:rPr>
      </w:pPr>
      <w:r w:rsidRPr="0056409E">
        <w:rPr>
          <w:lang w:val="es-ES_tradnl"/>
        </w:rPr>
        <w:t>siendo:</w:t>
      </w:r>
    </w:p>
    <w:p w14:paraId="1E946258" w14:textId="77777777" w:rsidR="0086339D" w:rsidRPr="0056409E" w:rsidRDefault="0086339D" w:rsidP="0086339D">
      <w:pPr>
        <w:pStyle w:val="Equationlegend"/>
        <w:rPr>
          <w:lang w:val="es-ES_tradnl"/>
        </w:rPr>
      </w:pPr>
      <w:r w:rsidRPr="0056409E">
        <w:rPr>
          <w:i/>
          <w:iCs/>
          <w:lang w:val="es-ES_tradnl"/>
        </w:rPr>
        <w:tab/>
        <w:t>E</w:t>
      </w:r>
      <w:r w:rsidRPr="0056409E">
        <w:rPr>
          <w:rFonts w:ascii="Tms Rmn" w:hAnsi="Tms Rmn"/>
          <w:sz w:val="12"/>
          <w:lang w:val="es-ES_tradnl"/>
        </w:rPr>
        <w:t> </w:t>
      </w:r>
      <w:r w:rsidRPr="0056409E">
        <w:rPr>
          <w:lang w:val="es-ES_tradnl"/>
        </w:rPr>
        <w:t>:</w:t>
      </w:r>
      <w:r w:rsidRPr="0056409E">
        <w:rPr>
          <w:lang w:val="es-ES_tradnl"/>
        </w:rPr>
        <w:tab/>
        <w:t>intensidad de campo eléctrico (V/m) (valor eficaz)</w:t>
      </w:r>
    </w:p>
    <w:p w14:paraId="3D8D913A" w14:textId="77777777" w:rsidR="0086339D" w:rsidRPr="0056409E" w:rsidRDefault="0086339D" w:rsidP="0086339D">
      <w:pPr>
        <w:pStyle w:val="Equationlegend"/>
        <w:rPr>
          <w:lang w:val="es-ES_tradnl"/>
        </w:rPr>
      </w:pPr>
      <w:r w:rsidRPr="0056409E">
        <w:rPr>
          <w:i/>
          <w:iCs/>
          <w:lang w:val="es-ES_tradnl"/>
        </w:rPr>
        <w:tab/>
        <w:t>H</w:t>
      </w:r>
      <w:r w:rsidRPr="0056409E">
        <w:rPr>
          <w:rFonts w:ascii="Tms Rmn" w:hAnsi="Tms Rmn"/>
          <w:sz w:val="12"/>
          <w:lang w:val="es-ES_tradnl"/>
        </w:rPr>
        <w:t> </w:t>
      </w:r>
      <w:r w:rsidRPr="0056409E">
        <w:rPr>
          <w:lang w:val="es-ES_tradnl"/>
        </w:rPr>
        <w:t>:</w:t>
      </w:r>
      <w:r w:rsidRPr="0056409E">
        <w:rPr>
          <w:lang w:val="es-ES_tradnl"/>
        </w:rPr>
        <w:tab/>
        <w:t>intensidad de campo magnético (A/m) (valor eficaz)</w:t>
      </w:r>
    </w:p>
    <w:p w14:paraId="7B092DF1" w14:textId="77777777" w:rsidR="0086339D" w:rsidRPr="0056409E" w:rsidRDefault="0086339D" w:rsidP="0086339D">
      <w:pPr>
        <w:pStyle w:val="Equationlegend"/>
        <w:rPr>
          <w:lang w:val="es-ES_tradnl"/>
        </w:rPr>
      </w:pPr>
      <w:r w:rsidRPr="0056409E">
        <w:rPr>
          <w:i/>
          <w:iCs/>
          <w:lang w:val="es-ES_tradnl"/>
        </w:rPr>
        <w:tab/>
      </w:r>
      <w:r w:rsidRPr="0056409E">
        <w:rPr>
          <w:rFonts w:ascii="Symbol" w:hAnsi="Symbol"/>
          <w:lang w:val="es-ES_tradnl"/>
        </w:rPr>
        <w:t></w:t>
      </w:r>
      <w:r w:rsidRPr="0056409E">
        <w:rPr>
          <w:rFonts w:ascii="Symbol" w:hAnsi="Symbol"/>
          <w:vertAlign w:val="subscript"/>
          <w:lang w:val="es-ES_tradnl"/>
        </w:rPr>
        <w:t></w:t>
      </w:r>
      <w:r w:rsidRPr="0056409E">
        <w:rPr>
          <w:rFonts w:ascii="Tms Rmn" w:hAnsi="Tms Rmn"/>
          <w:sz w:val="12"/>
          <w:szCs w:val="12"/>
          <w:lang w:val="es-ES_tradnl"/>
        </w:rPr>
        <w:t> </w:t>
      </w:r>
      <w:r w:rsidRPr="0056409E">
        <w:rPr>
          <w:lang w:val="es-ES_tradnl"/>
        </w:rPr>
        <w:t>:</w:t>
      </w:r>
      <w:r w:rsidRPr="0056409E">
        <w:rPr>
          <w:lang w:val="es-ES_tradnl"/>
        </w:rPr>
        <w:tab/>
        <w:t xml:space="preserve">impedancia intrínseca del espacio libre, 120 π (377 </w:t>
      </w:r>
      <w:r w:rsidRPr="0056409E">
        <w:rPr>
          <w:rFonts w:ascii="Symbol" w:hAnsi="Symbol"/>
          <w:lang w:val="es-ES_tradnl"/>
        </w:rPr>
        <w:t>)</w:t>
      </w:r>
      <w:r w:rsidRPr="0056409E">
        <w:rPr>
          <w:lang w:val="es-ES_tradnl"/>
        </w:rPr>
        <w:t>.</w:t>
      </w:r>
    </w:p>
    <w:p w14:paraId="2A346885" w14:textId="77777777" w:rsidR="0086339D" w:rsidRPr="0056409E" w:rsidRDefault="0086339D" w:rsidP="0086339D">
      <w:pPr>
        <w:rPr>
          <w:lang w:val="es-ES_tradnl"/>
        </w:rPr>
      </w:pPr>
      <w:r w:rsidRPr="0056409E">
        <w:rPr>
          <w:lang w:val="es-ES_tradnl"/>
        </w:rPr>
        <w:t>Por consiguiente, utilizando las ecuaciones anteriores pueden calcularse las intensidades de campo:</w:t>
      </w:r>
    </w:p>
    <w:p w14:paraId="3526AFB3" w14:textId="60670C1A" w:rsidR="00AC776E" w:rsidRDefault="00AC776E" w:rsidP="00AC776E">
      <w:pPr>
        <w:pStyle w:val="Equation"/>
      </w:pPr>
      <w:r w:rsidRPr="00111E49">
        <w:rPr>
          <w:lang w:val="es-ES"/>
        </w:rPr>
        <w:tab/>
      </w:r>
      <w:r w:rsidRPr="00111E49">
        <w:rPr>
          <w:lang w:val="es-ES"/>
        </w:rPr>
        <w:tab/>
      </w:r>
      <m:oMath>
        <m:r>
          <w:rPr>
            <w:rFonts w:ascii="Cambria Math" w:hAnsi="Cambria Math"/>
          </w:rPr>
          <m:t>E=</m:t>
        </m:r>
        <m:rad>
          <m:radPr>
            <m:degHide m:val="1"/>
            <m:ctrlPr>
              <w:rPr>
                <w:rFonts w:ascii="Cambria Math" w:hAnsi="Cambria Math"/>
                <w:i/>
              </w:rPr>
            </m:ctrlPr>
          </m:radPr>
          <m:deg/>
          <m:e>
            <m:f>
              <m:fPr>
                <m:ctrlPr>
                  <w:rPr>
                    <w:rFonts w:ascii="Cambria Math" w:hAnsi="Cambria Math"/>
                    <w:i/>
                  </w:rPr>
                </m:ctrlPr>
              </m:fPr>
              <m:num>
                <m:r>
                  <w:rPr>
                    <w:rFonts w:ascii="Cambria Math"/>
                  </w:rPr>
                  <m:t>P</m:t>
                </m:r>
                <m:r>
                  <w:rPr>
                    <w:rFonts w:ascii="Cambria Math"/>
                  </w:rPr>
                  <m:t> </m:t>
                </m:r>
                <m:r>
                  <w:rPr>
                    <w:rFonts w:ascii="Cambria Math"/>
                  </w:rPr>
                  <m:t>G</m:t>
                </m:r>
                <m:r>
                  <w:rPr>
                    <w:rFonts w:ascii="Cambria Math"/>
                  </w:rPr>
                  <m:t> </m:t>
                </m:r>
                <m:sSub>
                  <m:sSubPr>
                    <m:ctrlPr>
                      <w:rPr>
                        <w:rFonts w:ascii="Cambria Math" w:hAnsi="Cambria Math"/>
                        <w:i/>
                      </w:rPr>
                    </m:ctrlPr>
                  </m:sSubPr>
                  <m:e>
                    <m:r>
                      <w:rPr>
                        <w:rFonts w:ascii="Cambria Math"/>
                      </w:rPr>
                      <m:t>Z</m:t>
                    </m:r>
                  </m:e>
                  <m:sub>
                    <m:r>
                      <w:rPr>
                        <w:rFonts w:ascii="Cambria Math"/>
                      </w:rPr>
                      <m:t>0</m:t>
                    </m:r>
                  </m:sub>
                </m:sSub>
              </m:num>
              <m:den>
                <m:r>
                  <w:rPr>
                    <w:rFonts w:ascii="Cambria Math"/>
                  </w:rPr>
                  <m:t>4</m:t>
                </m:r>
                <m:r>
                  <m:rPr>
                    <m:sty m:val="p"/>
                  </m:rPr>
                  <w:rPr>
                    <w:rFonts w:ascii="Cambria Math"/>
                  </w:rPr>
                  <m:t>π</m:t>
                </m:r>
                <m:r>
                  <w:rPr>
                    <w:rFonts w:ascii="Cambria Math"/>
                  </w:rPr>
                  <m:t> </m:t>
                </m:r>
                <m:sSup>
                  <m:sSupPr>
                    <m:ctrlPr>
                      <w:rPr>
                        <w:rFonts w:ascii="Cambria Math" w:hAnsi="Cambria Math"/>
                        <w:i/>
                      </w:rPr>
                    </m:ctrlPr>
                  </m:sSupPr>
                  <m:e>
                    <m:r>
                      <w:rPr>
                        <w:rFonts w:ascii="Cambria Math"/>
                      </w:rPr>
                      <m:t>d</m:t>
                    </m:r>
                  </m:e>
                  <m:sup>
                    <m:r>
                      <w:rPr>
                        <w:rFonts w:ascii="Cambria Math"/>
                      </w:rPr>
                      <m:t>2</m:t>
                    </m:r>
                  </m:sup>
                </m:sSup>
              </m:den>
            </m:f>
          </m:e>
        </m:rad>
        <m:r>
          <w:rPr>
            <w:rFonts w:ascii="Cambria Math" w:hAnsi="Cambria Math"/>
          </w:rPr>
          <m:t>=</m:t>
        </m:r>
        <m:f>
          <m:fPr>
            <m:ctrlPr>
              <w:rPr>
                <w:rFonts w:ascii="Cambria Math" w:hAnsi="Cambria Math"/>
                <w:i/>
              </w:rPr>
            </m:ctrlPr>
          </m:fPr>
          <m:num>
            <m:r>
              <w:rPr>
                <w:rFonts w:ascii="Cambria Math"/>
              </w:rPr>
              <m:t>5,5</m:t>
            </m:r>
            <m:rad>
              <m:radPr>
                <m:degHide m:val="1"/>
                <m:ctrlPr>
                  <w:rPr>
                    <w:rFonts w:ascii="Cambria Math" w:hAnsi="Cambria Math"/>
                    <w:i/>
                  </w:rPr>
                </m:ctrlPr>
              </m:radPr>
              <m:deg/>
              <m:e>
                <m:r>
                  <w:rPr>
                    <w:rFonts w:ascii="Cambria Math"/>
                  </w:rPr>
                  <m:t>PG</m:t>
                </m:r>
              </m:e>
            </m:rad>
          </m:num>
          <m:den>
            <m:r>
              <w:rPr>
                <w:rFonts w:ascii="Cambria Math"/>
              </w:rPr>
              <m:t>d</m:t>
            </m:r>
          </m:den>
        </m:f>
      </m:oMath>
    </w:p>
    <w:p w14:paraId="282F3095" w14:textId="76DA2D5B" w:rsidR="00AC776E" w:rsidRDefault="00AC776E" w:rsidP="00AC776E">
      <w:pPr>
        <w:pStyle w:val="Equation"/>
      </w:pPr>
      <w:r>
        <w:tab/>
      </w:r>
      <w:r>
        <w:tab/>
      </w:r>
      <m:oMath>
        <m:r>
          <w:rPr>
            <w:rFonts w:ascii="Cambria Math" w:hAnsi="Cambria Math"/>
          </w:rPr>
          <m:t>H=</m:t>
        </m:r>
        <m:rad>
          <m:radPr>
            <m:degHide m:val="1"/>
            <m:ctrlPr>
              <w:rPr>
                <w:rFonts w:ascii="Cambria Math" w:hAnsi="Cambria Math"/>
                <w:i/>
              </w:rPr>
            </m:ctrlPr>
          </m:radPr>
          <m:deg/>
          <m:e>
            <m:f>
              <m:fPr>
                <m:ctrlPr>
                  <w:rPr>
                    <w:rFonts w:ascii="Cambria Math" w:hAnsi="Cambria Math"/>
                    <w:i/>
                  </w:rPr>
                </m:ctrlPr>
              </m:fPr>
              <m:num>
                <m:r>
                  <w:rPr>
                    <w:rFonts w:ascii="Cambria Math"/>
                  </w:rPr>
                  <m:t>PG</m:t>
                </m:r>
              </m:num>
              <m:den>
                <m:r>
                  <w:rPr>
                    <w:rFonts w:ascii="Cambria Math"/>
                  </w:rPr>
                  <m:t>4</m:t>
                </m:r>
                <m:r>
                  <m:rPr>
                    <m:sty m:val="p"/>
                  </m:rPr>
                  <w:rPr>
                    <w:rFonts w:ascii="Cambria Math"/>
                  </w:rPr>
                  <m:t>π</m:t>
                </m:r>
                <m:r>
                  <w:rPr>
                    <w:rFonts w:ascii="Cambria Math"/>
                  </w:rPr>
                  <m:t> </m:t>
                </m:r>
                <m:sSup>
                  <m:sSupPr>
                    <m:ctrlPr>
                      <w:rPr>
                        <w:rFonts w:ascii="Cambria Math" w:hAnsi="Cambria Math"/>
                        <w:i/>
                      </w:rPr>
                    </m:ctrlPr>
                  </m:sSupPr>
                  <m:e>
                    <m:r>
                      <w:rPr>
                        <w:rFonts w:ascii="Cambria Math"/>
                      </w:rPr>
                      <m:t>d</m:t>
                    </m:r>
                  </m:e>
                  <m:sup>
                    <m:r>
                      <w:rPr>
                        <w:rFonts w:ascii="Cambria Math"/>
                      </w:rPr>
                      <m:t>2</m:t>
                    </m:r>
                  </m:sup>
                </m:sSup>
                <m:sSub>
                  <m:sSubPr>
                    <m:ctrlPr>
                      <w:rPr>
                        <w:rFonts w:ascii="Cambria Math" w:hAnsi="Cambria Math"/>
                        <w:i/>
                      </w:rPr>
                    </m:ctrlPr>
                  </m:sSubPr>
                  <m:e>
                    <m:r>
                      <w:rPr>
                        <w:rFonts w:ascii="Cambria Math"/>
                      </w:rPr>
                      <m:t>Z</m:t>
                    </m:r>
                  </m:e>
                  <m:sub>
                    <m:r>
                      <w:rPr>
                        <w:rFonts w:ascii="Cambria Math"/>
                      </w:rPr>
                      <m:t>0</m:t>
                    </m:r>
                  </m:sub>
                </m:sSub>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rPr>
                      <m:t>PG</m:t>
                    </m:r>
                  </m:e>
                </m:rad>
              </m:num>
              <m:den>
                <m:r>
                  <w:rPr>
                    <w:rFonts w:ascii="Cambria Math"/>
                  </w:rPr>
                  <m:t>68,8d</m:t>
                </m:r>
              </m:den>
            </m:f>
          </m:e>
        </m:rad>
      </m:oMath>
    </w:p>
    <w:p w14:paraId="3B71900E" w14:textId="3B306948" w:rsidR="0086339D" w:rsidRPr="0056409E" w:rsidRDefault="0086339D" w:rsidP="00152FFD">
      <w:pPr>
        <w:rPr>
          <w:lang w:val="es-ES_tradnl"/>
        </w:rPr>
      </w:pPr>
      <w:r w:rsidRPr="0056409E">
        <w:rPr>
          <w:lang w:val="es-ES_tradnl"/>
        </w:rPr>
        <w:t xml:space="preserve">Estas ecuaciones sólo son válidas en la región de campo lejano de la fuente radiante, es decir, cuando </w:t>
      </w:r>
      <w:r w:rsidRPr="0056409E">
        <w:rPr>
          <w:i/>
          <w:iCs/>
          <w:lang w:val="es-ES_tradnl"/>
        </w:rPr>
        <w:t>d</w:t>
      </w:r>
      <w:r w:rsidRPr="0056409E">
        <w:rPr>
          <w:lang w:val="es-ES_tradnl"/>
        </w:rPr>
        <w:t> </w:t>
      </w:r>
      <w:r w:rsidRPr="0056409E">
        <w:rPr>
          <w:rFonts w:ascii="Symbol" w:hAnsi="Symbol"/>
          <w:lang w:val="es-ES_tradnl"/>
        </w:rPr>
        <w:t></w:t>
      </w:r>
      <w:r w:rsidRPr="0056409E">
        <w:rPr>
          <w:lang w:val="es-ES_tradnl"/>
        </w:rPr>
        <w:t> 2</w:t>
      </w:r>
      <w:r w:rsidRPr="0056409E">
        <w:rPr>
          <w:i/>
          <w:iCs/>
          <w:lang w:val="es-ES_tradnl"/>
        </w:rPr>
        <w:t>D</w:t>
      </w:r>
      <w:r w:rsidRPr="0056409E">
        <w:rPr>
          <w:vertAlign w:val="superscript"/>
          <w:lang w:val="es-ES_tradnl"/>
        </w:rPr>
        <w:t>2</w:t>
      </w:r>
      <w:r w:rsidRPr="0056409E">
        <w:rPr>
          <w:lang w:val="es-ES_tradnl"/>
        </w:rPr>
        <w:t>/</w:t>
      </w:r>
      <w:r w:rsidRPr="0056409E">
        <w:rPr>
          <w:rFonts w:ascii="Symbol" w:hAnsi="Symbol"/>
          <w:lang w:val="es-ES_tradnl"/>
        </w:rPr>
        <w:t></w:t>
      </w:r>
      <w:r w:rsidRPr="0056409E">
        <w:rPr>
          <w:lang w:val="es-ES_tradnl"/>
        </w:rPr>
        <w:t xml:space="preserve">, siendo </w:t>
      </w:r>
      <w:r w:rsidRPr="0056409E">
        <w:rPr>
          <w:i/>
          <w:iCs/>
          <w:lang w:val="es-ES_tradnl"/>
        </w:rPr>
        <w:t xml:space="preserve">D </w:t>
      </w:r>
      <w:r w:rsidRPr="0056409E">
        <w:rPr>
          <w:lang w:val="es-ES_tradnl"/>
        </w:rPr>
        <w:t xml:space="preserve">la mayor dimensión de la estructura radiante y </w:t>
      </w:r>
      <w:r w:rsidRPr="0056409E">
        <w:rPr>
          <w:rFonts w:ascii="Symbol" w:hAnsi="Symbol"/>
          <w:lang w:val="es-ES_tradnl"/>
        </w:rPr>
        <w:t></w:t>
      </w:r>
      <w:r w:rsidRPr="0056409E">
        <w:rPr>
          <w:lang w:val="es-ES_tradnl"/>
        </w:rPr>
        <w:t xml:space="preserve"> la longitud de onda. La atenuación o incremento de la intensidad de campo debidos a la reflexión, a la transmisión del material y a la difracción no se han tenido en cuenta. Utilizando las ecuaciones anteriores en la región de campo cercano, o en direcciones distintas a la dirección principal, se obtendrá normalmente un valor demasiado elevado a menos que se introduzca un factor de corrección de campo cercano o un factor de diagrama de radiación.</w:t>
      </w:r>
    </w:p>
    <w:p w14:paraId="0EB038BD" w14:textId="77777777" w:rsidR="0086339D" w:rsidRPr="0056409E" w:rsidRDefault="0086339D" w:rsidP="0086339D">
      <w:pPr>
        <w:pStyle w:val="Heading1"/>
        <w:rPr>
          <w:lang w:val="es-ES_tradnl"/>
        </w:rPr>
      </w:pPr>
      <w:bookmarkStart w:id="289" w:name="_Toc65545989"/>
      <w:bookmarkStart w:id="290" w:name="_Toc65546171"/>
      <w:bookmarkStart w:id="291" w:name="_Toc65546321"/>
      <w:bookmarkStart w:id="292" w:name="_Toc86461517"/>
      <w:bookmarkStart w:id="293" w:name="_Toc162005906"/>
      <w:bookmarkStart w:id="294" w:name="_Toc162006230"/>
      <w:bookmarkStart w:id="295" w:name="_Toc162444576"/>
      <w:bookmarkStart w:id="296" w:name="_Toc162518199"/>
      <w:bookmarkStart w:id="297" w:name="_Toc162518722"/>
      <w:r w:rsidRPr="0056409E">
        <w:rPr>
          <w:lang w:val="es-ES_tradnl"/>
        </w:rPr>
        <w:t>4</w:t>
      </w:r>
      <w:r w:rsidRPr="0056409E">
        <w:rPr>
          <w:lang w:val="es-ES_tradnl"/>
        </w:rPr>
        <w:tab/>
        <w:t>Mediciones</w:t>
      </w:r>
      <w:bookmarkEnd w:id="289"/>
      <w:bookmarkEnd w:id="290"/>
      <w:bookmarkEnd w:id="291"/>
      <w:bookmarkEnd w:id="292"/>
      <w:bookmarkEnd w:id="293"/>
      <w:bookmarkEnd w:id="294"/>
      <w:bookmarkEnd w:id="295"/>
      <w:bookmarkEnd w:id="296"/>
      <w:bookmarkEnd w:id="297"/>
    </w:p>
    <w:p w14:paraId="197D615C" w14:textId="77777777" w:rsidR="0086339D" w:rsidRPr="0056409E" w:rsidRDefault="0086339D" w:rsidP="0086339D">
      <w:pPr>
        <w:pStyle w:val="Heading2"/>
        <w:rPr>
          <w:lang w:val="es-ES_tradnl"/>
        </w:rPr>
      </w:pPr>
      <w:bookmarkStart w:id="298" w:name="_Toc65545990"/>
      <w:bookmarkStart w:id="299" w:name="_Toc65546172"/>
      <w:bookmarkStart w:id="300" w:name="_Toc65546322"/>
      <w:bookmarkStart w:id="301" w:name="_Toc86461518"/>
      <w:bookmarkStart w:id="302" w:name="_Toc162005907"/>
      <w:bookmarkStart w:id="303" w:name="_Toc162006231"/>
      <w:bookmarkStart w:id="304" w:name="_Toc162444577"/>
      <w:bookmarkStart w:id="305" w:name="_Toc162518200"/>
      <w:bookmarkStart w:id="306" w:name="_Toc162518723"/>
      <w:r w:rsidRPr="0056409E">
        <w:rPr>
          <w:lang w:val="es-ES_tradnl"/>
        </w:rPr>
        <w:t>4.1</w:t>
      </w:r>
      <w:r w:rsidRPr="0056409E">
        <w:rPr>
          <w:lang w:val="es-ES_tradnl"/>
        </w:rPr>
        <w:tab/>
        <w:t>Procedimientos</w:t>
      </w:r>
      <w:bookmarkEnd w:id="298"/>
      <w:bookmarkEnd w:id="299"/>
      <w:bookmarkEnd w:id="300"/>
      <w:bookmarkEnd w:id="301"/>
      <w:bookmarkEnd w:id="302"/>
      <w:bookmarkEnd w:id="303"/>
      <w:bookmarkEnd w:id="304"/>
      <w:bookmarkEnd w:id="305"/>
      <w:bookmarkEnd w:id="306"/>
    </w:p>
    <w:p w14:paraId="7A0CD0D3" w14:textId="1A2CA4C0" w:rsidR="0086339D" w:rsidRPr="0056409E" w:rsidRDefault="0086339D" w:rsidP="0086339D">
      <w:pPr>
        <w:rPr>
          <w:lang w:val="es-ES_tradnl"/>
        </w:rPr>
      </w:pPr>
      <w:r w:rsidRPr="0056409E">
        <w:rPr>
          <w:lang w:val="es-ES_tradnl"/>
        </w:rPr>
        <w:t>Los métodos de medición revisten importancia crítica, en especial para campos de frecuencias próximas y bajas; véanse el Informe UIT-R SM.2452,</w:t>
      </w:r>
      <w:r w:rsidRPr="0056409E">
        <w:rPr>
          <w:i/>
          <w:iCs/>
          <w:lang w:val="es-ES_tradnl" w:eastAsia="zh-CN"/>
        </w:rPr>
        <w:t xml:space="preserve"> Medición de campos electromagnéticos para la evaluación de la exposición de las personas</w:t>
      </w:r>
      <w:r w:rsidRPr="0056409E">
        <w:rPr>
          <w:lang w:val="es-ES_tradnl" w:eastAsia="zh-CN"/>
        </w:rPr>
        <w:t>,</w:t>
      </w:r>
      <w:r w:rsidRPr="0056409E">
        <w:rPr>
          <w:lang w:val="es-ES_tradnl"/>
        </w:rPr>
        <w:t xml:space="preserve"> la Recomendación UIT-T K.61 y las especificaciones EN 50496 [8] y EN 50 554 [9]. En el caso de las bandas de frecuencias inferiores, el método de medición es un tema muy sensible y complejo, puesto que generalmente la distancia al punto de prueba (desde la fuente de emisión) es mucho más pequeña que la longitud de onda. Por esa razón, para las mediciones, la gama de frecuencias 10 kHz</w:t>
      </w:r>
      <w:r w:rsidRPr="0056409E">
        <w:rPr>
          <w:lang w:val="es-ES_tradnl"/>
        </w:rPr>
        <w:noBreakHyphen/>
        <w:t>300 GHz se divide en cuatro bandas de radiodifusión principales: ondas kilométricas/hectométricas, ondas decamétricas, ondas métricas/decimétricas y ondas centimétricas/milimétricas. De acuerdo con las Directrices elaboradas por la ICNIRP en 2020 a fin de limitar la exposición a campos electromagnéticos (de 100 kHz a 300</w:t>
      </w:r>
      <w:r w:rsidR="0042201F">
        <w:rPr>
          <w:lang w:val="es-ES_tradnl"/>
        </w:rPr>
        <w:t> </w:t>
      </w:r>
      <w:r w:rsidRPr="0056409E">
        <w:rPr>
          <w:lang w:val="es-ES_tradnl"/>
        </w:rPr>
        <w:t xml:space="preserve">GHz) [1], </w:t>
      </w:r>
      <w:r w:rsidRPr="0056409E">
        <w:rPr>
          <w:i/>
          <w:iCs/>
          <w:lang w:val="es-ES_tradnl"/>
        </w:rPr>
        <w:t>E</w:t>
      </w:r>
      <w:r w:rsidRPr="0056409E">
        <w:rPr>
          <w:lang w:val="es-ES_tradnl"/>
        </w:rPr>
        <w:t xml:space="preserve"> y </w:t>
      </w:r>
      <w:r w:rsidRPr="0056409E">
        <w:rPr>
          <w:i/>
          <w:iCs/>
          <w:lang w:val="es-ES_tradnl"/>
        </w:rPr>
        <w:t>H</w:t>
      </w:r>
      <w:r w:rsidRPr="0056409E">
        <w:rPr>
          <w:lang w:val="es-ES_tradnl"/>
        </w:rPr>
        <w:t xml:space="preserve"> sólo se utilizan hasta 2</w:t>
      </w:r>
      <w:r w:rsidR="00482766">
        <w:rPr>
          <w:lang w:val="es-ES_tradnl"/>
        </w:rPr>
        <w:t> </w:t>
      </w:r>
      <w:r w:rsidRPr="0056409E">
        <w:rPr>
          <w:lang w:val="es-ES_tradnl"/>
        </w:rPr>
        <w:t>000</w:t>
      </w:r>
      <w:r w:rsidR="00482766">
        <w:rPr>
          <w:lang w:val="es-ES_tradnl"/>
        </w:rPr>
        <w:t> </w:t>
      </w:r>
      <w:r w:rsidRPr="0056409E">
        <w:rPr>
          <w:lang w:val="es-ES_tradnl"/>
        </w:rPr>
        <w:t>MHz</w:t>
      </w:r>
      <w:r>
        <w:rPr>
          <w:lang w:val="es-ES_tradnl"/>
        </w:rPr>
        <w:t>,</w:t>
      </w:r>
      <w:r w:rsidRPr="0056409E">
        <w:rPr>
          <w:lang w:val="es-ES_tradnl"/>
        </w:rPr>
        <w:t xml:space="preserve"> mientras que la densidad de potencia incidente sólo se utiliza por encima de 30</w:t>
      </w:r>
      <w:r w:rsidR="00482766">
        <w:rPr>
          <w:lang w:val="es-ES_tradnl"/>
        </w:rPr>
        <w:t> </w:t>
      </w:r>
      <w:r w:rsidRPr="0056409E">
        <w:rPr>
          <w:lang w:val="es-ES_tradnl"/>
        </w:rPr>
        <w:t>MHz.</w:t>
      </w:r>
    </w:p>
    <w:p w14:paraId="58B416A7" w14:textId="77777777" w:rsidR="0086339D" w:rsidRPr="0056409E" w:rsidRDefault="0086339D" w:rsidP="0086339D">
      <w:pPr>
        <w:pStyle w:val="Heading3"/>
        <w:rPr>
          <w:lang w:val="es-ES_tradnl"/>
        </w:rPr>
      </w:pPr>
      <w:bookmarkStart w:id="307" w:name="_Toc65545991"/>
      <w:bookmarkStart w:id="308" w:name="_Toc65546173"/>
      <w:bookmarkStart w:id="309" w:name="_Toc86461519"/>
      <w:bookmarkStart w:id="310" w:name="_Toc162001355"/>
      <w:bookmarkStart w:id="311" w:name="_Toc162005908"/>
      <w:bookmarkStart w:id="312" w:name="_Toc162006001"/>
      <w:bookmarkStart w:id="313" w:name="_Toc162006232"/>
      <w:bookmarkStart w:id="314" w:name="_Toc162008587"/>
      <w:bookmarkStart w:id="315" w:name="_Toc162443012"/>
      <w:bookmarkStart w:id="316" w:name="_Toc162443429"/>
      <w:bookmarkStart w:id="317" w:name="_Toc162443578"/>
      <w:bookmarkStart w:id="318" w:name="_Toc162443797"/>
      <w:bookmarkStart w:id="319" w:name="_Toc162444027"/>
      <w:bookmarkStart w:id="320" w:name="_Toc162444578"/>
      <w:r w:rsidRPr="0056409E">
        <w:rPr>
          <w:lang w:val="es-ES_tradnl"/>
        </w:rPr>
        <w:lastRenderedPageBreak/>
        <w:t>4.1.1</w:t>
      </w:r>
      <w:r w:rsidRPr="0056409E">
        <w:rPr>
          <w:lang w:val="es-ES_tradnl"/>
        </w:rPr>
        <w:tab/>
        <w:t>Bandas de ondas kilométricas/hectométricas</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0FD5E302" w14:textId="77777777" w:rsidR="0086339D" w:rsidRPr="0056409E" w:rsidRDefault="0086339D" w:rsidP="0086339D">
      <w:pPr>
        <w:rPr>
          <w:lang w:val="es-ES_tradnl"/>
        </w:rPr>
      </w:pPr>
      <w:r w:rsidRPr="0056409E">
        <w:rPr>
          <w:lang w:val="es-ES_tradnl"/>
        </w:rPr>
        <w:t>Para verificar los resultados teóricos, las mediciones de intensidad de campo en la zona cercana se llevan a cabo con instrumentos especiales (medidores de intensidad de campo), en particular, tres dipolos cortos ubicados de forma ortogonal. Se recomienda no utilizar ningún instrumento que necesite un cable de alimentación.</w:t>
      </w:r>
    </w:p>
    <w:p w14:paraId="1B726B24" w14:textId="77777777" w:rsidR="0086339D" w:rsidRPr="0056409E" w:rsidRDefault="0086339D" w:rsidP="0086339D">
      <w:pPr>
        <w:rPr>
          <w:lang w:val="es-ES_tradnl"/>
        </w:rPr>
      </w:pPr>
      <w:r w:rsidRPr="0056409E">
        <w:rPr>
          <w:lang w:val="es-ES_tradnl"/>
        </w:rPr>
        <w:t>Para evitar la influencia perturbadora del operario que lleva a cabo la medición, el instrumento deberá atarse a un vástago aislante. La distancia entre el instrumento y el operador debe deter</w:t>
      </w:r>
      <w:r w:rsidRPr="0056409E">
        <w:rPr>
          <w:lang w:val="es-ES_tradnl"/>
        </w:rPr>
        <w:softHyphen/>
        <w:t>minarse teniendo en cuenta que se produzca o no algún cambio en la escala del instrumento causado por algún movimiento del operador. Dicha distancia depende de la frecuencia de la señal medida.</w:t>
      </w:r>
    </w:p>
    <w:p w14:paraId="0F850C63" w14:textId="77777777" w:rsidR="0086339D" w:rsidRPr="0056409E" w:rsidRDefault="0086339D" w:rsidP="0086339D">
      <w:pPr>
        <w:rPr>
          <w:lang w:val="es-ES_tradnl"/>
        </w:rPr>
      </w:pPr>
      <w:r w:rsidRPr="0056409E">
        <w:rPr>
          <w:lang w:val="es-ES_tradnl"/>
        </w:rPr>
        <w:t>Para realizar este tipo de mediciones, es necesario tener en cuenta la posible influencia de cualquier objeto situado en las proximidades, en particular, los que pueden provocar efectos de radiaciones secundarias.</w:t>
      </w:r>
    </w:p>
    <w:p w14:paraId="7E38F04D" w14:textId="77777777" w:rsidR="0086339D" w:rsidRPr="0056409E" w:rsidRDefault="0086339D" w:rsidP="0086339D">
      <w:pPr>
        <w:rPr>
          <w:lang w:val="es-ES_tradnl"/>
        </w:rPr>
      </w:pPr>
      <w:r w:rsidRPr="0056409E">
        <w:rPr>
          <w:lang w:val="es-ES_tradnl"/>
        </w:rPr>
        <w:t>Cuando el objeto de la medición es verificar los resultados obtenidos por cálculo teórico, deben seleccionarse los puntos de prueba a lo largo de una dirección radial y a una altura comprendida entre 1 y 2 m.</w:t>
      </w:r>
    </w:p>
    <w:p w14:paraId="6967BEF8" w14:textId="55BB19F6" w:rsidR="0086339D" w:rsidRPr="0056409E" w:rsidRDefault="0086339D" w:rsidP="0086339D">
      <w:pPr>
        <w:rPr>
          <w:lang w:val="es-ES_tradnl"/>
        </w:rPr>
      </w:pPr>
      <w:r w:rsidRPr="0056409E">
        <w:rPr>
          <w:lang w:val="es-ES_tradnl"/>
        </w:rPr>
        <w:t>En la Recomendación UIT</w:t>
      </w:r>
      <w:r w:rsidRPr="0056409E">
        <w:rPr>
          <w:lang w:val="es-ES_tradnl"/>
        </w:rPr>
        <w:noBreakHyphen/>
        <w:t>R </w:t>
      </w:r>
      <w:hyperlink r:id="rId44" w:history="1">
        <w:r w:rsidR="0042201F" w:rsidRPr="0042201F">
          <w:rPr>
            <w:rStyle w:val="Hyperlink"/>
            <w:color w:val="auto"/>
            <w:u w:val="none"/>
            <w:lang w:val="es-ES_tradnl"/>
          </w:rPr>
          <w:t>BS.1386</w:t>
        </w:r>
      </w:hyperlink>
      <w:r w:rsidR="0042201F" w:rsidRPr="0042201F">
        <w:rPr>
          <w:lang w:val="es-ES_tradnl"/>
        </w:rPr>
        <w:t xml:space="preserve"> </w:t>
      </w:r>
      <w:r w:rsidRPr="0056409E">
        <w:rPr>
          <w:lang w:val="es-ES_tradnl"/>
        </w:rPr>
        <w:t>aparece una explicación más detallada al respecto.</w:t>
      </w:r>
    </w:p>
    <w:p w14:paraId="4C1619D1" w14:textId="77777777" w:rsidR="0086339D" w:rsidRPr="0056409E" w:rsidRDefault="0086339D" w:rsidP="0086339D">
      <w:pPr>
        <w:pStyle w:val="Heading3"/>
        <w:rPr>
          <w:lang w:val="es-ES_tradnl"/>
        </w:rPr>
      </w:pPr>
      <w:bookmarkStart w:id="321" w:name="_Toc65545992"/>
      <w:bookmarkStart w:id="322" w:name="_Toc65546174"/>
      <w:bookmarkStart w:id="323" w:name="_Toc86461520"/>
      <w:bookmarkStart w:id="324" w:name="_Toc162001356"/>
      <w:bookmarkStart w:id="325" w:name="_Toc162005909"/>
      <w:bookmarkStart w:id="326" w:name="_Toc162006002"/>
      <w:bookmarkStart w:id="327" w:name="_Toc162006233"/>
      <w:bookmarkStart w:id="328" w:name="_Toc162008588"/>
      <w:bookmarkStart w:id="329" w:name="_Toc162443013"/>
      <w:bookmarkStart w:id="330" w:name="_Toc162443430"/>
      <w:bookmarkStart w:id="331" w:name="_Toc162443579"/>
      <w:bookmarkStart w:id="332" w:name="_Toc162443798"/>
      <w:bookmarkStart w:id="333" w:name="_Toc162444028"/>
      <w:bookmarkStart w:id="334" w:name="_Toc162444579"/>
      <w:r w:rsidRPr="0056409E">
        <w:rPr>
          <w:lang w:val="es-ES_tradnl"/>
        </w:rPr>
        <w:t>4.1.2</w:t>
      </w:r>
      <w:r w:rsidRPr="0056409E">
        <w:rPr>
          <w:lang w:val="es-ES_tradnl"/>
        </w:rPr>
        <w:tab/>
        <w:t>Banda de ondas decamétricas</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06E94C15" w14:textId="106A14BA" w:rsidR="0086339D" w:rsidRPr="0056409E" w:rsidRDefault="0086339D" w:rsidP="0086339D">
      <w:pPr>
        <w:rPr>
          <w:lang w:val="es-ES_tradnl"/>
        </w:rPr>
      </w:pPr>
      <w:r w:rsidRPr="0056409E">
        <w:rPr>
          <w:lang w:val="es-ES_tradnl"/>
        </w:rPr>
        <w:t>En la Recomendación UIT</w:t>
      </w:r>
      <w:r w:rsidRPr="0056409E">
        <w:rPr>
          <w:lang w:val="es-ES_tradnl"/>
        </w:rPr>
        <w:noBreakHyphen/>
      </w:r>
      <w:r w:rsidRPr="0042201F">
        <w:rPr>
          <w:lang w:val="es-ES_tradnl"/>
        </w:rPr>
        <w:t>R </w:t>
      </w:r>
      <w:hyperlink r:id="rId45" w:history="1">
        <w:r w:rsidRPr="0042201F">
          <w:rPr>
            <w:rStyle w:val="Hyperlink"/>
            <w:color w:val="auto"/>
            <w:u w:val="none"/>
            <w:lang w:val="es-ES_tradnl"/>
          </w:rPr>
          <w:t>BS.705</w:t>
        </w:r>
      </w:hyperlink>
      <w:r w:rsidRPr="0042201F">
        <w:rPr>
          <w:lang w:val="es-ES_tradnl"/>
        </w:rPr>
        <w:t xml:space="preserve"> </w:t>
      </w:r>
      <w:r w:rsidRPr="0056409E">
        <w:rPr>
          <w:lang w:val="es-ES_tradnl"/>
        </w:rPr>
        <w:t>aparece una explicación detallada al respecto.</w:t>
      </w:r>
    </w:p>
    <w:p w14:paraId="3F187D59" w14:textId="77777777" w:rsidR="0086339D" w:rsidRPr="0056409E" w:rsidRDefault="0086339D" w:rsidP="0086339D">
      <w:pPr>
        <w:pStyle w:val="Heading3"/>
        <w:rPr>
          <w:lang w:val="es-ES_tradnl"/>
        </w:rPr>
      </w:pPr>
      <w:bookmarkStart w:id="335" w:name="_Toc65545993"/>
      <w:bookmarkStart w:id="336" w:name="_Toc65546175"/>
      <w:bookmarkStart w:id="337" w:name="_Toc86461521"/>
      <w:bookmarkStart w:id="338" w:name="_Toc162001357"/>
      <w:bookmarkStart w:id="339" w:name="_Toc162005910"/>
      <w:bookmarkStart w:id="340" w:name="_Toc162006003"/>
      <w:bookmarkStart w:id="341" w:name="_Toc162006234"/>
      <w:bookmarkStart w:id="342" w:name="_Toc162008589"/>
      <w:bookmarkStart w:id="343" w:name="_Toc162443014"/>
      <w:bookmarkStart w:id="344" w:name="_Toc162443431"/>
      <w:bookmarkStart w:id="345" w:name="_Toc162443580"/>
      <w:bookmarkStart w:id="346" w:name="_Toc162443799"/>
      <w:bookmarkStart w:id="347" w:name="_Toc162444029"/>
      <w:bookmarkStart w:id="348" w:name="_Toc162444580"/>
      <w:r w:rsidRPr="0056409E">
        <w:rPr>
          <w:lang w:val="es-ES_tradnl"/>
        </w:rPr>
        <w:t>4.1.3</w:t>
      </w:r>
      <w:r w:rsidRPr="0056409E">
        <w:rPr>
          <w:lang w:val="es-ES_tradnl"/>
        </w:rPr>
        <w:tab/>
        <w:t>Bandas de ondas métricas</w:t>
      </w:r>
      <w:r>
        <w:rPr>
          <w:lang w:val="es-ES_tradnl"/>
        </w:rPr>
        <w:t>/</w:t>
      </w:r>
      <w:r w:rsidRPr="0056409E">
        <w:rPr>
          <w:lang w:val="es-ES_tradnl"/>
        </w:rPr>
        <w:t>decimétricas</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298D9042" w14:textId="3D5BCD5E" w:rsidR="0086339D" w:rsidRPr="0056409E" w:rsidRDefault="0086339D" w:rsidP="0086339D">
      <w:pPr>
        <w:rPr>
          <w:lang w:val="es-ES_tradnl"/>
        </w:rPr>
      </w:pPr>
      <w:r w:rsidRPr="0056409E">
        <w:rPr>
          <w:lang w:val="es-ES_tradnl"/>
        </w:rPr>
        <w:t>En la Recomendación UIT</w:t>
      </w:r>
      <w:r w:rsidRPr="0056409E">
        <w:rPr>
          <w:lang w:val="es-ES_tradnl"/>
        </w:rPr>
        <w:noBreakHyphen/>
        <w:t>R </w:t>
      </w:r>
      <w:hyperlink r:id="rId46" w:history="1">
        <w:r w:rsidRPr="0042201F">
          <w:rPr>
            <w:rStyle w:val="Hyperlink"/>
            <w:color w:val="auto"/>
            <w:u w:val="none"/>
            <w:lang w:val="es-ES_tradnl"/>
          </w:rPr>
          <w:t>BS.1195</w:t>
        </w:r>
      </w:hyperlink>
      <w:r w:rsidRPr="0042201F">
        <w:rPr>
          <w:lang w:val="es-ES_tradnl"/>
        </w:rPr>
        <w:t xml:space="preserve"> ap</w:t>
      </w:r>
      <w:r w:rsidRPr="0056409E">
        <w:rPr>
          <w:lang w:val="es-ES_tradnl"/>
        </w:rPr>
        <w:t>arece una explicación detallada al respecto.</w:t>
      </w:r>
    </w:p>
    <w:p w14:paraId="36E3EE0C" w14:textId="49440FDB" w:rsidR="0086339D" w:rsidRPr="0056409E" w:rsidRDefault="0086339D" w:rsidP="0086339D">
      <w:pPr>
        <w:pStyle w:val="Heading3"/>
        <w:rPr>
          <w:lang w:val="es-ES_tradnl"/>
        </w:rPr>
      </w:pPr>
      <w:bookmarkStart w:id="349" w:name="_Toc65545994"/>
      <w:bookmarkStart w:id="350" w:name="_Toc65546176"/>
      <w:bookmarkStart w:id="351" w:name="_Toc86461522"/>
      <w:bookmarkStart w:id="352" w:name="_Toc162001358"/>
      <w:bookmarkStart w:id="353" w:name="_Toc162005911"/>
      <w:bookmarkStart w:id="354" w:name="_Toc162006004"/>
      <w:bookmarkStart w:id="355" w:name="_Toc162006235"/>
      <w:bookmarkStart w:id="356" w:name="_Toc162008590"/>
      <w:bookmarkStart w:id="357" w:name="_Toc162443015"/>
      <w:bookmarkStart w:id="358" w:name="_Toc162443432"/>
      <w:bookmarkStart w:id="359" w:name="_Toc162443581"/>
      <w:bookmarkStart w:id="360" w:name="_Toc162443800"/>
      <w:bookmarkStart w:id="361" w:name="_Toc162444030"/>
      <w:bookmarkStart w:id="362" w:name="_Toc162444581"/>
      <w:r w:rsidRPr="0056409E">
        <w:rPr>
          <w:lang w:val="es-ES_tradnl"/>
        </w:rPr>
        <w:t>4.1.4</w:t>
      </w:r>
      <w:r w:rsidRPr="0056409E">
        <w:rPr>
          <w:lang w:val="es-ES_tradnl"/>
        </w:rPr>
        <w:tab/>
        <w:t>Bandas de ondas centimétrica</w:t>
      </w:r>
      <w:bookmarkEnd w:id="349"/>
      <w:bookmarkEnd w:id="350"/>
      <w:bookmarkEnd w:id="351"/>
      <w:r w:rsidRPr="0056409E">
        <w:rPr>
          <w:lang w:val="es-ES_tradnl"/>
        </w:rPr>
        <w:t>s/milimétricas</w:t>
      </w:r>
      <w:bookmarkEnd w:id="352"/>
      <w:bookmarkEnd w:id="353"/>
      <w:bookmarkEnd w:id="354"/>
      <w:bookmarkEnd w:id="355"/>
      <w:bookmarkEnd w:id="356"/>
      <w:bookmarkEnd w:id="357"/>
      <w:bookmarkEnd w:id="358"/>
      <w:bookmarkEnd w:id="359"/>
      <w:bookmarkEnd w:id="360"/>
      <w:bookmarkEnd w:id="361"/>
      <w:bookmarkEnd w:id="362"/>
    </w:p>
    <w:p w14:paraId="6130136E" w14:textId="77777777" w:rsidR="0086339D" w:rsidRPr="0056409E" w:rsidRDefault="0086339D" w:rsidP="0086339D">
      <w:pPr>
        <w:rPr>
          <w:lang w:val="es-ES_tradnl"/>
        </w:rPr>
      </w:pPr>
      <w:r w:rsidRPr="0056409E">
        <w:rPr>
          <w:lang w:val="es-ES_tradnl"/>
        </w:rPr>
        <w:t>Teniendo en cuenta la longitud de onda y las distancias desde las fuentes de emisión, deberá aplicarse un método de medición normalizado.</w:t>
      </w:r>
    </w:p>
    <w:p w14:paraId="0C665155" w14:textId="77777777" w:rsidR="0086339D" w:rsidRPr="0056409E" w:rsidRDefault="0086339D" w:rsidP="0086339D">
      <w:pPr>
        <w:pStyle w:val="Heading2"/>
        <w:rPr>
          <w:lang w:val="es-ES_tradnl"/>
        </w:rPr>
      </w:pPr>
      <w:bookmarkStart w:id="363" w:name="_Toc65545995"/>
      <w:bookmarkStart w:id="364" w:name="_Toc65546177"/>
      <w:bookmarkStart w:id="365" w:name="_Toc65546323"/>
      <w:bookmarkStart w:id="366" w:name="_Toc86461523"/>
      <w:bookmarkStart w:id="367" w:name="_Toc162005912"/>
      <w:bookmarkStart w:id="368" w:name="_Toc162006236"/>
      <w:bookmarkStart w:id="369" w:name="_Toc162444582"/>
      <w:bookmarkStart w:id="370" w:name="_Toc162518201"/>
      <w:bookmarkStart w:id="371" w:name="_Toc162518724"/>
      <w:r w:rsidRPr="0056409E">
        <w:rPr>
          <w:lang w:val="es-ES_tradnl"/>
        </w:rPr>
        <w:t>4.2</w:t>
      </w:r>
      <w:r w:rsidRPr="0056409E">
        <w:rPr>
          <w:lang w:val="es-ES_tradnl"/>
        </w:rPr>
        <w:tab/>
        <w:t>Instrumentos</w:t>
      </w:r>
      <w:bookmarkEnd w:id="363"/>
      <w:bookmarkEnd w:id="364"/>
      <w:bookmarkEnd w:id="365"/>
      <w:bookmarkEnd w:id="366"/>
      <w:bookmarkEnd w:id="367"/>
      <w:bookmarkEnd w:id="368"/>
      <w:bookmarkEnd w:id="369"/>
      <w:bookmarkEnd w:id="370"/>
      <w:bookmarkEnd w:id="371"/>
    </w:p>
    <w:p w14:paraId="4C4AF2B5" w14:textId="77777777" w:rsidR="0086339D" w:rsidRPr="0056409E" w:rsidRDefault="0086339D" w:rsidP="0086339D">
      <w:pPr>
        <w:pStyle w:val="Heading3"/>
        <w:rPr>
          <w:lang w:val="es-ES_tradnl"/>
        </w:rPr>
      </w:pPr>
      <w:bookmarkStart w:id="372" w:name="_Toc65545996"/>
      <w:bookmarkStart w:id="373" w:name="_Toc65546178"/>
      <w:bookmarkStart w:id="374" w:name="_Toc86461524"/>
      <w:bookmarkStart w:id="375" w:name="_Toc162001360"/>
      <w:bookmarkStart w:id="376" w:name="_Toc162005913"/>
      <w:bookmarkStart w:id="377" w:name="_Toc162006006"/>
      <w:bookmarkStart w:id="378" w:name="_Toc162006237"/>
      <w:bookmarkStart w:id="379" w:name="_Toc162008592"/>
      <w:bookmarkStart w:id="380" w:name="_Toc162443017"/>
      <w:bookmarkStart w:id="381" w:name="_Toc162443434"/>
      <w:bookmarkStart w:id="382" w:name="_Toc162443583"/>
      <w:bookmarkStart w:id="383" w:name="_Toc162443802"/>
      <w:bookmarkStart w:id="384" w:name="_Toc162444032"/>
      <w:bookmarkStart w:id="385" w:name="_Toc162444583"/>
      <w:r w:rsidRPr="0056409E">
        <w:rPr>
          <w:lang w:val="es-ES_tradnl"/>
        </w:rPr>
        <w:t>4.2.1</w:t>
      </w:r>
      <w:r w:rsidRPr="0056409E">
        <w:rPr>
          <w:lang w:val="es-ES_tradnl"/>
        </w:rPr>
        <w:tab/>
        <w:t>Introducción</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724DF8DF" w14:textId="2CC044C5" w:rsidR="0086339D" w:rsidRPr="0056409E" w:rsidRDefault="0086339D" w:rsidP="0086339D">
      <w:pPr>
        <w:rPr>
          <w:lang w:val="es-ES_tradnl"/>
        </w:rPr>
      </w:pPr>
      <w:r w:rsidRPr="0056409E">
        <w:rPr>
          <w:lang w:val="es-ES_tradnl"/>
        </w:rPr>
        <w:t>La medición de los campos de exposición en la gama de frecuencias 10 kHz</w:t>
      </w:r>
      <w:r w:rsidR="0042201F">
        <w:rPr>
          <w:lang w:val="es-ES_tradnl"/>
        </w:rPr>
        <w:t>–</w:t>
      </w:r>
      <w:r w:rsidRPr="0056409E">
        <w:rPr>
          <w:lang w:val="es-ES_tradnl"/>
        </w:rPr>
        <w:t>300 GHz exige un esfuerzo considerable para determinar la variabilidad espacial y temporal del campo que va a medirse.</w:t>
      </w:r>
    </w:p>
    <w:p w14:paraId="34516B2A" w14:textId="77777777" w:rsidR="0086339D" w:rsidRPr="0056409E" w:rsidRDefault="0086339D" w:rsidP="0086339D">
      <w:pPr>
        <w:rPr>
          <w:lang w:val="es-ES_tradnl"/>
        </w:rPr>
      </w:pPr>
      <w:r w:rsidRPr="0056409E">
        <w:rPr>
          <w:lang w:val="es-ES_tradnl"/>
        </w:rPr>
        <w:t>Es necesario utilizar la instrumentación adecuada y un montaje de medición apropiado.</w:t>
      </w:r>
    </w:p>
    <w:p w14:paraId="3288F051" w14:textId="65C8148B" w:rsidR="0086339D" w:rsidRPr="0056409E" w:rsidRDefault="0086339D" w:rsidP="0086339D">
      <w:pPr>
        <w:rPr>
          <w:lang w:val="es-ES_tradnl"/>
        </w:rPr>
      </w:pPr>
      <w:r w:rsidRPr="0056409E">
        <w:rPr>
          <w:lang w:val="es-ES_tradnl"/>
        </w:rPr>
        <w:t>Es muy importante conocer las características de los instrumentos de medición porque esas características determinan la elección adecuada del instrumento. Las características que dependen de la frecuencia, tales como las interacciones de cables, las respuestas no calibradas fuera de banda y la respuesta de frecuencia conformada son particularmente importantes para los instrumentos de banda ancha. Es necesario hacer corresponder otras propiedades del campo con las características del instrumento; por ejemplo, si se trata de un campo reactivo o radiante, el tipo de polarización y modulación o el número de fuentes del campo.</w:t>
      </w:r>
    </w:p>
    <w:p w14:paraId="4A7826E5" w14:textId="77777777" w:rsidR="0086339D" w:rsidRPr="0056409E" w:rsidRDefault="0086339D" w:rsidP="0086339D">
      <w:pPr>
        <w:rPr>
          <w:lang w:val="es-ES_tradnl"/>
        </w:rPr>
      </w:pPr>
      <w:r w:rsidRPr="0056409E">
        <w:rPr>
          <w:lang w:val="es-ES_tradnl"/>
        </w:rPr>
        <w:t>La exposición de las personas a los CEM suele medirse en unidades de densidad de potencia, pero otros tipos de mediciones tales como la corriente inducida en el cuerpo podrían resultar más pertinentes, y estos son algunos de los aspectos críticos para la protección o el control que debe resolver el ingeniero. En muchos casos no existe una relación matemática sencilla entre los campos eléctrico y magnético y, por lo tanto, en estas situaciones cada uno debe medirse por separado.</w:t>
      </w:r>
    </w:p>
    <w:p w14:paraId="7E79065D" w14:textId="77777777" w:rsidR="0086339D" w:rsidRPr="0056409E" w:rsidRDefault="0086339D" w:rsidP="0086339D">
      <w:pPr>
        <w:rPr>
          <w:lang w:val="es-ES_tradnl"/>
        </w:rPr>
      </w:pPr>
      <w:r w:rsidRPr="0056409E">
        <w:rPr>
          <w:lang w:val="es-ES_tradnl"/>
        </w:rPr>
        <w:t>Los instrumentos de medición que deben utilizarse en este caso son:</w:t>
      </w:r>
    </w:p>
    <w:p w14:paraId="03F62290" w14:textId="77777777" w:rsidR="0086339D" w:rsidRPr="0056409E" w:rsidRDefault="0086339D" w:rsidP="0086339D">
      <w:pPr>
        <w:pStyle w:val="enumlev1"/>
        <w:rPr>
          <w:lang w:val="es-ES_tradnl"/>
        </w:rPr>
      </w:pPr>
      <w:r w:rsidRPr="0056409E">
        <w:rPr>
          <w:lang w:val="es-ES_tradnl"/>
        </w:rPr>
        <w:lastRenderedPageBreak/>
        <w:t>–</w:t>
      </w:r>
      <w:r w:rsidRPr="0056409E">
        <w:rPr>
          <w:lang w:val="es-ES_tradnl"/>
        </w:rPr>
        <w:tab/>
        <w:t>instrumentos para medir el valor de la intensidad de campo </w:t>
      </w:r>
      <w:r w:rsidRPr="0042201F">
        <w:rPr>
          <w:i/>
          <w:iCs/>
          <w:lang w:val="es-ES_tradnl"/>
        </w:rPr>
        <w:t>E</w:t>
      </w:r>
      <w:r w:rsidRPr="0056409E">
        <w:rPr>
          <w:lang w:val="es-ES_tradnl"/>
        </w:rPr>
        <w:t> y </w:t>
      </w:r>
      <w:r w:rsidRPr="0042201F">
        <w:rPr>
          <w:i/>
          <w:iCs/>
          <w:lang w:val="es-ES_tradnl"/>
        </w:rPr>
        <w:t>H</w:t>
      </w:r>
      <w:r w:rsidRPr="0056409E">
        <w:rPr>
          <w:lang w:val="es-ES_tradnl"/>
        </w:rPr>
        <w:t>;</w:t>
      </w:r>
    </w:p>
    <w:p w14:paraId="14989CB2" w14:textId="77777777" w:rsidR="0086339D" w:rsidRPr="0056409E" w:rsidRDefault="0086339D" w:rsidP="0086339D">
      <w:pPr>
        <w:pStyle w:val="enumlev1"/>
        <w:rPr>
          <w:lang w:val="es-ES_tradnl"/>
        </w:rPr>
      </w:pPr>
      <w:r w:rsidRPr="0056409E">
        <w:rPr>
          <w:lang w:val="es-ES_tradnl"/>
        </w:rPr>
        <w:t>–</w:t>
      </w:r>
      <w:r w:rsidRPr="0056409E">
        <w:rPr>
          <w:lang w:val="es-ES_tradnl"/>
        </w:rPr>
        <w:tab/>
        <w:t>instrumentos para medir la corriente.</w:t>
      </w:r>
    </w:p>
    <w:p w14:paraId="3DC01CD9" w14:textId="77777777" w:rsidR="0086339D" w:rsidRPr="0056409E" w:rsidRDefault="0086339D" w:rsidP="0086339D">
      <w:pPr>
        <w:pStyle w:val="Heading4"/>
        <w:rPr>
          <w:lang w:val="es-ES_tradnl"/>
        </w:rPr>
      </w:pPr>
      <w:r w:rsidRPr="0056409E">
        <w:rPr>
          <w:lang w:val="es-ES_tradnl"/>
        </w:rPr>
        <w:t>4.2.1.1</w:t>
      </w:r>
      <w:r w:rsidRPr="0056409E">
        <w:rPr>
          <w:lang w:val="es-ES_tradnl"/>
        </w:rPr>
        <w:tab/>
        <w:t>Consideraciones generales</w:t>
      </w:r>
    </w:p>
    <w:p w14:paraId="0E1F95EA" w14:textId="77777777" w:rsidR="0086339D" w:rsidRPr="0056409E" w:rsidRDefault="0086339D" w:rsidP="0086339D">
      <w:pPr>
        <w:rPr>
          <w:lang w:val="es-ES_tradnl"/>
        </w:rPr>
      </w:pPr>
      <w:r w:rsidRPr="0056409E">
        <w:rPr>
          <w:lang w:val="es-ES_tradnl"/>
        </w:rPr>
        <w:t>Los componentes básicos de estos instrumentos son los siguientes:</w:t>
      </w:r>
    </w:p>
    <w:p w14:paraId="6CC6E6C1" w14:textId="77777777" w:rsidR="0086339D" w:rsidRPr="0056409E" w:rsidRDefault="0086339D" w:rsidP="0086339D">
      <w:pPr>
        <w:pStyle w:val="enumlev1"/>
        <w:rPr>
          <w:lang w:val="es-ES_tradnl"/>
        </w:rPr>
      </w:pPr>
      <w:r w:rsidRPr="0056409E">
        <w:rPr>
          <w:lang w:val="es-ES_tradnl"/>
        </w:rPr>
        <w:t>–</w:t>
      </w:r>
      <w:r w:rsidRPr="0056409E">
        <w:rPr>
          <w:lang w:val="es-ES_tradnl"/>
        </w:rPr>
        <w:tab/>
        <w:t>las sondas;</w:t>
      </w:r>
    </w:p>
    <w:p w14:paraId="258F7586" w14:textId="77777777" w:rsidR="0086339D" w:rsidRPr="0056409E" w:rsidRDefault="0086339D" w:rsidP="0086339D">
      <w:pPr>
        <w:pStyle w:val="enumlev1"/>
        <w:rPr>
          <w:lang w:val="es-ES_tradnl"/>
        </w:rPr>
      </w:pPr>
      <w:r w:rsidRPr="0056409E">
        <w:rPr>
          <w:lang w:val="es-ES_tradnl"/>
        </w:rPr>
        <w:t>–</w:t>
      </w:r>
      <w:r w:rsidRPr="0056409E">
        <w:rPr>
          <w:lang w:val="es-ES_tradnl"/>
        </w:rPr>
        <w:tab/>
        <w:t>los cables de conexión que transfieren la señal de la sonda a la unidad de lectura y cálculo;</w:t>
      </w:r>
    </w:p>
    <w:p w14:paraId="0B9C4F74" w14:textId="77777777" w:rsidR="0086339D" w:rsidRPr="0056409E" w:rsidRDefault="0086339D" w:rsidP="0086339D">
      <w:pPr>
        <w:pStyle w:val="enumlev1"/>
        <w:rPr>
          <w:lang w:val="es-ES_tradnl"/>
        </w:rPr>
      </w:pPr>
      <w:r w:rsidRPr="0056409E">
        <w:rPr>
          <w:lang w:val="es-ES_tradnl"/>
        </w:rPr>
        <w:t>–</w:t>
      </w:r>
      <w:r w:rsidRPr="0056409E">
        <w:rPr>
          <w:lang w:val="es-ES_tradnl"/>
        </w:rPr>
        <w:tab/>
        <w:t>la unidad de lectura y cálculo.</w:t>
      </w:r>
    </w:p>
    <w:p w14:paraId="06A0CA58" w14:textId="77777777" w:rsidR="0086339D" w:rsidRPr="0056409E" w:rsidRDefault="0086339D" w:rsidP="0086339D">
      <w:pPr>
        <w:pStyle w:val="Heading4"/>
        <w:rPr>
          <w:lang w:val="es-ES_tradnl"/>
        </w:rPr>
      </w:pPr>
      <w:r w:rsidRPr="0056409E">
        <w:rPr>
          <w:lang w:val="es-ES_tradnl"/>
        </w:rPr>
        <w:t>4.2.1.2</w:t>
      </w:r>
      <w:r w:rsidRPr="0056409E">
        <w:rPr>
          <w:lang w:val="es-ES_tradnl"/>
        </w:rPr>
        <w:tab/>
        <w:t>Sondas</w:t>
      </w:r>
    </w:p>
    <w:p w14:paraId="617F4418" w14:textId="77777777" w:rsidR="0086339D" w:rsidRPr="0056409E" w:rsidRDefault="0086339D" w:rsidP="0086339D">
      <w:pPr>
        <w:rPr>
          <w:lang w:val="es-ES_tradnl"/>
        </w:rPr>
      </w:pPr>
      <w:r w:rsidRPr="0056409E">
        <w:rPr>
          <w:lang w:val="es-ES_tradnl"/>
        </w:rPr>
        <w:t>La sonda isótropa teórica presenta un diagrama de radiación esférico. La mayoría de las sondas son isótropas, u omnidireccionales en tres dimensiones, capaces de medir la energía en todas las direcciones.</w:t>
      </w:r>
    </w:p>
    <w:p w14:paraId="6A643A69" w14:textId="77777777" w:rsidR="0086339D" w:rsidRPr="0056409E" w:rsidRDefault="0086339D" w:rsidP="0086339D">
      <w:pPr>
        <w:rPr>
          <w:lang w:val="es-ES_tradnl"/>
        </w:rPr>
      </w:pPr>
      <w:r w:rsidRPr="0056409E">
        <w:rPr>
          <w:lang w:val="es-ES_tradnl"/>
        </w:rPr>
        <w:t>Las sondas deben tener las siguientes características:</w:t>
      </w:r>
    </w:p>
    <w:p w14:paraId="2221CB5A" w14:textId="4954DC8D" w:rsidR="0086339D" w:rsidRPr="0056409E" w:rsidRDefault="0086339D" w:rsidP="0086339D">
      <w:pPr>
        <w:pStyle w:val="enumlev1"/>
        <w:rPr>
          <w:lang w:val="es-ES_tradnl"/>
        </w:rPr>
      </w:pPr>
      <w:r w:rsidRPr="0056409E">
        <w:rPr>
          <w:lang w:val="es-ES_tradnl"/>
        </w:rPr>
        <w:t>–</w:t>
      </w:r>
      <w:r w:rsidRPr="0056409E">
        <w:rPr>
          <w:lang w:val="es-ES_tradnl"/>
        </w:rPr>
        <w:tab/>
        <w:t xml:space="preserve">responder a los campos previstos, </w:t>
      </w:r>
      <w:r w:rsidRPr="0056409E">
        <w:rPr>
          <w:i/>
          <w:iCs/>
          <w:lang w:val="es-ES_tradnl"/>
        </w:rPr>
        <w:t>E</w:t>
      </w:r>
      <w:r w:rsidRPr="0056409E">
        <w:rPr>
          <w:lang w:val="es-ES_tradnl"/>
        </w:rPr>
        <w:t xml:space="preserve"> o </w:t>
      </w:r>
      <w:r w:rsidRPr="0056409E">
        <w:rPr>
          <w:i/>
          <w:iCs/>
          <w:lang w:val="es-ES_tradnl"/>
        </w:rPr>
        <w:t>H</w:t>
      </w:r>
      <w:r w:rsidRPr="0056409E">
        <w:rPr>
          <w:lang w:val="es-ES_tradnl"/>
        </w:rPr>
        <w:t>, sin responder al campo no previsto;</w:t>
      </w:r>
    </w:p>
    <w:p w14:paraId="0583032E" w14:textId="1F02A0D2" w:rsidR="0086339D" w:rsidRPr="0056409E" w:rsidRDefault="0086339D" w:rsidP="0086339D">
      <w:pPr>
        <w:pStyle w:val="enumlev1"/>
        <w:rPr>
          <w:lang w:val="es-ES_tradnl"/>
        </w:rPr>
      </w:pPr>
      <w:r w:rsidRPr="0056409E">
        <w:rPr>
          <w:lang w:val="es-ES_tradnl"/>
        </w:rPr>
        <w:t>–</w:t>
      </w:r>
      <w:r w:rsidRPr="0056409E">
        <w:rPr>
          <w:lang w:val="es-ES_tradnl"/>
        </w:rPr>
        <w:tab/>
        <w:t xml:space="preserve">por lo general la sonda es eléctricamente pequeña e inferior a </w:t>
      </w:r>
      <w:r w:rsidRPr="0056409E">
        <w:rPr>
          <w:rFonts w:ascii="Symbol" w:hAnsi="Symbol"/>
          <w:lang w:val="es-ES_tradnl"/>
        </w:rPr>
        <w:t></w:t>
      </w:r>
      <w:r w:rsidRPr="0056409E">
        <w:rPr>
          <w:lang w:val="es-ES_tradnl"/>
        </w:rPr>
        <w:t>/10 para la máxima frecuencia de funcionamiento; no obstante, ciertas evaluaciones especiales han demostrado que algunas sondas pueden ser eléctricamente grandes;</w:t>
      </w:r>
    </w:p>
    <w:p w14:paraId="0E1DBA21" w14:textId="77777777" w:rsidR="0086339D" w:rsidRPr="0056409E" w:rsidRDefault="0086339D" w:rsidP="0086339D">
      <w:pPr>
        <w:pStyle w:val="enumlev1"/>
        <w:rPr>
          <w:lang w:val="es-ES_tradnl"/>
        </w:rPr>
      </w:pPr>
      <w:r w:rsidRPr="0056409E">
        <w:rPr>
          <w:lang w:val="es-ES_tradnl"/>
        </w:rPr>
        <w:t>–</w:t>
      </w:r>
      <w:r w:rsidRPr="0056409E">
        <w:rPr>
          <w:lang w:val="es-ES_tradnl"/>
        </w:rPr>
        <w:tab/>
        <w:t>responder de una manera previsible a las variaciones de las condiciones ambientales, tales como la temperatura y la humedad.</w:t>
      </w:r>
    </w:p>
    <w:p w14:paraId="257A433B" w14:textId="77777777" w:rsidR="0086339D" w:rsidRPr="0056409E" w:rsidRDefault="0086339D" w:rsidP="0086339D">
      <w:pPr>
        <w:rPr>
          <w:lang w:val="es-ES_tradnl"/>
        </w:rPr>
      </w:pPr>
      <w:r w:rsidRPr="0056409E">
        <w:rPr>
          <w:lang w:val="es-ES_tradnl"/>
        </w:rPr>
        <w:t>Es muy importante que, durante las mediciones, las sondas isotrópicas se ubiquen de tal modo que los cables de conexión queden perpendiculares al campo eléctrico o la polarización de la antena; esta condición puede disminuir la perturbación del campo en la sonda producida por los cables de conexión. Esta perturbación del campo constituye normalmente un problema cuando se miden campos eléctricos de frecuencias inferiores o de onda medias.</w:t>
      </w:r>
    </w:p>
    <w:p w14:paraId="5E71ED99" w14:textId="77777777" w:rsidR="0086339D" w:rsidRPr="0056409E" w:rsidRDefault="0086339D" w:rsidP="0086339D">
      <w:pPr>
        <w:pStyle w:val="Heading4"/>
        <w:rPr>
          <w:lang w:val="es-ES_tradnl"/>
        </w:rPr>
      </w:pPr>
      <w:r w:rsidRPr="0056409E">
        <w:rPr>
          <w:lang w:val="es-ES_tradnl"/>
        </w:rPr>
        <w:t>4.2.1.3</w:t>
      </w:r>
      <w:r w:rsidRPr="0056409E">
        <w:rPr>
          <w:lang w:val="es-ES_tradnl"/>
        </w:rPr>
        <w:tab/>
        <w:t>Cables</w:t>
      </w:r>
    </w:p>
    <w:p w14:paraId="53B4E524" w14:textId="38988FF4" w:rsidR="0086339D" w:rsidRPr="0056409E" w:rsidRDefault="0086339D" w:rsidP="0086339D">
      <w:pPr>
        <w:rPr>
          <w:lang w:val="es-ES_tradnl"/>
        </w:rPr>
      </w:pPr>
      <w:r w:rsidRPr="0056409E">
        <w:rPr>
          <w:lang w:val="es-ES_tradnl"/>
        </w:rPr>
        <w:t>Los cables utilizados para conectar la sonda y el instrumento de lectura y cálculo no deben presentar ruido e impedir el acoplamiento del campo con la unidad de medición.</w:t>
      </w:r>
    </w:p>
    <w:p w14:paraId="5DC778C2" w14:textId="77777777" w:rsidR="0086339D" w:rsidRPr="0056409E" w:rsidRDefault="0086339D" w:rsidP="0086339D">
      <w:pPr>
        <w:rPr>
          <w:lang w:val="es-ES_tradnl"/>
        </w:rPr>
      </w:pPr>
      <w:r w:rsidRPr="0056409E">
        <w:rPr>
          <w:lang w:val="es-ES_tradnl"/>
        </w:rPr>
        <w:t>Es muy importante observar que es posible que los cables actúen como una antena y modifiquen el campo en la sonda para causar une lectura incorrecta. A veces es posible resolver este problema disponiendo los cables durante la prueba de forma perpendicular al campo eléctrico; el uso de ferritas de supresión en el cable de medición puede mitigar esos efectos.</w:t>
      </w:r>
    </w:p>
    <w:p w14:paraId="48708CC8" w14:textId="77777777" w:rsidR="0086339D" w:rsidRPr="0056409E" w:rsidRDefault="0086339D" w:rsidP="0086339D">
      <w:pPr>
        <w:pStyle w:val="Heading3"/>
        <w:rPr>
          <w:lang w:val="es-ES_tradnl"/>
        </w:rPr>
      </w:pPr>
      <w:bookmarkStart w:id="386" w:name="_Toc65545997"/>
      <w:bookmarkStart w:id="387" w:name="_Toc65546179"/>
      <w:bookmarkStart w:id="388" w:name="_Toc86461525"/>
      <w:bookmarkStart w:id="389" w:name="_Toc162001361"/>
      <w:bookmarkStart w:id="390" w:name="_Toc162005914"/>
      <w:bookmarkStart w:id="391" w:name="_Toc162006007"/>
      <w:bookmarkStart w:id="392" w:name="_Toc162006238"/>
      <w:bookmarkStart w:id="393" w:name="_Toc162008593"/>
      <w:bookmarkStart w:id="394" w:name="_Toc162443018"/>
      <w:bookmarkStart w:id="395" w:name="_Toc162443435"/>
      <w:bookmarkStart w:id="396" w:name="_Toc162443584"/>
      <w:bookmarkStart w:id="397" w:name="_Toc162443803"/>
      <w:bookmarkStart w:id="398" w:name="_Toc162444033"/>
      <w:bookmarkStart w:id="399" w:name="_Toc162444584"/>
      <w:r w:rsidRPr="0056409E">
        <w:rPr>
          <w:lang w:val="es-ES_tradnl"/>
        </w:rPr>
        <w:t>4.2.2</w:t>
      </w:r>
      <w:r w:rsidRPr="0056409E">
        <w:rPr>
          <w:lang w:val="es-ES_tradnl"/>
        </w:rPr>
        <w:tab/>
        <w:t>Características de los instrumentos de medición del campo eléctrico y magnético</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14:paraId="20D5BA7C" w14:textId="77777777" w:rsidR="0086339D" w:rsidRPr="0056409E" w:rsidRDefault="0086339D" w:rsidP="0086339D">
      <w:pPr>
        <w:rPr>
          <w:lang w:val="es-ES_tradnl"/>
        </w:rPr>
      </w:pPr>
      <w:r w:rsidRPr="0056409E">
        <w:rPr>
          <w:lang w:val="es-ES_tradnl"/>
        </w:rPr>
        <w:t>Normalmente, la medición de la exposición al CEM se lleva a cabo en el dominio de la frecuencia. Existen dos grupos principales de instrumentos.</w:t>
      </w:r>
    </w:p>
    <w:p w14:paraId="425FFB1E" w14:textId="77777777" w:rsidR="0086339D" w:rsidRPr="0056409E" w:rsidRDefault="0086339D" w:rsidP="0086339D">
      <w:pPr>
        <w:pStyle w:val="Heading4"/>
        <w:rPr>
          <w:lang w:val="es-ES_tradnl"/>
        </w:rPr>
      </w:pPr>
      <w:r w:rsidRPr="0056409E">
        <w:rPr>
          <w:lang w:val="es-ES_tradnl"/>
        </w:rPr>
        <w:t>4.2.2.1</w:t>
      </w:r>
      <w:r w:rsidRPr="0056409E">
        <w:rPr>
          <w:lang w:val="es-ES_tradnl"/>
        </w:rPr>
        <w:tab/>
        <w:t>Tipos de instrumentos de banda amplia</w:t>
      </w:r>
      <w:r w:rsidRPr="003017C5">
        <w:rPr>
          <w:lang w:val="es-ES_tradnl"/>
        </w:rPr>
        <w:t xml:space="preserve"> </w:t>
      </w:r>
      <w:r w:rsidRPr="0056409E">
        <w:rPr>
          <w:lang w:val="es-ES_tradnl"/>
        </w:rPr>
        <w:t>y especificaciones</w:t>
      </w:r>
      <w:r>
        <w:rPr>
          <w:lang w:val="es-ES_tradnl"/>
        </w:rPr>
        <w:t xml:space="preserve"> conexas</w:t>
      </w:r>
    </w:p>
    <w:p w14:paraId="77318017" w14:textId="499C49BD" w:rsidR="0086339D" w:rsidRDefault="0086339D" w:rsidP="0086339D">
      <w:pPr>
        <w:rPr>
          <w:lang w:val="es-ES_tradnl"/>
        </w:rPr>
      </w:pPr>
      <w:r w:rsidRPr="0056409E">
        <w:rPr>
          <w:lang w:val="es-ES_tradnl"/>
        </w:rPr>
        <w:t>Con los instrumentos de banda ancha (véase la Fig</w:t>
      </w:r>
      <w:r w:rsidR="0042201F">
        <w:rPr>
          <w:lang w:val="es-ES_tradnl"/>
        </w:rPr>
        <w:t>.</w:t>
      </w:r>
      <w:r w:rsidRPr="0056409E">
        <w:rPr>
          <w:lang w:val="es-ES_tradnl"/>
        </w:rPr>
        <w:t> 2) se puede medir el campo total en una gama de frecuencias determinada (es decir, la anchura de banda), pero no es posible distinguir la contribución de la fuente de una sola frecuencia cuando varias fuentes radian simultáneamente.</w:t>
      </w:r>
    </w:p>
    <w:p w14:paraId="02603FD4" w14:textId="4915ADDA" w:rsidR="00E7512B" w:rsidRDefault="00E7512B" w:rsidP="00E7512B">
      <w:pPr>
        <w:pStyle w:val="FigureNo"/>
        <w:rPr>
          <w:lang w:val="es-ES_tradnl"/>
        </w:rPr>
      </w:pPr>
      <w:r>
        <w:rPr>
          <w:lang w:val="es-ES_tradnl"/>
        </w:rPr>
        <w:lastRenderedPageBreak/>
        <w:t>FIGURA 2</w:t>
      </w:r>
    </w:p>
    <w:p w14:paraId="3AAB166C" w14:textId="6DDEA756" w:rsidR="00E7512B" w:rsidRPr="0056409E" w:rsidRDefault="00E7512B" w:rsidP="00E7512B">
      <w:pPr>
        <w:pStyle w:val="Figuretitle"/>
        <w:rPr>
          <w:lang w:val="es-ES_tradnl"/>
        </w:rPr>
      </w:pPr>
      <w:r>
        <w:rPr>
          <w:lang w:val="es-ES_tradnl"/>
        </w:rPr>
        <w:t>Instrumentos de banda ancha</w:t>
      </w:r>
    </w:p>
    <w:p w14:paraId="410BFC86" w14:textId="5EDE9958" w:rsidR="0086339D" w:rsidRPr="0056409E" w:rsidRDefault="00E7512B" w:rsidP="004170F5">
      <w:pPr>
        <w:pStyle w:val="Figure"/>
        <w:rPr>
          <w:lang w:val="es-ES_tradnl"/>
        </w:rPr>
      </w:pPr>
      <w:r w:rsidRPr="0056409E">
        <w:rPr>
          <w:lang w:val="es-ES_tradnl"/>
        </w:rPr>
        <w:object w:dxaOrig="4455" w:dyaOrig="4086" w14:anchorId="22267C5A">
          <v:shape id="_x0000_i1224" type="#_x0000_t75" style="width:222.1pt;height:178.65pt" o:ole="">
            <v:imagedata r:id="rId47" o:title="" croptop="8252f"/>
          </v:shape>
          <o:OLEObject Type="Embed" ProgID="Designer.Drawing.7" ShapeID="_x0000_i1224" DrawAspect="Content" ObjectID="_1773141089" r:id="rId48"/>
        </w:object>
      </w:r>
    </w:p>
    <w:p w14:paraId="03E3786D" w14:textId="6E41F1F5" w:rsidR="0086339D" w:rsidRPr="0056409E" w:rsidRDefault="0086339D" w:rsidP="00E7512B">
      <w:pPr>
        <w:pStyle w:val="Normalaftertitle"/>
        <w:rPr>
          <w:lang w:val="es-ES_tradnl"/>
        </w:rPr>
      </w:pPr>
      <w:r w:rsidRPr="0056409E">
        <w:rPr>
          <w:lang w:val="es-ES_tradnl"/>
        </w:rPr>
        <w:t>Los instrumentos de banda ancha están hechos con sensores que pueden ser no isótropos para medir una sola componente espacial del campo, o isótropos, para medir las tres componentes del campo al mismo tiempo. Estos instrumentos pueden medir el nivel total del campo eléctrico magnético instantáneo, o el valor del campo RMS o el valor medio de la densidad de potencia en un periodo determinado de tiempo, normalmente seis minutos de acuerdo con las normas sobre exposición. Los instrumentos de banda ancha pueden dividirse en las siguientes clases, dependiendo del detector utilizado:</w:t>
      </w:r>
    </w:p>
    <w:p w14:paraId="488F959C" w14:textId="77777777" w:rsidR="0086339D" w:rsidRPr="0056409E" w:rsidRDefault="0086339D" w:rsidP="0086339D">
      <w:pPr>
        <w:pStyle w:val="enumlev1"/>
        <w:rPr>
          <w:lang w:val="es-ES_tradnl"/>
        </w:rPr>
      </w:pPr>
      <w:r w:rsidRPr="0056409E">
        <w:rPr>
          <w:lang w:val="es-ES_tradnl"/>
        </w:rPr>
        <w:t>–</w:t>
      </w:r>
      <w:r w:rsidRPr="0056409E">
        <w:rPr>
          <w:lang w:val="es-ES_tradnl"/>
        </w:rPr>
        <w:tab/>
        <w:t>diodo;</w:t>
      </w:r>
    </w:p>
    <w:p w14:paraId="476B5B5C" w14:textId="77777777" w:rsidR="0086339D" w:rsidRPr="0056409E" w:rsidRDefault="0086339D" w:rsidP="0086339D">
      <w:pPr>
        <w:pStyle w:val="enumlev1"/>
        <w:rPr>
          <w:lang w:val="es-ES_tradnl"/>
        </w:rPr>
      </w:pPr>
      <w:r w:rsidRPr="0056409E">
        <w:rPr>
          <w:lang w:val="es-ES_tradnl"/>
        </w:rPr>
        <w:t>–</w:t>
      </w:r>
      <w:r w:rsidRPr="0056409E">
        <w:rPr>
          <w:lang w:val="es-ES_tradnl"/>
        </w:rPr>
        <w:tab/>
        <w:t>bolómetro;</w:t>
      </w:r>
    </w:p>
    <w:p w14:paraId="7C9CC284" w14:textId="77777777" w:rsidR="0086339D" w:rsidRPr="0056409E" w:rsidRDefault="0086339D" w:rsidP="0086339D">
      <w:pPr>
        <w:pStyle w:val="enumlev1"/>
        <w:rPr>
          <w:lang w:val="es-ES_tradnl"/>
        </w:rPr>
      </w:pPr>
      <w:r w:rsidRPr="0056409E">
        <w:rPr>
          <w:lang w:val="es-ES_tradnl"/>
        </w:rPr>
        <w:t>–</w:t>
      </w:r>
      <w:r w:rsidRPr="0056409E">
        <w:rPr>
          <w:lang w:val="es-ES_tradnl"/>
        </w:rPr>
        <w:tab/>
        <w:t>termopar.</w:t>
      </w:r>
    </w:p>
    <w:p w14:paraId="24DF49F3" w14:textId="77777777" w:rsidR="0086339D" w:rsidRPr="0056409E" w:rsidRDefault="0086339D" w:rsidP="0086339D">
      <w:pPr>
        <w:rPr>
          <w:lang w:val="es-ES_tradnl"/>
        </w:rPr>
      </w:pPr>
      <w:r w:rsidRPr="0056409E">
        <w:rPr>
          <w:lang w:val="es-ES_tradnl"/>
        </w:rPr>
        <w:t>Estos instrumentos pueden utilizarse en situaciones de campo cercano y campo lejano.</w:t>
      </w:r>
    </w:p>
    <w:p w14:paraId="2524BCD5" w14:textId="77777777" w:rsidR="0086339D" w:rsidRPr="0056409E" w:rsidRDefault="0086339D" w:rsidP="0086339D">
      <w:pPr>
        <w:pStyle w:val="Heading3"/>
        <w:rPr>
          <w:lang w:val="es-ES_tradnl"/>
        </w:rPr>
      </w:pPr>
      <w:bookmarkStart w:id="400" w:name="_Toc65545998"/>
      <w:bookmarkStart w:id="401" w:name="_Toc65546180"/>
      <w:bookmarkStart w:id="402" w:name="_Toc86461526"/>
      <w:bookmarkStart w:id="403" w:name="_Toc162001362"/>
      <w:bookmarkStart w:id="404" w:name="_Toc162005915"/>
      <w:bookmarkStart w:id="405" w:name="_Toc162006008"/>
      <w:bookmarkStart w:id="406" w:name="_Toc162006239"/>
      <w:bookmarkStart w:id="407" w:name="_Toc162008594"/>
      <w:bookmarkStart w:id="408" w:name="_Toc162443019"/>
      <w:bookmarkStart w:id="409" w:name="_Toc162443436"/>
      <w:bookmarkStart w:id="410" w:name="_Toc162443585"/>
      <w:bookmarkStart w:id="411" w:name="_Toc162443804"/>
      <w:bookmarkStart w:id="412" w:name="_Toc162444034"/>
      <w:bookmarkStart w:id="413" w:name="_Toc162444585"/>
      <w:r w:rsidRPr="0056409E">
        <w:rPr>
          <w:lang w:val="es-ES_tradnl"/>
        </w:rPr>
        <w:t>4.2.3</w:t>
      </w:r>
      <w:r w:rsidRPr="0056409E">
        <w:rPr>
          <w:lang w:val="es-ES_tradnl"/>
        </w:rPr>
        <w:tab/>
        <w:t>Tipos y especificaciones de instrumentos de banda estrecha</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0D6CEAC8" w14:textId="419D19FB" w:rsidR="0086339D" w:rsidRPr="0056409E" w:rsidRDefault="0086339D" w:rsidP="0086339D">
      <w:pPr>
        <w:rPr>
          <w:lang w:val="es-ES_tradnl"/>
        </w:rPr>
      </w:pPr>
      <w:r w:rsidRPr="0056409E">
        <w:rPr>
          <w:lang w:val="es-ES_tradnl"/>
        </w:rPr>
        <w:t xml:space="preserve">Los instrumentos de banda estrecha son selectivos en frecuencia y pueden medir la intensidad del CEM en una gama de frecuencias distintas. Los receptores de banda estrecha son especialmente útiles en los casos en que existen fuentes múltiples, ya que </w:t>
      </w:r>
      <w:r>
        <w:rPr>
          <w:lang w:val="es-ES_tradnl"/>
        </w:rPr>
        <w:t>permiten</w:t>
      </w:r>
      <w:r w:rsidRPr="0056409E">
        <w:rPr>
          <w:lang w:val="es-ES_tradnl"/>
        </w:rPr>
        <w:t xml:space="preserve"> evaluar la contribución de cada fuente al campo total. La dirección y la polarización del campo pueden evaluarse con ayuda de una antena o un sensor no isotrópico. Debe tenerse precaución con el montaje de </w:t>
      </w:r>
      <w:r w:rsidRPr="00E828B4">
        <w:rPr>
          <w:lang w:val="es-ES_tradnl"/>
        </w:rPr>
        <w:t>medición ya que los campos pueden cambiar rápidamente</w:t>
      </w:r>
      <w:r w:rsidRPr="0056409E">
        <w:rPr>
          <w:lang w:val="es-ES_tradnl"/>
        </w:rPr>
        <w:t xml:space="preserve"> en el espacio en relación con el tamaño de la antena, especialmente en presencia de efectos reflectantes tales como las paredes, el suelo y los postes y estructuras metálicos. Es importante observar que si se cambia el punto de medición la intensidad del campo detectado puede ser completamente distinta. Asimismo, la medición puede verse influenciada por la posición de la antena y los cables de conexión.</w:t>
      </w:r>
    </w:p>
    <w:p w14:paraId="2677C55D" w14:textId="77777777" w:rsidR="0086339D" w:rsidRPr="0056409E" w:rsidRDefault="0086339D" w:rsidP="0086339D">
      <w:pPr>
        <w:rPr>
          <w:lang w:val="es-ES_tradnl"/>
        </w:rPr>
      </w:pPr>
      <w:r w:rsidRPr="0056409E">
        <w:rPr>
          <w:lang w:val="es-ES_tradnl"/>
        </w:rPr>
        <w:t>Cuando se realiza la medición de un CEM en el dominio del tiempo, es necesario utilizar instrumentos con las características de análisis adecuadas (en términos de frecuencia y resolución) a fin de obtener buenos resultados en el análisis espectral realizado mediante la transformada de Fourier.</w:t>
      </w:r>
    </w:p>
    <w:p w14:paraId="5BDB37EE" w14:textId="26BCA345" w:rsidR="0086339D" w:rsidRPr="0056409E" w:rsidRDefault="0086339D" w:rsidP="0086339D">
      <w:pPr>
        <w:rPr>
          <w:lang w:val="es-ES_tradnl"/>
        </w:rPr>
      </w:pPr>
      <w:r w:rsidRPr="0056409E">
        <w:rPr>
          <w:lang w:val="es-ES_tradnl"/>
        </w:rPr>
        <w:t>El sistema consta de los siguientes componentes básicos:</w:t>
      </w:r>
    </w:p>
    <w:p w14:paraId="03FD99AE" w14:textId="77777777" w:rsidR="0086339D" w:rsidRPr="0056409E" w:rsidRDefault="0086339D" w:rsidP="0086339D">
      <w:pPr>
        <w:pStyle w:val="enumlev1"/>
        <w:rPr>
          <w:lang w:val="es-ES_tradnl"/>
        </w:rPr>
      </w:pPr>
      <w:r w:rsidRPr="0056409E">
        <w:rPr>
          <w:lang w:val="es-ES_tradnl"/>
        </w:rPr>
        <w:t>–</w:t>
      </w:r>
      <w:r w:rsidRPr="0056409E">
        <w:rPr>
          <w:lang w:val="es-ES_tradnl"/>
        </w:rPr>
        <w:tab/>
        <w:t>Una antena calibrada que convierte el campo eléctrico de una antena dipolo o el campo magnético de una antena de bucle en una onda por una línea de transmisión.</w:t>
      </w:r>
    </w:p>
    <w:p w14:paraId="32FD511F" w14:textId="77777777" w:rsidR="0086339D" w:rsidRPr="0056409E" w:rsidRDefault="0086339D" w:rsidP="0086339D">
      <w:pPr>
        <w:pStyle w:val="enumlev1"/>
        <w:rPr>
          <w:lang w:val="es-ES_tradnl"/>
        </w:rPr>
      </w:pPr>
      <w:r w:rsidRPr="0056409E">
        <w:rPr>
          <w:lang w:val="es-ES_tradnl"/>
        </w:rPr>
        <w:t>–</w:t>
      </w:r>
      <w:r w:rsidRPr="0056409E">
        <w:rPr>
          <w:lang w:val="es-ES_tradnl"/>
        </w:rPr>
        <w:tab/>
        <w:t>Una línea de transmisión o un cable coaxial de conexión calibrados.</w:t>
      </w:r>
    </w:p>
    <w:p w14:paraId="3B1DF2D8" w14:textId="6C828DBE" w:rsidR="0086339D" w:rsidRPr="0056409E" w:rsidRDefault="0086339D" w:rsidP="003C0FB7">
      <w:pPr>
        <w:pStyle w:val="enumlev1"/>
        <w:keepNext/>
        <w:keepLines/>
        <w:rPr>
          <w:lang w:val="es-ES_tradnl"/>
        </w:rPr>
      </w:pPr>
      <w:r w:rsidRPr="0056409E">
        <w:rPr>
          <w:lang w:val="es-ES_tradnl"/>
        </w:rPr>
        <w:lastRenderedPageBreak/>
        <w:t>–</w:t>
      </w:r>
      <w:r w:rsidRPr="0056409E">
        <w:rPr>
          <w:lang w:val="es-ES_tradnl"/>
        </w:rPr>
        <w:tab/>
        <w:t>Un receptor selectivo, por lo general un analizador de espectro o un receptor de medición, que mide la intensidad de la señal recibida en función de la frecuencia utilizando un circuito de sintonización. El analizador de espectro proporciona los valores de la tensión o la potencia en el dominio de la frecuencia.</w:t>
      </w:r>
    </w:p>
    <w:p w14:paraId="06FA277B" w14:textId="77777777" w:rsidR="0086339D" w:rsidRPr="0056409E" w:rsidRDefault="0086339D" w:rsidP="0086339D">
      <w:pPr>
        <w:rPr>
          <w:lang w:val="es-ES_tradnl"/>
        </w:rPr>
      </w:pPr>
      <w:r w:rsidRPr="0056409E">
        <w:rPr>
          <w:lang w:val="es-ES_tradnl"/>
        </w:rPr>
        <w:t>Durante estas mediciones, es importante velar por que los instrumentos de medición no perturben el campo objeto de medición.</w:t>
      </w:r>
    </w:p>
    <w:p w14:paraId="45C95973" w14:textId="77777777" w:rsidR="0086339D" w:rsidRPr="0056409E" w:rsidRDefault="0086339D" w:rsidP="0086339D">
      <w:pPr>
        <w:pStyle w:val="Heading2"/>
        <w:rPr>
          <w:lang w:val="es-ES_tradnl"/>
        </w:rPr>
      </w:pPr>
      <w:bookmarkStart w:id="414" w:name="_Toc65545999"/>
      <w:bookmarkStart w:id="415" w:name="_Toc65546181"/>
      <w:bookmarkStart w:id="416" w:name="_Toc65546324"/>
      <w:bookmarkStart w:id="417" w:name="_Toc86461527"/>
      <w:bookmarkStart w:id="418" w:name="_Toc162005916"/>
      <w:bookmarkStart w:id="419" w:name="_Toc162006240"/>
      <w:bookmarkStart w:id="420" w:name="_Toc162444586"/>
      <w:bookmarkStart w:id="421" w:name="_Toc162518202"/>
      <w:bookmarkStart w:id="422" w:name="_Toc162518725"/>
      <w:r w:rsidRPr="0056409E">
        <w:rPr>
          <w:lang w:val="es-ES_tradnl"/>
        </w:rPr>
        <w:t>4.3</w:t>
      </w:r>
      <w:r w:rsidRPr="0056409E">
        <w:rPr>
          <w:lang w:val="es-ES_tradnl"/>
        </w:rPr>
        <w:tab/>
        <w:t>Comparación entre predicciones y mediciones</w:t>
      </w:r>
      <w:bookmarkEnd w:id="414"/>
      <w:bookmarkEnd w:id="415"/>
      <w:bookmarkEnd w:id="416"/>
      <w:bookmarkEnd w:id="417"/>
      <w:bookmarkEnd w:id="418"/>
      <w:bookmarkEnd w:id="419"/>
      <w:bookmarkEnd w:id="420"/>
      <w:bookmarkEnd w:id="421"/>
      <w:bookmarkEnd w:id="422"/>
    </w:p>
    <w:p w14:paraId="58795A5B" w14:textId="77777777" w:rsidR="0086339D" w:rsidRPr="0056409E" w:rsidRDefault="0086339D" w:rsidP="0086339D">
      <w:pPr>
        <w:rPr>
          <w:lang w:val="es-ES_tradnl"/>
        </w:rPr>
      </w:pPr>
      <w:r w:rsidRPr="0056409E">
        <w:rPr>
          <w:lang w:val="es-ES_tradnl"/>
        </w:rPr>
        <w:t>La comparación entre predicciones y mediciones indica si los resultados de la medición están de acuerdo con los resultados obtenidos mediante cálculo teórico. Para más detalles al respecto, véase el Adjunto 2.</w:t>
      </w:r>
    </w:p>
    <w:p w14:paraId="428C3D22" w14:textId="77777777" w:rsidR="0086339D" w:rsidRPr="0056409E" w:rsidRDefault="0086339D" w:rsidP="0086339D">
      <w:pPr>
        <w:pStyle w:val="Heading1"/>
        <w:rPr>
          <w:lang w:val="es-ES_tradnl"/>
        </w:rPr>
      </w:pPr>
      <w:bookmarkStart w:id="423" w:name="_Toc65546000"/>
      <w:bookmarkStart w:id="424" w:name="_Toc65546182"/>
      <w:bookmarkStart w:id="425" w:name="_Toc65546325"/>
      <w:bookmarkStart w:id="426" w:name="_Toc86461528"/>
      <w:bookmarkStart w:id="427" w:name="_Toc162005917"/>
      <w:bookmarkStart w:id="428" w:name="_Toc162006241"/>
      <w:bookmarkStart w:id="429" w:name="_Toc162444587"/>
      <w:bookmarkStart w:id="430" w:name="_Toc162518203"/>
      <w:bookmarkStart w:id="431" w:name="_Toc162518726"/>
      <w:r w:rsidRPr="0056409E">
        <w:rPr>
          <w:lang w:val="es-ES_tradnl"/>
        </w:rPr>
        <w:t>5</w:t>
      </w:r>
      <w:r w:rsidRPr="0056409E">
        <w:rPr>
          <w:lang w:val="es-ES_tradnl"/>
        </w:rPr>
        <w:tab/>
        <w:t>Precauciones en las estaciones transmisoras de radiodifusión y sus proximidades</w:t>
      </w:r>
      <w:bookmarkEnd w:id="423"/>
      <w:bookmarkEnd w:id="424"/>
      <w:bookmarkEnd w:id="425"/>
      <w:bookmarkEnd w:id="426"/>
      <w:bookmarkEnd w:id="427"/>
      <w:bookmarkEnd w:id="428"/>
      <w:bookmarkEnd w:id="429"/>
      <w:bookmarkEnd w:id="430"/>
      <w:bookmarkEnd w:id="431"/>
    </w:p>
    <w:p w14:paraId="191226A8" w14:textId="316961F5" w:rsidR="0086339D" w:rsidRPr="0056409E" w:rsidRDefault="0086339D" w:rsidP="0086339D">
      <w:pPr>
        <w:rPr>
          <w:lang w:val="es-ES_tradnl"/>
        </w:rPr>
      </w:pPr>
      <w:r w:rsidRPr="00E828B4">
        <w:rPr>
          <w:lang w:val="es-ES_tradnl"/>
        </w:rPr>
        <w:t>Este punto indica las precauciones que deben tomarse en torno a las estaciones transmisoras de radiodifusión para controlar</w:t>
      </w:r>
      <w:r w:rsidRPr="0056409E">
        <w:rPr>
          <w:lang w:val="es-ES_tradnl"/>
        </w:rPr>
        <w:t xml:space="preserve"> los posibles riesgos debidos a la exposición a las RF. Estos riesgos son de dos categorías principales, el primero se refiere al riesgo directo a la salud de las personas debido a la exposición niveles elevados de emisiones de RF, incluidas las conmociones, las quemaduras y el posible funcionamiento incorrecto de los implantes médicos. La segunda categoría comprende los riesgos indirectos por los que las emisiones de RF pueden provocar explosiones o incendios o interferir con el funcionamiento seguro de las máquinas, grúas, vehículos, etc.</w:t>
      </w:r>
    </w:p>
    <w:p w14:paraId="6861C4AF" w14:textId="7C0E445B" w:rsidR="0086339D" w:rsidRPr="0056409E" w:rsidRDefault="0086339D" w:rsidP="0086339D">
      <w:pPr>
        <w:pStyle w:val="Heading2"/>
        <w:rPr>
          <w:lang w:val="es-ES_tradnl"/>
        </w:rPr>
      </w:pPr>
      <w:bookmarkStart w:id="432" w:name="_Toc162005918"/>
      <w:bookmarkStart w:id="433" w:name="_Toc162006242"/>
      <w:bookmarkStart w:id="434" w:name="_Toc65546001"/>
      <w:bookmarkStart w:id="435" w:name="_Toc65546183"/>
      <w:bookmarkStart w:id="436" w:name="_Toc65546326"/>
      <w:bookmarkStart w:id="437" w:name="_Toc86461529"/>
      <w:bookmarkStart w:id="438" w:name="_Toc162444588"/>
      <w:bookmarkStart w:id="439" w:name="_Toc162518204"/>
      <w:bookmarkStart w:id="440" w:name="_Toc162518727"/>
      <w:r w:rsidRPr="0056409E">
        <w:rPr>
          <w:lang w:val="es-ES_tradnl"/>
        </w:rPr>
        <w:t>5.1</w:t>
      </w:r>
      <w:r w:rsidRPr="0056409E">
        <w:rPr>
          <w:lang w:val="es-ES_tradnl"/>
        </w:rPr>
        <w:tab/>
        <w:t>Precauciones para controlar los efectos directos sobre la salud de las emisiones de RF de alto nivel</w:t>
      </w:r>
      <w:bookmarkEnd w:id="432"/>
      <w:bookmarkEnd w:id="433"/>
      <w:bookmarkEnd w:id="434"/>
      <w:bookmarkEnd w:id="435"/>
      <w:bookmarkEnd w:id="436"/>
      <w:bookmarkEnd w:id="437"/>
      <w:bookmarkEnd w:id="438"/>
      <w:bookmarkEnd w:id="439"/>
      <w:bookmarkEnd w:id="440"/>
    </w:p>
    <w:p w14:paraId="09C35C9F" w14:textId="4EEACD4A" w:rsidR="0086339D" w:rsidRPr="0056409E" w:rsidRDefault="0086339D" w:rsidP="00152FFD">
      <w:pPr>
        <w:rPr>
          <w:lang w:val="es-ES_tradnl"/>
        </w:rPr>
      </w:pPr>
      <w:r w:rsidRPr="0056409E">
        <w:rPr>
          <w:lang w:val="es-ES_tradnl"/>
        </w:rPr>
        <w:t>Para determinar las precauciones que deben tomarse razonablemente se consideran dos grupos de personas. El primer grupo son los empleados en las estaciones transmisoras o visitantes oficiales que regularmente acuden a las mismas. Como este grupo se enfrenta a estos riesgos más frecuentemente, las medidas de control que deben aplicarse son superiores a las del segundo grupo que son las personas del público en general.</w:t>
      </w:r>
    </w:p>
    <w:p w14:paraId="26C4FA95" w14:textId="77777777" w:rsidR="0086339D" w:rsidRPr="0056409E" w:rsidRDefault="0086339D" w:rsidP="0086339D">
      <w:pPr>
        <w:pStyle w:val="Heading3"/>
        <w:rPr>
          <w:lang w:val="es-ES_tradnl"/>
        </w:rPr>
      </w:pPr>
      <w:bookmarkStart w:id="441" w:name="_Toc65546002"/>
      <w:bookmarkStart w:id="442" w:name="_Toc65546184"/>
      <w:bookmarkStart w:id="443" w:name="_Toc86461530"/>
      <w:bookmarkStart w:id="444" w:name="_Toc162001366"/>
      <w:bookmarkStart w:id="445" w:name="_Toc162005919"/>
      <w:bookmarkStart w:id="446" w:name="_Toc162006012"/>
      <w:bookmarkStart w:id="447" w:name="_Toc162006243"/>
      <w:bookmarkStart w:id="448" w:name="_Toc162008598"/>
      <w:bookmarkStart w:id="449" w:name="_Toc162443023"/>
      <w:bookmarkStart w:id="450" w:name="_Toc162443440"/>
      <w:bookmarkStart w:id="451" w:name="_Toc162443589"/>
      <w:bookmarkStart w:id="452" w:name="_Toc162443808"/>
      <w:bookmarkStart w:id="453" w:name="_Toc162444038"/>
      <w:bookmarkStart w:id="454" w:name="_Toc162444589"/>
      <w:r w:rsidRPr="0056409E">
        <w:rPr>
          <w:lang w:val="es-ES_tradnl"/>
        </w:rPr>
        <w:t>5.1.1</w:t>
      </w:r>
      <w:r w:rsidRPr="0056409E">
        <w:rPr>
          <w:lang w:val="es-ES_tradnl"/>
        </w:rPr>
        <w:tab/>
        <w:t>Medidas de precaución para los empleados (personal de servicio)</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sidRPr="0056409E">
        <w:rPr>
          <w:lang w:val="es-ES_tradnl"/>
        </w:rPr>
        <w:t xml:space="preserve"> </w:t>
      </w:r>
    </w:p>
    <w:p w14:paraId="6DCDF028" w14:textId="77777777" w:rsidR="0086339D" w:rsidRPr="0056409E" w:rsidRDefault="0086339D" w:rsidP="0086339D">
      <w:pPr>
        <w:pStyle w:val="Heading4"/>
        <w:rPr>
          <w:lang w:val="es-ES_tradnl"/>
        </w:rPr>
      </w:pPr>
      <w:r w:rsidRPr="0056409E">
        <w:rPr>
          <w:lang w:val="es-ES_tradnl"/>
        </w:rPr>
        <w:t>5.1.1.1</w:t>
      </w:r>
      <w:r w:rsidRPr="0056409E">
        <w:rPr>
          <w:lang w:val="es-ES_tradnl"/>
        </w:rPr>
        <w:tab/>
        <w:t>Medidas físicas</w:t>
      </w:r>
    </w:p>
    <w:p w14:paraId="10831A0E" w14:textId="77777777" w:rsidR="0086339D" w:rsidRPr="0056409E" w:rsidRDefault="0086339D" w:rsidP="0086339D">
      <w:pPr>
        <w:rPr>
          <w:lang w:val="es-ES_tradnl"/>
        </w:rPr>
      </w:pPr>
      <w:r w:rsidRPr="0056409E">
        <w:rPr>
          <w:lang w:val="es-ES_tradnl"/>
        </w:rPr>
        <w:t>Debe proporcionarse, según proceda, una cierta forma de barrera protectora para restringir el acceso a cualquier zona donde se rebasen los límites de exposición o sea posible el contacto con conductores RF al descubierto. El acceso a tales áreas sólo debe ser posible mediante la utilización de una llave o algún otro tipo de instrumento. Debe bloquearse mecánica o eléctricamente el acceso a recintos donde sea necesario entrar para realizar las labores de mantenimiento.</w:t>
      </w:r>
    </w:p>
    <w:p w14:paraId="108B57BE" w14:textId="77777777" w:rsidR="0086339D" w:rsidRPr="0056409E" w:rsidRDefault="0086339D" w:rsidP="0086339D">
      <w:pPr>
        <w:rPr>
          <w:lang w:val="es-ES_tradnl"/>
        </w:rPr>
      </w:pPr>
      <w:r w:rsidRPr="0056409E">
        <w:rPr>
          <w:lang w:val="es-ES_tradnl"/>
        </w:rPr>
        <w:t xml:space="preserve">Además de estas barreras protectoras, pero no sustituyendo a las mismas, deben utilizarse otras medidas físicas tales como luces o señales de aviso. </w:t>
      </w:r>
    </w:p>
    <w:p w14:paraId="4CB1C088" w14:textId="77777777" w:rsidR="0086339D" w:rsidRPr="0056409E" w:rsidRDefault="0086339D" w:rsidP="0086339D">
      <w:pPr>
        <w:rPr>
          <w:lang w:val="es-ES_tradnl"/>
        </w:rPr>
      </w:pPr>
      <w:r w:rsidRPr="0056409E">
        <w:rPr>
          <w:lang w:val="es-ES_tradnl"/>
        </w:rPr>
        <w:t>El riesgo de conmoción o quemaduras causadas por las tensiones de red inducidas en los objetos conductores, tales como verjas y estructuras de soporte, debe reducirse al mínimo mediante dispositivos de puesta a tierra o de conexión a masa de RF eficaz y adecuadamente mantenidos. Debe prestarse especial atención a la puesta a tierra de cualquier cable o hilos metálicos temporales, como por ejemplo los aparejos de los cabrestantes.</w:t>
      </w:r>
    </w:p>
    <w:p w14:paraId="5A33F733" w14:textId="77777777" w:rsidR="0086339D" w:rsidRPr="0056409E" w:rsidRDefault="0086339D" w:rsidP="0086339D">
      <w:pPr>
        <w:rPr>
          <w:lang w:val="es-ES_tradnl"/>
        </w:rPr>
      </w:pPr>
      <w:r w:rsidRPr="0056409E">
        <w:rPr>
          <w:lang w:val="es-ES_tradnl"/>
        </w:rPr>
        <w:t>O cuando es preciso manejar tales objetos en un campo RF, deben tomarse medidas de protección adicionales contra las conmociones o quemaduras utilizando guantes reforzados o mediante un etiquetado de aviso eficaz.</w:t>
      </w:r>
    </w:p>
    <w:p w14:paraId="169F388C" w14:textId="77777777" w:rsidR="0086339D" w:rsidRPr="0056409E" w:rsidRDefault="0086339D" w:rsidP="0086339D">
      <w:pPr>
        <w:pStyle w:val="Heading4"/>
        <w:rPr>
          <w:lang w:val="es-ES_tradnl"/>
        </w:rPr>
      </w:pPr>
      <w:r w:rsidRPr="0056409E">
        <w:rPr>
          <w:lang w:val="es-ES_tradnl"/>
        </w:rPr>
        <w:lastRenderedPageBreak/>
        <w:t>5.1.1.2</w:t>
      </w:r>
      <w:r w:rsidRPr="0056409E">
        <w:rPr>
          <w:lang w:val="es-ES_tradnl"/>
        </w:rPr>
        <w:tab/>
        <w:t>Procedimientos operativos</w:t>
      </w:r>
    </w:p>
    <w:p w14:paraId="7548FE3D" w14:textId="77777777" w:rsidR="0086339D" w:rsidRPr="0056409E" w:rsidRDefault="0086339D" w:rsidP="0086339D">
      <w:pPr>
        <w:rPr>
          <w:lang w:val="es-ES_tradnl"/>
        </w:rPr>
      </w:pPr>
      <w:r w:rsidRPr="0056409E">
        <w:rPr>
          <w:lang w:val="es-ES_tradnl"/>
        </w:rPr>
        <w:t>La evaluación de los riesgos de exposición a RF debe ser realizada por personal adecuadamente entrenado y experimentado en la construcción y también cuando se vaya a introducir algún cambio significativo en la estación transmisora. El objetivo inicial debe ser la identificación de:</w:t>
      </w:r>
    </w:p>
    <w:p w14:paraId="0C4E70E2" w14:textId="77777777" w:rsidR="0086339D" w:rsidRPr="0056409E" w:rsidRDefault="0086339D" w:rsidP="0086339D">
      <w:pPr>
        <w:pStyle w:val="enumlev1"/>
        <w:rPr>
          <w:lang w:val="es-ES_tradnl"/>
        </w:rPr>
      </w:pPr>
      <w:r w:rsidRPr="0056409E">
        <w:rPr>
          <w:lang w:val="es-ES_tradnl"/>
        </w:rPr>
        <w:t>–</w:t>
      </w:r>
      <w:r w:rsidRPr="0056409E">
        <w:rPr>
          <w:lang w:val="es-ES_tradnl"/>
        </w:rPr>
        <w:tab/>
        <w:t>las zonas donde las personas pueden estar expuestas a niveles de referencia;</w:t>
      </w:r>
    </w:p>
    <w:p w14:paraId="384D585B" w14:textId="77777777" w:rsidR="0086339D" w:rsidRPr="0056409E" w:rsidRDefault="0086339D" w:rsidP="0086339D">
      <w:pPr>
        <w:pStyle w:val="enumlev1"/>
        <w:rPr>
          <w:lang w:val="es-ES_tradnl"/>
        </w:rPr>
      </w:pPr>
      <w:r w:rsidRPr="0056409E">
        <w:rPr>
          <w:lang w:val="es-ES_tradnl"/>
        </w:rPr>
        <w:t>–</w:t>
      </w:r>
      <w:r w:rsidRPr="0056409E">
        <w:rPr>
          <w:lang w:val="es-ES_tradnl"/>
        </w:rPr>
        <w:tab/>
        <w:t>los distintos grupos de personas que pueden estar expuestas; por ejemplo, empleados, personas que comparten el emplazamiento, público en general;</w:t>
      </w:r>
    </w:p>
    <w:p w14:paraId="0A437520" w14:textId="77777777" w:rsidR="0086339D" w:rsidRPr="0056409E" w:rsidRDefault="0086339D" w:rsidP="0086339D">
      <w:pPr>
        <w:pStyle w:val="enumlev1"/>
        <w:rPr>
          <w:lang w:val="es-ES_tradnl"/>
        </w:rPr>
      </w:pPr>
      <w:r w:rsidRPr="0056409E">
        <w:rPr>
          <w:lang w:val="es-ES_tradnl"/>
        </w:rPr>
        <w:t>–</w:t>
      </w:r>
      <w:r w:rsidRPr="0056409E">
        <w:rPr>
          <w:lang w:val="es-ES_tradnl"/>
        </w:rPr>
        <w:tab/>
        <w:t>las consecuencias de averías, tales como fugas de RF, alineamiento incorrecto de la antena o errores operativos.</w:t>
      </w:r>
    </w:p>
    <w:p w14:paraId="58F10CD6" w14:textId="77777777" w:rsidR="0086339D" w:rsidRPr="0056409E" w:rsidRDefault="0086339D" w:rsidP="0086339D">
      <w:pPr>
        <w:rPr>
          <w:lang w:val="es-ES_tradnl"/>
        </w:rPr>
      </w:pPr>
      <w:r w:rsidRPr="0056409E">
        <w:rPr>
          <w:lang w:val="es-ES_tradnl"/>
        </w:rPr>
        <w:t>Puede efectuarse una comprobación inicial de los niveles de exposición a RF mediante cálculos o estableciendo un modelo matemático, pero también deben realizarse algunas mediciones de muestra a efectos de verificación. En la mayoría de los casos, sin embargo, serán necesarias mediciones para determinar con mayor precisión los niveles de exposición a RF. Las cantidades reales que deben medirse (campo E, campo H, densidad de potencia o corriente inducida) deben determinarse basándose en las circunstancias específicas, que incluyen las frecuencias de la estación, la región de campo (campo cercano/lejano) que va a medirse y si se propone verificar la conformidad con las restricciones básicas (SAR) o solamente con los niveles de referencia. Estas circuns</w:t>
      </w:r>
      <w:r w:rsidRPr="0056409E">
        <w:rPr>
          <w:lang w:val="es-ES_tradnl"/>
        </w:rPr>
        <w:softHyphen/>
        <w:t>tancias también determinarán en gran medida si deben medirse las tres distintas componentes de campo por separado o si debe utilizarse un instrumento isótropo. Los controles de exposición a RF deben realizarlos personal entrenado en la utilización de tales instrumentos, siguiendo procedimientos de medición determinados y registrando los resultados en un formato especificado.</w:t>
      </w:r>
    </w:p>
    <w:p w14:paraId="32866122" w14:textId="5ECD08F5" w:rsidR="0086339D" w:rsidRPr="0056409E" w:rsidRDefault="0086339D" w:rsidP="0086339D">
      <w:pPr>
        <w:rPr>
          <w:lang w:val="es-ES_tradnl"/>
        </w:rPr>
      </w:pPr>
      <w:r w:rsidRPr="0056409E">
        <w:rPr>
          <w:lang w:val="es-ES_tradnl"/>
        </w:rPr>
        <w:t>En todo organismo o empresa debe nombrarse una persona competente que sea responsable de la identificación y disposición de los instrumentos de medición adecuados. Tales instrumentos de medición deben ser utilizados siempre de conformidad con las instrucciones del fabricante y hay que someterlos a pruebas funcionamiento con una referencia de verificación y calibraciones funcionales periódicas. Tras dichas pruebas o calibraciones deben fijarse en los instrumentos etiquetas que indiquen las fechas de expiración. Deben mantenerse registros de las calibraciones efectuadas incluida la información sobre los ajustes y reparaciones que hayan sido necesarios en cada ocasión. Esta información debe utilizarse para determinar el intervalo entre calibraciones.</w:t>
      </w:r>
    </w:p>
    <w:p w14:paraId="684924B3" w14:textId="5673803D" w:rsidR="0086339D" w:rsidRPr="0056409E" w:rsidRDefault="0086339D" w:rsidP="0086339D">
      <w:pPr>
        <w:rPr>
          <w:lang w:val="es-ES_tradnl"/>
        </w:rPr>
      </w:pPr>
      <w:r w:rsidRPr="0056409E">
        <w:rPr>
          <w:lang w:val="es-ES_tradnl"/>
        </w:rPr>
        <w:t xml:space="preserve">Deben establecerse procedimientos de trabajo para asegurar que no se rebasan los límites de exposición a RF. Asimismo, debería impartirse capacitación a los empleados en lo que respecta a los procedimientos </w:t>
      </w:r>
      <w:r w:rsidRPr="003636E0">
        <w:rPr>
          <w:lang w:val="es-ES_tradnl"/>
        </w:rPr>
        <w:t>de seguridad RF adecuados</w:t>
      </w:r>
      <w:r w:rsidRPr="0056409E">
        <w:rPr>
          <w:lang w:val="es-ES_tradnl"/>
        </w:rPr>
        <w:t>. Las actividades de mantenimiento en zonas sujetas a restricciones de acceso debido a altos niveles de exposición a RF deben planificarse teniendo en cuenta los periodos de interrupción de la transmisión o los cambios en los diagramas de emisión, siempre que sea posible. Sin embargo, debe haber siempre un equilibrio entre la exposición a las emisiones de RF y otros riesgos, tales como el trabajo en los mástiles por la noche aunque estén iluminados. Cuando sea necesario deben conmutarse los transmisores para reducir la potencia, o incluso desco</w:t>
      </w:r>
      <w:r w:rsidRPr="0056409E">
        <w:rPr>
          <w:lang w:val="es-ES_tradnl"/>
        </w:rPr>
        <w:softHyphen/>
        <w:t>nectarlos,</w:t>
      </w:r>
      <w:r w:rsidRPr="0056409E">
        <w:rPr>
          <w:sz w:val="21"/>
          <w:lang w:val="es-ES_tradnl"/>
        </w:rPr>
        <w:t xml:space="preserve"> </w:t>
      </w:r>
      <w:r w:rsidRPr="0056409E">
        <w:rPr>
          <w:lang w:val="es-ES_tradnl"/>
        </w:rPr>
        <w:t>a</w:t>
      </w:r>
      <w:r w:rsidRPr="0056409E">
        <w:rPr>
          <w:sz w:val="21"/>
          <w:lang w:val="es-ES_tradnl"/>
        </w:rPr>
        <w:t xml:space="preserve"> </w:t>
      </w:r>
      <w:r w:rsidRPr="0056409E">
        <w:rPr>
          <w:lang w:val="es-ES_tradnl"/>
        </w:rPr>
        <w:t>fin</w:t>
      </w:r>
      <w:r w:rsidRPr="0056409E">
        <w:rPr>
          <w:sz w:val="21"/>
          <w:lang w:val="es-ES_tradnl"/>
        </w:rPr>
        <w:t xml:space="preserve"> </w:t>
      </w:r>
      <w:r w:rsidRPr="0056409E">
        <w:rPr>
          <w:lang w:val="es-ES_tradnl"/>
        </w:rPr>
        <w:t>de</w:t>
      </w:r>
      <w:r w:rsidRPr="0056409E">
        <w:rPr>
          <w:sz w:val="21"/>
          <w:lang w:val="es-ES_tradnl"/>
        </w:rPr>
        <w:t xml:space="preserve"> </w:t>
      </w:r>
      <w:r w:rsidRPr="0056409E">
        <w:rPr>
          <w:lang w:val="es-ES_tradnl"/>
        </w:rPr>
        <w:t>permitir</w:t>
      </w:r>
      <w:r w:rsidRPr="0056409E">
        <w:rPr>
          <w:sz w:val="21"/>
          <w:lang w:val="es-ES_tradnl"/>
        </w:rPr>
        <w:t xml:space="preserve"> </w:t>
      </w:r>
      <w:r w:rsidRPr="0056409E">
        <w:rPr>
          <w:lang w:val="es-ES_tradnl"/>
        </w:rPr>
        <w:t>un</w:t>
      </w:r>
      <w:r w:rsidRPr="0056409E">
        <w:rPr>
          <w:sz w:val="21"/>
          <w:lang w:val="es-ES_tradnl"/>
        </w:rPr>
        <w:t xml:space="preserve"> </w:t>
      </w:r>
      <w:r w:rsidRPr="0056409E">
        <w:rPr>
          <w:lang w:val="es-ES_tradnl"/>
        </w:rPr>
        <w:t>acceso</w:t>
      </w:r>
      <w:r w:rsidRPr="0056409E">
        <w:rPr>
          <w:sz w:val="21"/>
          <w:lang w:val="es-ES_tradnl"/>
        </w:rPr>
        <w:t xml:space="preserve"> </w:t>
      </w:r>
      <w:r w:rsidRPr="0056409E">
        <w:rPr>
          <w:lang w:val="es-ES_tradnl"/>
        </w:rPr>
        <w:t>seguro</w:t>
      </w:r>
      <w:r w:rsidRPr="0056409E">
        <w:rPr>
          <w:sz w:val="21"/>
          <w:lang w:val="es-ES_tradnl"/>
        </w:rPr>
        <w:t xml:space="preserve"> </w:t>
      </w:r>
      <w:r w:rsidRPr="0056409E">
        <w:rPr>
          <w:lang w:val="es-ES_tradnl"/>
        </w:rPr>
        <w:t>para</w:t>
      </w:r>
      <w:r w:rsidRPr="0056409E">
        <w:rPr>
          <w:sz w:val="21"/>
          <w:lang w:val="es-ES_tradnl"/>
        </w:rPr>
        <w:t xml:space="preserve"> </w:t>
      </w:r>
      <w:r w:rsidRPr="0056409E">
        <w:rPr>
          <w:lang w:val="es-ES_tradnl"/>
        </w:rPr>
        <w:t>realizar</w:t>
      </w:r>
      <w:r w:rsidRPr="0056409E">
        <w:rPr>
          <w:sz w:val="21"/>
          <w:lang w:val="es-ES_tradnl"/>
        </w:rPr>
        <w:t xml:space="preserve"> </w:t>
      </w:r>
      <w:r w:rsidRPr="0056409E">
        <w:rPr>
          <w:lang w:val="es-ES_tradnl"/>
        </w:rPr>
        <w:t>los</w:t>
      </w:r>
      <w:r w:rsidRPr="0056409E">
        <w:rPr>
          <w:sz w:val="21"/>
          <w:lang w:val="es-ES_tradnl"/>
        </w:rPr>
        <w:t xml:space="preserve"> </w:t>
      </w:r>
      <w:r w:rsidRPr="0056409E">
        <w:rPr>
          <w:lang w:val="es-ES_tradnl"/>
        </w:rPr>
        <w:t>trabajos</w:t>
      </w:r>
      <w:r w:rsidRPr="0056409E">
        <w:rPr>
          <w:sz w:val="21"/>
          <w:lang w:val="es-ES_tradnl"/>
        </w:rPr>
        <w:t xml:space="preserve"> </w:t>
      </w:r>
      <w:r w:rsidRPr="0056409E">
        <w:rPr>
          <w:lang w:val="es-ES_tradnl"/>
        </w:rPr>
        <w:t>de</w:t>
      </w:r>
      <w:r w:rsidRPr="0056409E">
        <w:rPr>
          <w:sz w:val="21"/>
          <w:lang w:val="es-ES_tradnl"/>
        </w:rPr>
        <w:t xml:space="preserve"> </w:t>
      </w:r>
      <w:r w:rsidRPr="0056409E">
        <w:rPr>
          <w:lang w:val="es-ES_tradnl"/>
        </w:rPr>
        <w:t>mantenimiento</w:t>
      </w:r>
      <w:r w:rsidRPr="0056409E">
        <w:rPr>
          <w:sz w:val="21"/>
          <w:lang w:val="es-ES_tradnl"/>
        </w:rPr>
        <w:t xml:space="preserve"> </w:t>
      </w:r>
      <w:r w:rsidRPr="0056409E">
        <w:rPr>
          <w:lang w:val="es-ES_tradnl"/>
        </w:rPr>
        <w:t>o</w:t>
      </w:r>
      <w:r w:rsidRPr="0056409E">
        <w:rPr>
          <w:sz w:val="21"/>
          <w:lang w:val="es-ES_tradnl"/>
        </w:rPr>
        <w:t xml:space="preserve"> </w:t>
      </w:r>
      <w:r w:rsidRPr="0056409E">
        <w:rPr>
          <w:lang w:val="es-ES_tradnl"/>
        </w:rPr>
        <w:t>reparación.</w:t>
      </w:r>
    </w:p>
    <w:p w14:paraId="5911CE94" w14:textId="77777777" w:rsidR="0086339D" w:rsidRPr="0056409E" w:rsidRDefault="0086339D" w:rsidP="0086339D">
      <w:pPr>
        <w:rPr>
          <w:lang w:val="es-ES_tradnl"/>
        </w:rPr>
      </w:pPr>
      <w:r w:rsidRPr="0056409E">
        <w:rPr>
          <w:lang w:val="es-ES_tradnl"/>
        </w:rPr>
        <w:t>Las zonas de acceso prohibido en las estaciones de transmisión deben estar claramente definidas y señalizadas y deben implantarse sistemas de «permiso para trabajar». Deben tomarse las disposiciones necesarias para todos los sistemas, antenas, combinadores o zonas compartidas por otras organizaciones. Todo el personal que trabaje regularmente en zonas con elevados niveles de exposición a RF debe ir equipado con alguna forma de alarma personal o medidor de niveles peligrosos de RF.</w:t>
      </w:r>
    </w:p>
    <w:p w14:paraId="1B2EDEA8" w14:textId="77777777" w:rsidR="0086339D" w:rsidRPr="0056409E" w:rsidRDefault="0086339D" w:rsidP="0086339D">
      <w:pPr>
        <w:rPr>
          <w:lang w:val="es-ES_tradnl"/>
        </w:rPr>
      </w:pPr>
      <w:r w:rsidRPr="0056409E">
        <w:rPr>
          <w:lang w:val="es-ES_tradnl"/>
        </w:rPr>
        <w:t xml:space="preserve">Deben mantenerse registros de las exposiciones por encima de los niveles de exposición a RF especificados. Las empresas u organizaciones responsables de las estaciones transmisoras en </w:t>
      </w:r>
      <w:r w:rsidRPr="0056409E">
        <w:rPr>
          <w:lang w:val="es-ES_tradnl"/>
        </w:rPr>
        <w:lastRenderedPageBreak/>
        <w:t>funcionamiento deben supervisar la salud del personal que trabaje regularmente en zonas con altos niveles de exposición a RF y tomar parte en encuestas epidemiológicas cuando sea conveniente.</w:t>
      </w:r>
    </w:p>
    <w:p w14:paraId="7020932B" w14:textId="77777777" w:rsidR="0086339D" w:rsidRPr="0056409E" w:rsidRDefault="0086339D" w:rsidP="0086339D">
      <w:pPr>
        <w:rPr>
          <w:lang w:val="es-ES_tradnl"/>
        </w:rPr>
      </w:pPr>
      <w:r w:rsidRPr="0056409E">
        <w:rPr>
          <w:lang w:val="es-ES_tradnl"/>
        </w:rPr>
        <w:t>Los detalles sobre los métodos y procedimientos generales relativos a la seguridad contra la exposición a RF deben incluirse en unas instrucciones de seguridad escritas que deberán distribuirse a todo el personal adecuado. Además, deben establecerse instrucciones locales para cada estación transmisora a fin de asegurar el cumplimiento de dichos métodos y procedimientos.</w:t>
      </w:r>
    </w:p>
    <w:p w14:paraId="2CBAC50B" w14:textId="77777777" w:rsidR="0086339D" w:rsidRPr="0056409E" w:rsidRDefault="0086339D" w:rsidP="0086339D">
      <w:pPr>
        <w:rPr>
          <w:lang w:val="es-ES_tradnl"/>
        </w:rPr>
      </w:pPr>
      <w:r w:rsidRPr="0056409E">
        <w:rPr>
          <w:lang w:val="es-ES_tradnl"/>
        </w:rPr>
        <w:t>El entrenamiento y capacitación sobre los métodos de seguridad deben también incluir la naturaleza y los efectos de la exposición a RF, los aspectos médicos y las normas de seguridad.</w:t>
      </w:r>
    </w:p>
    <w:p w14:paraId="14260A8B" w14:textId="77777777" w:rsidR="0086339D" w:rsidRPr="0056409E" w:rsidRDefault="0086339D" w:rsidP="0086339D">
      <w:pPr>
        <w:rPr>
          <w:lang w:val="es-ES_tradnl"/>
        </w:rPr>
      </w:pPr>
      <w:r w:rsidRPr="0056409E">
        <w:rPr>
          <w:lang w:val="es-ES_tradnl"/>
        </w:rPr>
        <w:t xml:space="preserve">Se ha de prestar especial atención a los trabajadores particularmente sensibles a los CEM, entre ellos mujeres embarazadas y personas portadoras de dispositivos médicos pasivos o activos. En el caso de los trabajadores </w:t>
      </w:r>
      <w:r>
        <w:rPr>
          <w:lang w:val="es-ES_tradnl"/>
        </w:rPr>
        <w:t>que lleven</w:t>
      </w:r>
      <w:r w:rsidRPr="0056409E">
        <w:rPr>
          <w:lang w:val="es-ES_tradnl"/>
        </w:rPr>
        <w:t xml:space="preserve"> un dispositivo médico implantable activo (AIMD), se dispone de pautas pormenorizadas en directrices regionales, como los documentos de CENELEC de la serie EN 50527, sobre el procedimiento </w:t>
      </w:r>
      <w:r>
        <w:rPr>
          <w:lang w:val="es-ES_tradnl"/>
        </w:rPr>
        <w:t>aplicable a efectos de</w:t>
      </w:r>
      <w:r w:rsidRPr="0056409E">
        <w:rPr>
          <w:lang w:val="es-ES_tradnl"/>
        </w:rPr>
        <w:t xml:space="preserve"> la evaluación de la exposición a campos electromagnéticos de los trabajadores portadores de dispositivos médicos implantables activos. Véase asimismo el Adjunto 6 al Anexo 1.</w:t>
      </w:r>
    </w:p>
    <w:p w14:paraId="126F3E48" w14:textId="77777777" w:rsidR="0086339D" w:rsidRPr="0056409E" w:rsidRDefault="0086339D" w:rsidP="0086339D">
      <w:pPr>
        <w:pStyle w:val="Heading3"/>
        <w:rPr>
          <w:lang w:val="es-ES_tradnl"/>
        </w:rPr>
      </w:pPr>
      <w:bookmarkStart w:id="455" w:name="_Toc65546003"/>
      <w:bookmarkStart w:id="456" w:name="_Toc65546185"/>
      <w:bookmarkStart w:id="457" w:name="_Toc86461531"/>
      <w:bookmarkStart w:id="458" w:name="_Toc162001367"/>
      <w:bookmarkStart w:id="459" w:name="_Toc162005920"/>
      <w:bookmarkStart w:id="460" w:name="_Toc162006013"/>
      <w:bookmarkStart w:id="461" w:name="_Toc162006244"/>
      <w:bookmarkStart w:id="462" w:name="_Toc162008599"/>
      <w:bookmarkStart w:id="463" w:name="_Toc162443024"/>
      <w:bookmarkStart w:id="464" w:name="_Toc162443441"/>
      <w:bookmarkStart w:id="465" w:name="_Toc162443590"/>
      <w:bookmarkStart w:id="466" w:name="_Toc162443809"/>
      <w:bookmarkStart w:id="467" w:name="_Toc162444039"/>
      <w:bookmarkStart w:id="468" w:name="_Toc162444590"/>
      <w:r w:rsidRPr="0056409E">
        <w:rPr>
          <w:lang w:val="es-ES_tradnl"/>
        </w:rPr>
        <w:t>5.1.2</w:t>
      </w:r>
      <w:r w:rsidRPr="0056409E">
        <w:rPr>
          <w:lang w:val="es-ES_tradnl"/>
        </w:rPr>
        <w:tab/>
        <w:t>Medidas de precaución para el público en general</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50B50415" w14:textId="77777777" w:rsidR="0086339D" w:rsidRPr="0056409E" w:rsidRDefault="0086339D" w:rsidP="0086339D">
      <w:pPr>
        <w:pStyle w:val="Heading4"/>
        <w:rPr>
          <w:lang w:val="es-ES_tradnl"/>
        </w:rPr>
      </w:pPr>
      <w:r w:rsidRPr="0056409E">
        <w:rPr>
          <w:lang w:val="es-ES_tradnl"/>
        </w:rPr>
        <w:t>5.1.2.1</w:t>
      </w:r>
      <w:r w:rsidRPr="0056409E">
        <w:rPr>
          <w:lang w:val="es-ES_tradnl"/>
        </w:rPr>
        <w:tab/>
        <w:t>Medidas físicas</w:t>
      </w:r>
    </w:p>
    <w:p w14:paraId="4B6A6EBF" w14:textId="77777777" w:rsidR="0086339D" w:rsidRPr="0056409E" w:rsidRDefault="0086339D" w:rsidP="0086339D">
      <w:pPr>
        <w:rPr>
          <w:lang w:val="es-ES_tradnl"/>
        </w:rPr>
      </w:pPr>
      <w:r w:rsidRPr="0056409E">
        <w:rPr>
          <w:lang w:val="es-ES_tradnl"/>
        </w:rPr>
        <w:t>Al público en general se aplican consideraciones similares a las indicadas en el § 5.1.1.1 para los empleados. Debe prestarse especial atención a las zonas donde podrían rebasarse los límites de exposición a RF si se produce una avería. Deben establecerse barreras protectoras en forma de verjas que rodeen el perímetro de la zona de peligro, adecuadamente puestas a tierra cuando sea necesario. También podría ser necesario incluir señales de advertencia de peligro.</w:t>
      </w:r>
    </w:p>
    <w:p w14:paraId="4D277C6A" w14:textId="77777777" w:rsidR="0086339D" w:rsidRPr="0056409E" w:rsidRDefault="0086339D" w:rsidP="0086339D">
      <w:pPr>
        <w:pStyle w:val="Heading4"/>
        <w:rPr>
          <w:lang w:val="es-ES_tradnl"/>
        </w:rPr>
      </w:pPr>
      <w:r w:rsidRPr="0056409E">
        <w:rPr>
          <w:lang w:val="es-ES_tradnl"/>
        </w:rPr>
        <w:t>5.1.2.2</w:t>
      </w:r>
      <w:r w:rsidRPr="0056409E">
        <w:rPr>
          <w:lang w:val="es-ES_tradnl"/>
        </w:rPr>
        <w:tab/>
        <w:t>Procedimientos operativos</w:t>
      </w:r>
    </w:p>
    <w:p w14:paraId="7EDCBEFA" w14:textId="77777777" w:rsidR="0086339D" w:rsidRPr="0056409E" w:rsidRDefault="0086339D" w:rsidP="0086339D">
      <w:pPr>
        <w:rPr>
          <w:lang w:val="es-ES_tradnl"/>
        </w:rPr>
      </w:pPr>
      <w:r w:rsidRPr="0056409E">
        <w:rPr>
          <w:lang w:val="es-ES_tradnl"/>
        </w:rPr>
        <w:t>Al evaluar los riesgos, de la forma indicada en el § 5.1.1.2, debe tenerse en cuenta la posibilidad de que alguna persona lleve implantes médicos. Debe adoptarse un procedimiento para informar a dichos visitantes de los posibles peligros para su salud y conviene igualmente establecer los procedimientos adecuados de acceso restringido. A los visitantes regulares de la estación debe proporcionárseles las instrucciones básicas de seguridad contra las radiaciones de RF.</w:t>
      </w:r>
    </w:p>
    <w:p w14:paraId="7597802B" w14:textId="19AA18CD" w:rsidR="0086339D" w:rsidRPr="0056409E" w:rsidRDefault="0086339D" w:rsidP="0086339D">
      <w:pPr>
        <w:rPr>
          <w:lang w:val="es-ES_tradnl"/>
        </w:rPr>
      </w:pPr>
      <w:r w:rsidRPr="0056409E">
        <w:rPr>
          <w:lang w:val="es-ES_tradnl"/>
        </w:rPr>
        <w:t>Debe considerarse la necesidad de llevar a cabo controles de exposición a RF más allá de los límites del emplazamiento, en particular cuando las tensiones inducidas en estructuras metálicas externas (grúas, puentes, edificios, etc.) puedan causar pequeñas conmociones o quemaduras. Al llevar a cabo esas comprobaciones hay que tener en cuenta la posibilidad de que aumente la intensidad de campo con la distancia, normalmente debido a la elevación del terreno. Cuando sea necesario, debe implantarse un procedimiento para supervisar las aplicaciones de planificación u otras propuestas de desarrollo.</w:t>
      </w:r>
    </w:p>
    <w:p w14:paraId="501CDB7E" w14:textId="77777777" w:rsidR="0086339D" w:rsidRPr="0056409E" w:rsidRDefault="0086339D" w:rsidP="0086339D">
      <w:pPr>
        <w:pStyle w:val="Heading2"/>
        <w:rPr>
          <w:lang w:val="es-ES_tradnl"/>
        </w:rPr>
      </w:pPr>
      <w:bookmarkStart w:id="469" w:name="_Toc65546004"/>
      <w:bookmarkStart w:id="470" w:name="_Toc65546186"/>
      <w:bookmarkStart w:id="471" w:name="_Toc65546327"/>
      <w:bookmarkStart w:id="472" w:name="_Toc86461532"/>
      <w:bookmarkStart w:id="473" w:name="_Toc162005921"/>
      <w:bookmarkStart w:id="474" w:name="_Toc162006245"/>
      <w:bookmarkStart w:id="475" w:name="_Toc162444591"/>
      <w:bookmarkStart w:id="476" w:name="_Toc162518205"/>
      <w:bookmarkStart w:id="477" w:name="_Toc162518728"/>
      <w:r w:rsidRPr="0056409E">
        <w:rPr>
          <w:lang w:val="es-ES_tradnl"/>
        </w:rPr>
        <w:t>5.2</w:t>
      </w:r>
      <w:r w:rsidRPr="0056409E">
        <w:rPr>
          <w:lang w:val="es-ES_tradnl"/>
        </w:rPr>
        <w:tab/>
        <w:t>Precauciones para controlar los peligros de la exposición indirecta</w:t>
      </w:r>
      <w:bookmarkEnd w:id="469"/>
      <w:bookmarkEnd w:id="470"/>
      <w:bookmarkEnd w:id="471"/>
      <w:bookmarkEnd w:id="472"/>
      <w:r w:rsidRPr="0056409E">
        <w:rPr>
          <w:lang w:val="es-ES_tradnl"/>
        </w:rPr>
        <w:t xml:space="preserve"> a RF</w:t>
      </w:r>
      <w:bookmarkEnd w:id="473"/>
      <w:bookmarkEnd w:id="474"/>
      <w:bookmarkEnd w:id="475"/>
      <w:bookmarkEnd w:id="476"/>
      <w:bookmarkEnd w:id="477"/>
    </w:p>
    <w:p w14:paraId="7E1D63EF" w14:textId="77777777" w:rsidR="0086339D" w:rsidRPr="0056409E" w:rsidRDefault="0086339D" w:rsidP="0086339D">
      <w:pPr>
        <w:rPr>
          <w:lang w:val="es-ES_tradnl"/>
        </w:rPr>
      </w:pPr>
      <w:r w:rsidRPr="0056409E">
        <w:rPr>
          <w:lang w:val="es-ES_tradnl"/>
        </w:rPr>
        <w:t xml:space="preserve">Los efectos indirectos de la exposición a RF, tales como los peligros de encendido de productos inflamables, pueden aparecer a niveles muy inferiores a los niveles de referencia, especialmente en las bandas de ondas kilométricas/hectométricas, y ello se debe a que los productos inflamables pueden almacenarse en un emplazamiento que cuente con estructuras conductoras asociadas, tales como conductos, que podrían actuar como una antena receptora bastante eficaz. Sin embargo los riesgos reales son escasos pero pueden afectar a plantas de procesamiento industrial, dispositivos de almacenamiento de combustible y gasolineras. No obstante, la evaluación detallada de estos riesgos no es nada sencilla. En consecuencia, el procedimiento general que se recomienda a continuación se </w:t>
      </w:r>
      <w:r w:rsidRPr="0056409E">
        <w:rPr>
          <w:lang w:val="es-ES_tradnl"/>
        </w:rPr>
        <w:lastRenderedPageBreak/>
        <w:t>basa en un proceso de eliminación progresiva. Las precauciones detalladas adoptadas deberán tener en cuenta las normas o legislación nacionales en el país correspondiente.</w:t>
      </w:r>
    </w:p>
    <w:p w14:paraId="488FCEFF" w14:textId="77777777" w:rsidR="0086339D" w:rsidRPr="0056409E" w:rsidRDefault="0086339D" w:rsidP="0086339D">
      <w:pPr>
        <w:rPr>
          <w:lang w:val="es-ES_tradnl"/>
        </w:rPr>
      </w:pPr>
      <w:r w:rsidRPr="0056409E">
        <w:rPr>
          <w:lang w:val="es-ES_tradnl"/>
        </w:rPr>
        <w:t>Debe llevarse a cabo una evaluación inicial, basada en las estimaciones del caso práctico de carácter más desfavorable, de la mínima separación necesaria para evitar dicho peligro entre un tipo particular de transmisor y una estructura conductora. El primer paso para ello consiste en calcular la mínima intensidad de campo que puede representar un peligro de encendido para las frecuencias que está utilizando el transmisor concreto. Ello es función del tipo de producto inflamable y del perímetro de cualquier recinto formado por estructuras metálicas, normalmente conductos, y puede determinarse fácilmente a partir de cuadros o gráficos. A continuación, debe hacerse una estimación de la zona vulnerable a partir de esta mínima intensidad de campo, mediante cálculo, modelado matemático o por cuadros/gráficos.</w:t>
      </w:r>
    </w:p>
    <w:p w14:paraId="5004DA30" w14:textId="77777777" w:rsidR="0086339D" w:rsidRPr="0056409E" w:rsidRDefault="0086339D" w:rsidP="0086339D">
      <w:pPr>
        <w:rPr>
          <w:lang w:val="es-ES_tradnl"/>
        </w:rPr>
      </w:pPr>
      <w:r w:rsidRPr="0056409E">
        <w:rPr>
          <w:lang w:val="es-ES_tradnl"/>
        </w:rPr>
        <w:t>Si la zona vulnerable, establecida como se ha indicado anteriormente, contiene emplazamientos en los que se almacenan productos inflamables o está previsto que pueda contener tales productos, debe realizarse una evaluación más detallada que se basará en las dimensiones reales de las estructuras metálicas, en el tipo de combustible del producto inflamable que va a almacenarse y en las mediciones de intensidad de campo. Esta evaluación detallada debe efectuarse calculando la potencia extraíble de la estructura metálica para determinar si rebasa la mínima energía de encendido del producto inflamable. De ser así, debe medirse la potencia extraíble y hay que introducir las modificaciones necesarias en la estructura así como cualquier otro dispositivo de seguridad que pueda ser preciso.</w:t>
      </w:r>
    </w:p>
    <w:p w14:paraId="65333D33" w14:textId="5DD71C84" w:rsidR="0086339D" w:rsidRPr="0056409E" w:rsidRDefault="0086339D" w:rsidP="0086339D">
      <w:pPr>
        <w:rPr>
          <w:lang w:val="es-ES_tradnl"/>
        </w:rPr>
      </w:pPr>
      <w:r w:rsidRPr="0056409E">
        <w:rPr>
          <w:lang w:val="es-ES_tradnl"/>
        </w:rPr>
        <w:t xml:space="preserve">Una categoría similar a los peligros de encendido es la posible </w:t>
      </w:r>
      <w:r w:rsidRPr="0056409E">
        <w:rPr>
          <w:b/>
          <w:bCs/>
          <w:lang w:val="es-ES_tradnl"/>
        </w:rPr>
        <w:t>detonación de materiales explosivos</w:t>
      </w:r>
      <w:r w:rsidRPr="0056409E">
        <w:rPr>
          <w:lang w:val="es-ES_tradnl"/>
        </w:rPr>
        <w:t>. Esta circunstancia se dará en raras ocasiones, pero pueden obtenerse orientaciones detalladas en directrices regionales como el documento PD CLC/TR 50426:2004 de CENELEC, que contiene una guía para la evaluación de la iniciación involuntaria de dispositivos electroexplosivos de hilo encendedor por radiación de radiofrecuencia. Otros efectos indirectos que deben considerarse incluyen las interferencias causadas a los sistemas de seguridad por vehículos, máquinas, grúas, etc. que se encuentren próximos a las estaciones transmisoras o dentro de sus límites.</w:t>
      </w:r>
    </w:p>
    <w:p w14:paraId="79BFBE97" w14:textId="77777777" w:rsidR="0086339D" w:rsidRDefault="0086339D" w:rsidP="0086339D">
      <w:pPr>
        <w:rPr>
          <w:lang w:val="es-ES_tradnl"/>
        </w:rPr>
      </w:pPr>
      <w:r w:rsidRPr="0056409E">
        <w:rPr>
          <w:lang w:val="es-ES_tradnl"/>
        </w:rPr>
        <w:t>Cuando sea necesario, deben tomarse precauciones similares, en sus principios, a las descritas en el § 5.1.2.</w:t>
      </w:r>
    </w:p>
    <w:p w14:paraId="26C8C2BB" w14:textId="77777777" w:rsidR="003C0FB7" w:rsidRDefault="003C0FB7" w:rsidP="0086339D">
      <w:pPr>
        <w:rPr>
          <w:lang w:val="es-ES_tradnl"/>
        </w:rPr>
      </w:pPr>
    </w:p>
    <w:p w14:paraId="4BFFAABB" w14:textId="3005E5B2" w:rsidR="0086339D" w:rsidRPr="0056409E" w:rsidRDefault="0086339D" w:rsidP="00532C3F">
      <w:pPr>
        <w:pStyle w:val="AnnexNoTitle"/>
        <w:rPr>
          <w:lang w:val="es-ES_tradnl"/>
        </w:rPr>
      </w:pPr>
      <w:bookmarkStart w:id="478" w:name="_Toc86461533"/>
      <w:bookmarkStart w:id="479" w:name="_Toc162006246"/>
      <w:bookmarkStart w:id="480" w:name="_Toc162444592"/>
      <w:bookmarkStart w:id="481" w:name="_Toc162518206"/>
      <w:bookmarkStart w:id="482" w:name="_Toc162518729"/>
      <w:r w:rsidRPr="0056409E">
        <w:rPr>
          <w:lang w:val="es-ES_tradnl"/>
        </w:rPr>
        <w:t>Adjunto 1</w:t>
      </w:r>
      <w:r w:rsidRPr="0056409E">
        <w:rPr>
          <w:lang w:val="es-ES_tradnl"/>
        </w:rPr>
        <w:br/>
        <w:t xml:space="preserve">al </w:t>
      </w:r>
      <w:r w:rsidRPr="00111E49">
        <w:rPr>
          <w:lang w:val="es-ES"/>
        </w:rPr>
        <w:t>Anexo</w:t>
      </w:r>
      <w:r w:rsidRPr="0056409E">
        <w:rPr>
          <w:lang w:val="es-ES_tradnl"/>
        </w:rPr>
        <w:t xml:space="preserve"> 1</w:t>
      </w:r>
      <w:r w:rsidRPr="0056409E">
        <w:rPr>
          <w:lang w:val="es-ES_tradnl"/>
        </w:rPr>
        <w:br/>
      </w:r>
      <w:r w:rsidRPr="0056409E">
        <w:rPr>
          <w:lang w:val="es-ES_tradnl"/>
        </w:rPr>
        <w:br/>
        <w:t>Ejemplos de cálculos de intensidades de campo en las</w:t>
      </w:r>
      <w:r w:rsidRPr="0056409E">
        <w:rPr>
          <w:lang w:val="es-ES_tradnl"/>
        </w:rPr>
        <w:br/>
        <w:t>proximidades de las antenas de radiodifusión</w:t>
      </w:r>
      <w:bookmarkEnd w:id="478"/>
      <w:bookmarkEnd w:id="479"/>
      <w:bookmarkEnd w:id="480"/>
      <w:bookmarkEnd w:id="481"/>
      <w:bookmarkEnd w:id="482"/>
    </w:p>
    <w:p w14:paraId="2A4595C9" w14:textId="77777777" w:rsidR="0086339D" w:rsidRPr="0056409E" w:rsidRDefault="0086339D" w:rsidP="00152FFD">
      <w:pPr>
        <w:pStyle w:val="Heading1"/>
        <w:rPr>
          <w:lang w:val="es-ES_tradnl"/>
        </w:rPr>
      </w:pPr>
      <w:bookmarkStart w:id="483" w:name="_Toc65546005"/>
      <w:bookmarkStart w:id="484" w:name="_Toc65546187"/>
      <w:bookmarkStart w:id="485" w:name="_Toc65546329"/>
      <w:bookmarkStart w:id="486" w:name="_Toc86461534"/>
      <w:bookmarkStart w:id="487" w:name="_Toc162005922"/>
      <w:bookmarkStart w:id="488" w:name="_Toc162006247"/>
      <w:bookmarkStart w:id="489" w:name="_Toc162444593"/>
      <w:bookmarkStart w:id="490" w:name="_Toc162518207"/>
      <w:bookmarkStart w:id="491" w:name="_Toc162518730"/>
      <w:r w:rsidRPr="0056409E">
        <w:rPr>
          <w:lang w:val="es-ES_tradnl"/>
        </w:rPr>
        <w:t>1</w:t>
      </w:r>
      <w:r w:rsidRPr="0056409E">
        <w:rPr>
          <w:lang w:val="es-ES_tradnl"/>
        </w:rPr>
        <w:tab/>
        <w:t>Ejemplo A – Diagramas de intensidades de campo eléctrico y magnético</w:t>
      </w:r>
      <w:bookmarkEnd w:id="483"/>
      <w:bookmarkEnd w:id="484"/>
      <w:bookmarkEnd w:id="485"/>
      <w:bookmarkEnd w:id="486"/>
      <w:bookmarkEnd w:id="487"/>
      <w:bookmarkEnd w:id="488"/>
      <w:bookmarkEnd w:id="489"/>
      <w:bookmarkEnd w:id="490"/>
      <w:bookmarkEnd w:id="491"/>
    </w:p>
    <w:p w14:paraId="4A900F4B" w14:textId="77777777" w:rsidR="0086339D" w:rsidRPr="0056409E" w:rsidRDefault="0086339D" w:rsidP="00152FFD">
      <w:pPr>
        <w:rPr>
          <w:lang w:val="es-ES_tradnl"/>
        </w:rPr>
      </w:pPr>
      <w:r w:rsidRPr="0056409E">
        <w:rPr>
          <w:lang w:val="es-ES_tradnl"/>
        </w:rPr>
        <w:t>De acuerdo con el § 3 pueden realizarse cálculos de la distribución del campo eléctrico y magnético en las proximidades de las antenas de transmisión de radiodifusión para determinar las intensidades de campo en ciertos puntos o zonas. Ello incluye especialmente la zona de campo cercano, donde la estructura del campo es generalmente muy complicada. También pueden efectuarse cálculos para determinar los contornos del campo (líneas o superficies de intensidad de campo constante) donde se respetan los valores límite pertinentes (niveles) relativos a las restricciones de campo electro</w:t>
      </w:r>
      <w:r w:rsidRPr="0056409E">
        <w:rPr>
          <w:lang w:val="es-ES_tradnl"/>
        </w:rPr>
        <w:softHyphen/>
        <w:t>magnético. De esta forma es posible (por ejemplo, a efectos de planificación), realizar una estimación de la extensión de las zonas pertinentes donde pueden o deben tomarse las medidas de protección necesarias.</w:t>
      </w:r>
    </w:p>
    <w:p w14:paraId="13A790D5" w14:textId="77777777" w:rsidR="0086339D" w:rsidRPr="0056409E" w:rsidRDefault="0086339D" w:rsidP="00152FFD">
      <w:pPr>
        <w:rPr>
          <w:lang w:val="es-ES_tradnl"/>
        </w:rPr>
      </w:pPr>
      <w:r w:rsidRPr="0056409E">
        <w:rPr>
          <w:lang w:val="es-ES_tradnl"/>
        </w:rPr>
        <w:lastRenderedPageBreak/>
        <w:t>En las siguientes Figuras se representan</w:t>
      </w:r>
      <w:r w:rsidRPr="00111E49">
        <w:rPr>
          <w:lang w:val="es-ES"/>
        </w:rPr>
        <w:t xml:space="preserve"> </w:t>
      </w:r>
      <w:r w:rsidRPr="003017C5">
        <w:rPr>
          <w:lang w:val="es-ES_tradnl"/>
        </w:rPr>
        <w:t>en forma de gráficos</w:t>
      </w:r>
      <w:r>
        <w:rPr>
          <w:lang w:val="es-ES_tradnl"/>
        </w:rPr>
        <w:t xml:space="preserve"> los resultados de </w:t>
      </w:r>
      <w:r w:rsidRPr="003017C5">
        <w:rPr>
          <w:lang w:val="es-ES_tradnl"/>
        </w:rPr>
        <w:t>algunos cálculo</w:t>
      </w:r>
      <w:r>
        <w:rPr>
          <w:lang w:val="es-ES_tradnl"/>
        </w:rPr>
        <w:t>s</w:t>
      </w:r>
      <w:r w:rsidRPr="003017C5">
        <w:rPr>
          <w:lang w:val="es-ES_tradnl"/>
        </w:rPr>
        <w:t xml:space="preserve"> </w:t>
      </w:r>
      <w:r w:rsidRPr="00056C03">
        <w:rPr>
          <w:lang w:val="es-ES_tradnl"/>
        </w:rPr>
        <w:t>realizados con ejemplos de antenas transmisoras de radiodifusión en ondas hectométricas y decamétricas.</w:t>
      </w:r>
    </w:p>
    <w:p w14:paraId="1E6BF407" w14:textId="6B92298A" w:rsidR="0086339D" w:rsidRPr="0056409E" w:rsidRDefault="0086339D" w:rsidP="00152FFD">
      <w:pPr>
        <w:rPr>
          <w:lang w:val="es-ES_tradnl"/>
        </w:rPr>
      </w:pPr>
      <w:r w:rsidRPr="0056409E">
        <w:rPr>
          <w:lang w:val="es-ES_tradnl"/>
        </w:rPr>
        <w:t xml:space="preserve">La </w:t>
      </w:r>
      <w:r w:rsidR="0042201F">
        <w:rPr>
          <w:lang w:val="es-ES_tradnl"/>
        </w:rPr>
        <w:t>Fig.</w:t>
      </w:r>
      <w:r w:rsidRPr="0056409E">
        <w:rPr>
          <w:lang w:val="es-ES_tradnl"/>
        </w:rPr>
        <w:t xml:space="preserve"> 3 ilustra una simulación de una antena direccional de ondas hectométricas; la antena está compuesta por dos mástiles de media longitud de onda de altura cada uno; uno de ellos recibe alimentación y el otro es un reflector pasivo. La </w:t>
      </w:r>
      <w:r w:rsidR="0042201F">
        <w:rPr>
          <w:lang w:val="es-ES_tradnl"/>
        </w:rPr>
        <w:t>Fig.</w:t>
      </w:r>
      <w:r w:rsidRPr="0056409E">
        <w:rPr>
          <w:lang w:val="es-ES_tradnl"/>
        </w:rPr>
        <w:t xml:space="preserve"> 3 muestra el modelo; los ejes de referencia tienen una longitud de 50 m.</w:t>
      </w:r>
    </w:p>
    <w:p w14:paraId="2E7D704F" w14:textId="77777777" w:rsidR="0086339D" w:rsidRPr="0056409E" w:rsidRDefault="0086339D" w:rsidP="0086339D">
      <w:pPr>
        <w:pStyle w:val="FigureNo"/>
        <w:rPr>
          <w:lang w:val="es-ES_tradnl"/>
        </w:rPr>
      </w:pPr>
      <w:r w:rsidRPr="0056409E">
        <w:rPr>
          <w:lang w:val="es-ES_tradnl"/>
        </w:rPr>
        <w:t>FIGURA 3</w:t>
      </w:r>
    </w:p>
    <w:p w14:paraId="1D4A5048" w14:textId="77777777" w:rsidR="0086339D" w:rsidRPr="0056409E" w:rsidRDefault="0086339D" w:rsidP="0086339D">
      <w:pPr>
        <w:pStyle w:val="Figuretitle"/>
        <w:rPr>
          <w:lang w:val="es-ES_tradnl"/>
        </w:rPr>
      </w:pPr>
      <w:r w:rsidRPr="0056409E">
        <w:rPr>
          <w:lang w:val="es-ES_tradnl"/>
        </w:rPr>
        <w:t>Simulación de una antena direccional de ondas hectométricas</w:t>
      </w:r>
    </w:p>
    <w:p w14:paraId="46F69BDE" w14:textId="77777777" w:rsidR="0086339D" w:rsidRPr="0056409E" w:rsidRDefault="0086339D" w:rsidP="0086339D">
      <w:pPr>
        <w:pStyle w:val="Figure"/>
        <w:rPr>
          <w:szCs w:val="22"/>
          <w:lang w:val="es-ES_tradnl"/>
        </w:rPr>
      </w:pPr>
      <w:r w:rsidRPr="0056409E">
        <w:rPr>
          <w:noProof/>
          <w:szCs w:val="22"/>
          <w:lang w:val="es-ES_tradnl"/>
        </w:rPr>
        <w:drawing>
          <wp:inline distT="0" distB="0" distL="0" distR="0" wp14:anchorId="60BF449C" wp14:editId="24B7F15C">
            <wp:extent cx="5327915" cy="3941072"/>
            <wp:effectExtent l="0" t="0" r="6350" b="2540"/>
            <wp:docPr id="20" name="Picture 20" descr="A picture containing line,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line, diagram, desig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27915" cy="3941072"/>
                    </a:xfrm>
                    <a:prstGeom prst="rect">
                      <a:avLst/>
                    </a:prstGeom>
                  </pic:spPr>
                </pic:pic>
              </a:graphicData>
            </a:graphic>
          </wp:inline>
        </w:drawing>
      </w:r>
    </w:p>
    <w:p w14:paraId="7DC678F3" w14:textId="12300AE4" w:rsidR="0086339D" w:rsidRPr="0056409E" w:rsidRDefault="0086339D" w:rsidP="003C0FB7">
      <w:pPr>
        <w:pStyle w:val="Normalaftertitle0"/>
        <w:rPr>
          <w:lang w:val="es-ES_tradnl"/>
        </w:rPr>
      </w:pPr>
      <w:r w:rsidRPr="0056409E">
        <w:rPr>
          <w:lang w:val="es-ES_tradnl"/>
        </w:rPr>
        <w:t xml:space="preserve">La </w:t>
      </w:r>
      <w:r w:rsidR="0042201F">
        <w:rPr>
          <w:lang w:val="es-ES_tradnl"/>
        </w:rPr>
        <w:t>Fig.</w:t>
      </w:r>
      <w:r w:rsidRPr="0056409E">
        <w:rPr>
          <w:lang w:val="es-ES_tradnl"/>
        </w:rPr>
        <w:t xml:space="preserve"> 4 muestra la intensidad del campo eléctrico calculada a 1,5 m sobre el nivel del suelo, con una entrada de 500 kW.</w:t>
      </w:r>
    </w:p>
    <w:p w14:paraId="421AF24C" w14:textId="77777777" w:rsidR="0086339D" w:rsidRPr="0056409E" w:rsidRDefault="0086339D" w:rsidP="0086339D">
      <w:pPr>
        <w:pStyle w:val="FigureNo"/>
        <w:rPr>
          <w:lang w:val="es-ES_tradnl"/>
        </w:rPr>
      </w:pPr>
      <w:r w:rsidRPr="0056409E">
        <w:rPr>
          <w:lang w:val="es-ES_tradnl"/>
        </w:rPr>
        <w:lastRenderedPageBreak/>
        <w:t>FIGURA 4</w:t>
      </w:r>
    </w:p>
    <w:p w14:paraId="1ECE165E" w14:textId="77777777" w:rsidR="0086339D" w:rsidRPr="0056409E" w:rsidRDefault="0086339D" w:rsidP="0086339D">
      <w:pPr>
        <w:pStyle w:val="Figuretitle"/>
        <w:rPr>
          <w:lang w:val="es-ES_tradnl"/>
        </w:rPr>
      </w:pPr>
      <w:r w:rsidRPr="0056409E">
        <w:rPr>
          <w:lang w:val="es-ES_tradnl"/>
        </w:rPr>
        <w:t>Intensidad del campo eléctrico calculada a 1,5 m sobre el nivel del suelo, con una entrada de 500 kW</w:t>
      </w:r>
    </w:p>
    <w:p w14:paraId="633CD5EF" w14:textId="6DB0DB76" w:rsidR="0086339D" w:rsidRPr="0056409E" w:rsidRDefault="00FA4B23" w:rsidP="0086339D">
      <w:pPr>
        <w:pStyle w:val="Figure"/>
        <w:rPr>
          <w:lang w:val="es-ES_tradnl"/>
        </w:rPr>
      </w:pPr>
      <w:r w:rsidRPr="00FA4B23">
        <w:rPr>
          <w:noProof/>
        </w:rPr>
        <w:drawing>
          <wp:inline distT="0" distB="0" distL="0" distR="0" wp14:anchorId="7AD7AECC" wp14:editId="2873632F">
            <wp:extent cx="5271770" cy="5208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1770" cy="5208270"/>
                    </a:xfrm>
                    <a:prstGeom prst="rect">
                      <a:avLst/>
                    </a:prstGeom>
                    <a:noFill/>
                    <a:ln>
                      <a:noFill/>
                    </a:ln>
                  </pic:spPr>
                </pic:pic>
              </a:graphicData>
            </a:graphic>
          </wp:inline>
        </w:drawing>
      </w:r>
    </w:p>
    <w:p w14:paraId="2FE81E19" w14:textId="14F2F6BE" w:rsidR="0086339D" w:rsidRPr="0056409E" w:rsidRDefault="0086339D" w:rsidP="003C0FB7">
      <w:pPr>
        <w:pStyle w:val="Normalaftertitle"/>
        <w:rPr>
          <w:lang w:val="es-ES_tradnl"/>
        </w:rPr>
      </w:pPr>
      <w:r w:rsidRPr="0056409E">
        <w:rPr>
          <w:lang w:val="es-ES_tradnl"/>
        </w:rPr>
        <w:t xml:space="preserve">La </w:t>
      </w:r>
      <w:r w:rsidR="0042201F">
        <w:rPr>
          <w:lang w:val="es-ES_tradnl"/>
        </w:rPr>
        <w:t>Fig.</w:t>
      </w:r>
      <w:r w:rsidRPr="0056409E">
        <w:rPr>
          <w:lang w:val="es-ES_tradnl"/>
        </w:rPr>
        <w:t xml:space="preserve"> 5 muestra la intensidad del campo magnético calculada a 1,5 m sobre el nivel de suelo, con una entrada de 500 kW.</w:t>
      </w:r>
    </w:p>
    <w:p w14:paraId="76D76A9D" w14:textId="77777777" w:rsidR="0086339D" w:rsidRPr="0056409E" w:rsidRDefault="0086339D" w:rsidP="0086339D">
      <w:pPr>
        <w:pStyle w:val="FigureNo"/>
        <w:rPr>
          <w:lang w:val="es-ES_tradnl"/>
        </w:rPr>
      </w:pPr>
      <w:r w:rsidRPr="0056409E">
        <w:rPr>
          <w:lang w:val="es-ES_tradnl"/>
        </w:rPr>
        <w:lastRenderedPageBreak/>
        <w:t>FIGURA 5</w:t>
      </w:r>
    </w:p>
    <w:p w14:paraId="4121F874" w14:textId="77777777" w:rsidR="0086339D" w:rsidRPr="0056409E" w:rsidRDefault="0086339D" w:rsidP="0086339D">
      <w:pPr>
        <w:pStyle w:val="Figuretitle"/>
        <w:rPr>
          <w:lang w:val="es-ES_tradnl"/>
        </w:rPr>
      </w:pPr>
      <w:r w:rsidRPr="0056409E">
        <w:rPr>
          <w:lang w:val="es-ES_tradnl"/>
        </w:rPr>
        <w:t>Intensidad del campo magnético calculada a 1,5 m sobre el nivel de suelo, con una entrada de 500 kW</w:t>
      </w:r>
    </w:p>
    <w:p w14:paraId="4F4557E0" w14:textId="6E8BDCD2" w:rsidR="0086339D" w:rsidRPr="0056409E" w:rsidRDefault="00034B44" w:rsidP="0086339D">
      <w:pPr>
        <w:pStyle w:val="Figure"/>
        <w:rPr>
          <w:lang w:val="es-ES_tradnl"/>
        </w:rPr>
      </w:pPr>
      <w:r w:rsidRPr="00034B44">
        <w:rPr>
          <w:noProof/>
        </w:rPr>
        <w:drawing>
          <wp:inline distT="0" distB="0" distL="0" distR="0" wp14:anchorId="20649433" wp14:editId="48653AC1">
            <wp:extent cx="5311775" cy="520827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11775" cy="5208270"/>
                    </a:xfrm>
                    <a:prstGeom prst="rect">
                      <a:avLst/>
                    </a:prstGeom>
                    <a:noFill/>
                    <a:ln>
                      <a:noFill/>
                    </a:ln>
                  </pic:spPr>
                </pic:pic>
              </a:graphicData>
            </a:graphic>
          </wp:inline>
        </w:drawing>
      </w:r>
    </w:p>
    <w:p w14:paraId="32490F22" w14:textId="519CE2DF" w:rsidR="0086339D" w:rsidRPr="0056409E" w:rsidRDefault="0086339D" w:rsidP="001E6447">
      <w:pPr>
        <w:pStyle w:val="Normalaftertitle"/>
        <w:rPr>
          <w:lang w:val="es-ES_tradnl" w:eastAsia="zh-CN"/>
        </w:rPr>
      </w:pPr>
      <w:r w:rsidRPr="0056409E">
        <w:rPr>
          <w:lang w:val="es-ES_tradnl" w:eastAsia="zh-CN"/>
        </w:rPr>
        <w:t xml:space="preserve">La </w:t>
      </w:r>
      <w:r w:rsidR="0042201F">
        <w:rPr>
          <w:lang w:val="es-ES_tradnl" w:eastAsia="zh-CN"/>
        </w:rPr>
        <w:t>Fig.</w:t>
      </w:r>
      <w:r w:rsidRPr="0056409E">
        <w:rPr>
          <w:lang w:val="es-ES_tradnl" w:eastAsia="zh-CN"/>
        </w:rPr>
        <w:t xml:space="preserve"> 6 ilustra un modelo de antena de cortina de ondas decamétricas 4/4/1 típica con un reflector aperiódico a una longitud de onda por encima del nivel del suelo (AHR(S) 4/4/1). Se distinguen cuatro filas de elementos, cada una compuesta por cuatro dipolos. En este modelo se tienen en cuenta los elementos radiantes activos de la antena, el reflector y una estructura de apoyo simplificada</w:t>
      </w:r>
      <w:r>
        <w:rPr>
          <w:lang w:val="es-ES_tradnl" w:eastAsia="zh-CN"/>
        </w:rPr>
        <w:t>. L</w:t>
      </w:r>
      <w:r w:rsidRPr="0056409E">
        <w:rPr>
          <w:lang w:val="es-ES_tradnl" w:eastAsia="zh-CN"/>
        </w:rPr>
        <w:t>os resultados que muestran el campo eléctrico y el campo magnético obtenidos se reproducen en las Figs</w:t>
      </w:r>
      <w:r w:rsidR="0042201F">
        <w:rPr>
          <w:lang w:val="es-ES_tradnl" w:eastAsia="zh-CN"/>
        </w:rPr>
        <w:t>. </w:t>
      </w:r>
      <w:r w:rsidRPr="0056409E">
        <w:rPr>
          <w:lang w:val="es-ES_tradnl" w:eastAsia="zh-CN"/>
        </w:rPr>
        <w:t>7 y 8, respectivamente, a 1,5 metros sobre el nivel del suelo. Los ejes (en verde) tienen una longitud de 50 m a título de referencia.</w:t>
      </w:r>
    </w:p>
    <w:p w14:paraId="37D64E43" w14:textId="77777777" w:rsidR="0086339D" w:rsidRPr="0056409E" w:rsidRDefault="0086339D" w:rsidP="00152FFD">
      <w:pPr>
        <w:rPr>
          <w:lang w:val="es-ES_tradnl"/>
        </w:rPr>
      </w:pPr>
      <w:r w:rsidRPr="0056409E">
        <w:rPr>
          <w:lang w:val="es-ES_tradnl"/>
        </w:rPr>
        <w:t>Obs</w:t>
      </w:r>
      <w:r>
        <w:rPr>
          <w:lang w:val="es-ES_tradnl"/>
        </w:rPr>
        <w:t>érvese</w:t>
      </w:r>
      <w:r w:rsidRPr="0056409E">
        <w:rPr>
          <w:lang w:val="es-ES_tradnl"/>
        </w:rPr>
        <w:t xml:space="preserve"> que los niveles no descienden simplemente de forma monotónica al aumentar la distancia desde el sistema.</w:t>
      </w:r>
    </w:p>
    <w:p w14:paraId="3385420C" w14:textId="77777777" w:rsidR="0086339D" w:rsidRPr="0056409E" w:rsidRDefault="0086339D" w:rsidP="0086339D">
      <w:pPr>
        <w:pStyle w:val="FigureNo"/>
        <w:rPr>
          <w:lang w:val="es-ES_tradnl"/>
        </w:rPr>
      </w:pPr>
      <w:r w:rsidRPr="0056409E">
        <w:rPr>
          <w:lang w:val="es-ES_tradnl"/>
        </w:rPr>
        <w:lastRenderedPageBreak/>
        <w:t>FigurA 6</w:t>
      </w:r>
    </w:p>
    <w:p w14:paraId="1A439ACE" w14:textId="77777777" w:rsidR="0086339D" w:rsidRPr="0056409E" w:rsidRDefault="0086339D" w:rsidP="0086339D">
      <w:pPr>
        <w:pStyle w:val="Figuretitle"/>
        <w:rPr>
          <w:lang w:val="es-ES_tradnl"/>
        </w:rPr>
      </w:pPr>
      <w:r w:rsidRPr="0056409E">
        <w:rPr>
          <w:lang w:val="es-ES_tradnl"/>
        </w:rPr>
        <w:t>Modelo de antena AHR(S) 4/4/1 típica</w:t>
      </w:r>
    </w:p>
    <w:p w14:paraId="2E969F83" w14:textId="77777777" w:rsidR="0086339D" w:rsidRPr="0056409E" w:rsidRDefault="0086339D" w:rsidP="0086339D">
      <w:pPr>
        <w:pStyle w:val="Figure"/>
        <w:rPr>
          <w:lang w:val="es-ES_tradnl"/>
        </w:rPr>
      </w:pPr>
      <w:r w:rsidRPr="0056409E">
        <w:rPr>
          <w:noProof/>
          <w:lang w:val="es-ES_tradnl"/>
        </w:rPr>
        <w:drawing>
          <wp:inline distT="0" distB="0" distL="0" distR="0" wp14:anchorId="0E03E6CE" wp14:editId="46BA28DA">
            <wp:extent cx="4288545" cy="4544577"/>
            <wp:effectExtent l="0" t="0" r="0" b="8890"/>
            <wp:docPr id="21" name="Picture 21" descr="A picture containing sketch, diagram, draw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ketch, diagram, drawing, lin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88545" cy="4544577"/>
                    </a:xfrm>
                    <a:prstGeom prst="rect">
                      <a:avLst/>
                    </a:prstGeom>
                  </pic:spPr>
                </pic:pic>
              </a:graphicData>
            </a:graphic>
          </wp:inline>
        </w:drawing>
      </w:r>
    </w:p>
    <w:p w14:paraId="637233CA" w14:textId="77777777" w:rsidR="0086339D" w:rsidRPr="0056409E" w:rsidRDefault="0086339D" w:rsidP="0086339D">
      <w:pPr>
        <w:pStyle w:val="FigureNo"/>
        <w:rPr>
          <w:lang w:val="es-ES_tradnl"/>
        </w:rPr>
      </w:pPr>
      <w:r w:rsidRPr="0056409E">
        <w:rPr>
          <w:lang w:val="es-ES_tradnl"/>
        </w:rPr>
        <w:lastRenderedPageBreak/>
        <w:t>FigurA 7</w:t>
      </w:r>
    </w:p>
    <w:p w14:paraId="2F39A600" w14:textId="23B4B04F" w:rsidR="0086339D" w:rsidRPr="0056409E" w:rsidRDefault="0086339D" w:rsidP="0086339D">
      <w:pPr>
        <w:pStyle w:val="Figuretitle"/>
        <w:rPr>
          <w:lang w:val="es-ES_tradnl"/>
        </w:rPr>
      </w:pPr>
      <w:r w:rsidRPr="0056409E">
        <w:rPr>
          <w:lang w:val="es-ES_tradnl"/>
        </w:rPr>
        <w:t xml:space="preserve">Intensidad del campo eléctrico (V/m) calculada a 1,5 m sobre el nivel del suelo; antena de cortina ARS 4/4/1 típica. </w:t>
      </w:r>
      <w:r w:rsidR="001E6447">
        <w:rPr>
          <w:lang w:val="es-ES_tradnl"/>
        </w:rPr>
        <w:br/>
      </w:r>
      <w:r w:rsidRPr="0056409E">
        <w:rPr>
          <w:lang w:val="es-ES_tradnl"/>
        </w:rPr>
        <w:t>Potencia de entrada 500 kW a 7 MHz</w:t>
      </w:r>
    </w:p>
    <w:p w14:paraId="51A20AC4" w14:textId="74C9746A" w:rsidR="0086339D" w:rsidRPr="0056409E" w:rsidRDefault="00034B44" w:rsidP="0086339D">
      <w:pPr>
        <w:pStyle w:val="Figure"/>
        <w:rPr>
          <w:lang w:val="es-ES_tradnl"/>
        </w:rPr>
      </w:pPr>
      <w:r w:rsidRPr="00034B44">
        <w:rPr>
          <w:noProof/>
        </w:rPr>
        <w:drawing>
          <wp:inline distT="0" distB="0" distL="0" distR="0" wp14:anchorId="44F52F19" wp14:editId="5B0548DF">
            <wp:extent cx="5351145" cy="50571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51145" cy="5057140"/>
                    </a:xfrm>
                    <a:prstGeom prst="rect">
                      <a:avLst/>
                    </a:prstGeom>
                    <a:noFill/>
                    <a:ln>
                      <a:noFill/>
                    </a:ln>
                  </pic:spPr>
                </pic:pic>
              </a:graphicData>
            </a:graphic>
          </wp:inline>
        </w:drawing>
      </w:r>
    </w:p>
    <w:p w14:paraId="5083E6F4" w14:textId="77777777" w:rsidR="0086339D" w:rsidRPr="0056409E" w:rsidRDefault="0086339D" w:rsidP="0086339D">
      <w:pPr>
        <w:pStyle w:val="FigureNo"/>
        <w:rPr>
          <w:lang w:val="es-ES_tradnl"/>
        </w:rPr>
      </w:pPr>
      <w:r w:rsidRPr="0056409E">
        <w:rPr>
          <w:lang w:val="es-ES_tradnl"/>
        </w:rPr>
        <w:lastRenderedPageBreak/>
        <w:t>FigurA 8</w:t>
      </w:r>
    </w:p>
    <w:p w14:paraId="6F40121A" w14:textId="00AE1359" w:rsidR="0086339D" w:rsidRPr="0056409E" w:rsidRDefault="0086339D" w:rsidP="0086339D">
      <w:pPr>
        <w:pStyle w:val="Figuretitle"/>
        <w:rPr>
          <w:lang w:val="es-ES_tradnl"/>
        </w:rPr>
      </w:pPr>
      <w:r w:rsidRPr="0056409E">
        <w:rPr>
          <w:lang w:val="es-ES_tradnl"/>
        </w:rPr>
        <w:t xml:space="preserve">Intensidad del campo magnético (A/m) calculada a 1,5 m sobre el nivel del suelo; antena de cortina ARS 4/4/1 típica. </w:t>
      </w:r>
      <w:r w:rsidR="001E6447">
        <w:rPr>
          <w:lang w:val="es-ES_tradnl"/>
        </w:rPr>
        <w:br/>
      </w:r>
      <w:r w:rsidRPr="0056409E">
        <w:rPr>
          <w:lang w:val="es-ES_tradnl"/>
        </w:rPr>
        <w:t>Potencia de entrada 500 kW a 7 MHz</w:t>
      </w:r>
    </w:p>
    <w:p w14:paraId="0657EB0F" w14:textId="3F8BAF14" w:rsidR="0086339D" w:rsidRPr="00152FFD" w:rsidRDefault="00034B44" w:rsidP="00152FFD">
      <w:pPr>
        <w:pStyle w:val="Figure"/>
        <w:rPr>
          <w:lang w:val="es-ES_tradnl"/>
        </w:rPr>
      </w:pPr>
      <w:r w:rsidRPr="00034B44">
        <w:rPr>
          <w:noProof/>
        </w:rPr>
        <w:drawing>
          <wp:inline distT="0" distB="0" distL="0" distR="0" wp14:anchorId="3E4B0181" wp14:editId="0ABAE910">
            <wp:extent cx="5351145" cy="50571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51145" cy="5057140"/>
                    </a:xfrm>
                    <a:prstGeom prst="rect">
                      <a:avLst/>
                    </a:prstGeom>
                    <a:noFill/>
                    <a:ln>
                      <a:noFill/>
                    </a:ln>
                  </pic:spPr>
                </pic:pic>
              </a:graphicData>
            </a:graphic>
          </wp:inline>
        </w:drawing>
      </w:r>
    </w:p>
    <w:p w14:paraId="75E15358" w14:textId="77777777" w:rsidR="0086339D" w:rsidRPr="0056409E" w:rsidRDefault="0086339D" w:rsidP="0086339D">
      <w:pPr>
        <w:pStyle w:val="Heading1"/>
        <w:rPr>
          <w:lang w:val="es-ES_tradnl"/>
        </w:rPr>
      </w:pPr>
      <w:bookmarkStart w:id="492" w:name="_Toc65546006"/>
      <w:bookmarkStart w:id="493" w:name="_Toc65546188"/>
      <w:bookmarkStart w:id="494" w:name="_Toc65546330"/>
      <w:bookmarkStart w:id="495" w:name="_Toc86461535"/>
      <w:bookmarkStart w:id="496" w:name="_Toc162005923"/>
      <w:bookmarkStart w:id="497" w:name="_Toc162006248"/>
      <w:bookmarkStart w:id="498" w:name="_Toc162444594"/>
      <w:bookmarkStart w:id="499" w:name="_Toc162518208"/>
      <w:bookmarkStart w:id="500" w:name="_Toc162518731"/>
      <w:r w:rsidRPr="0056409E">
        <w:rPr>
          <w:lang w:val="es-ES_tradnl"/>
        </w:rPr>
        <w:t>2</w:t>
      </w:r>
      <w:r w:rsidRPr="0056409E">
        <w:rPr>
          <w:lang w:val="es-ES_tradnl"/>
        </w:rPr>
        <w:tab/>
        <w:t>Ejemplo B – Determinación de la intensidad del campo magnético en la zona del campo cercano de las antenas de alta potencia en ondas kilométricas/hectométricas</w:t>
      </w:r>
      <w:bookmarkEnd w:id="492"/>
      <w:bookmarkEnd w:id="493"/>
      <w:bookmarkEnd w:id="494"/>
      <w:bookmarkEnd w:id="495"/>
      <w:bookmarkEnd w:id="496"/>
      <w:bookmarkEnd w:id="497"/>
      <w:bookmarkEnd w:id="498"/>
      <w:bookmarkEnd w:id="499"/>
      <w:bookmarkEnd w:id="500"/>
    </w:p>
    <w:p w14:paraId="60476050" w14:textId="77777777" w:rsidR="0086339D" w:rsidRPr="0056409E" w:rsidRDefault="0086339D" w:rsidP="00152FFD">
      <w:pPr>
        <w:rPr>
          <w:lang w:val="es-ES_tradnl"/>
        </w:rPr>
      </w:pPr>
      <w:r w:rsidRPr="0056409E">
        <w:rPr>
          <w:lang w:val="es-ES_tradnl"/>
        </w:rPr>
        <w:t xml:space="preserve">En este ejemplo se determina la intensidad del campo magnético en la zona del campo cercano en las antenas de mástil (monopolos) en ondas kilométricas y hectométricas, resolviendo la ecuación integral de Hallen. </w:t>
      </w:r>
    </w:p>
    <w:p w14:paraId="2D46B4F4" w14:textId="77777777" w:rsidR="0086339D" w:rsidRPr="0056409E" w:rsidRDefault="0086339D" w:rsidP="00152FFD">
      <w:pPr>
        <w:rPr>
          <w:lang w:val="es-ES_tradnl"/>
        </w:rPr>
      </w:pPr>
      <w:r w:rsidRPr="0056409E">
        <w:rPr>
          <w:lang w:val="es-ES_tradnl"/>
        </w:rPr>
        <w:t xml:space="preserve">En las bandas de frecuencias por debajo de 10 MHz, la relación física entre </w:t>
      </w:r>
      <w:r w:rsidRPr="0056409E">
        <w:rPr>
          <w:i/>
          <w:iCs/>
          <w:lang w:val="es-ES_tradnl"/>
        </w:rPr>
        <w:t>E</w:t>
      </w:r>
      <w:r w:rsidRPr="0056409E">
        <w:rPr>
          <w:lang w:val="es-ES_tradnl"/>
        </w:rPr>
        <w:t xml:space="preserve"> y </w:t>
      </w:r>
      <w:r w:rsidRPr="0056409E">
        <w:rPr>
          <w:i/>
          <w:iCs/>
          <w:lang w:val="es-ES_tradnl"/>
        </w:rPr>
        <w:t>H</w:t>
      </w:r>
      <w:r w:rsidRPr="0056409E">
        <w:rPr>
          <w:lang w:val="es-ES_tradnl"/>
        </w:rPr>
        <w:t xml:space="preserve"> en el CEM es mucho más compleja. Ello contrasta con las frecuencias más altas, donde el CEM tiene características del campo en la zona lejana incluso a distancias muy cortas desde la fuente de emisión y donde el concepto de densidad de potencia radiada (intensidad del vector de Poynting) es muy útil. De hecho, en la zona de campo cercano, con independencia de la frecuencia, la relación sencilla entre los campos eléctrico y magnético ya no existe: los dos campos no están en fase y su relación no es 377 </w:t>
      </w:r>
      <w:r w:rsidRPr="0056409E">
        <w:rPr>
          <w:rFonts w:ascii="Symbol" w:hAnsi="Symbol"/>
          <w:lang w:val="es-ES_tradnl"/>
        </w:rPr>
        <w:t></w:t>
      </w:r>
      <w:r w:rsidRPr="0056409E">
        <w:rPr>
          <w:lang w:val="es-ES_tradnl"/>
        </w:rPr>
        <w:t>. Sin embargo, para frecuencias tan bajas como 10 MHz o menos, la zona de campo cercano es mayor que para frecuencias más altas.</w:t>
      </w:r>
    </w:p>
    <w:p w14:paraId="0C98D0F5" w14:textId="4ACEBB8C" w:rsidR="0086339D" w:rsidRPr="0056409E" w:rsidRDefault="0086339D" w:rsidP="0086339D">
      <w:pPr>
        <w:rPr>
          <w:lang w:val="es-ES_tradnl"/>
        </w:rPr>
      </w:pPr>
      <w:r w:rsidRPr="0056409E">
        <w:rPr>
          <w:lang w:val="es-ES_tradnl"/>
        </w:rPr>
        <w:t>Evidentemente, la intensidad de campo medida dependerá del tipo de antena transmisora, de la potencia del transmisor y de la distancia desde la antena de transmisión. Por ejemplo, en el caso de la componente E transmitida a alta potencia, las intensidades de campo en un empla</w:t>
      </w:r>
      <w:r w:rsidRPr="0056409E">
        <w:rPr>
          <w:lang w:val="es-ES_tradnl"/>
        </w:rPr>
        <w:softHyphen/>
        <w:t xml:space="preserve">zamiento de ondas </w:t>
      </w:r>
      <w:r w:rsidRPr="0056409E">
        <w:rPr>
          <w:lang w:val="es-ES_tradnl"/>
        </w:rPr>
        <w:lastRenderedPageBreak/>
        <w:t xml:space="preserve">kilométricas/hectométricas típico pueden variar desde unos pocos V/m a más de 250 V/m. En las proximidades de la antena de transmisión la intensidad de campo puede ser del orden de </w:t>
      </w:r>
      <w:r w:rsidR="00152FFD">
        <w:rPr>
          <w:lang w:val="es-ES_tradnl"/>
        </w:rPr>
        <w:t>1 </w:t>
      </w:r>
      <w:r w:rsidRPr="0056409E">
        <w:rPr>
          <w:lang w:val="es-ES_tradnl"/>
        </w:rPr>
        <w:t>000 V/m.</w:t>
      </w:r>
    </w:p>
    <w:p w14:paraId="5D94F216" w14:textId="31BA500B" w:rsidR="0086339D" w:rsidRPr="0056409E" w:rsidRDefault="0086339D" w:rsidP="0086339D">
      <w:pPr>
        <w:pStyle w:val="Heading1"/>
        <w:rPr>
          <w:lang w:val="es-ES_tradnl"/>
        </w:rPr>
      </w:pPr>
      <w:bookmarkStart w:id="501" w:name="_Toc65546007"/>
      <w:bookmarkStart w:id="502" w:name="_Toc65546189"/>
      <w:bookmarkStart w:id="503" w:name="_Toc65546331"/>
      <w:bookmarkStart w:id="504" w:name="_Toc86461536"/>
      <w:bookmarkStart w:id="505" w:name="_Toc162005924"/>
      <w:bookmarkStart w:id="506" w:name="_Toc162006249"/>
      <w:bookmarkStart w:id="507" w:name="_Toc162444595"/>
      <w:bookmarkStart w:id="508" w:name="_Toc162518209"/>
      <w:bookmarkStart w:id="509" w:name="_Toc162518732"/>
      <w:r w:rsidRPr="0056409E">
        <w:rPr>
          <w:lang w:val="es-ES_tradnl"/>
        </w:rPr>
        <w:t>3</w:t>
      </w:r>
      <w:r w:rsidRPr="0056409E">
        <w:rPr>
          <w:lang w:val="es-ES_tradnl"/>
        </w:rPr>
        <w:tab/>
        <w:t>Ejemplo C – Campo electromagnético cercano de las antenas de cortina transmisoras en ondas decamétricas</w:t>
      </w:r>
      <w:bookmarkEnd w:id="501"/>
      <w:bookmarkEnd w:id="502"/>
      <w:bookmarkEnd w:id="503"/>
      <w:bookmarkEnd w:id="504"/>
      <w:bookmarkEnd w:id="505"/>
      <w:bookmarkEnd w:id="506"/>
      <w:bookmarkEnd w:id="507"/>
      <w:bookmarkEnd w:id="508"/>
      <w:bookmarkEnd w:id="509"/>
    </w:p>
    <w:p w14:paraId="361820D7" w14:textId="77777777" w:rsidR="0086339D" w:rsidRPr="0056409E" w:rsidRDefault="0086339D" w:rsidP="0086339D">
      <w:pPr>
        <w:pStyle w:val="Heading2"/>
        <w:rPr>
          <w:lang w:val="es-ES_tradnl"/>
        </w:rPr>
      </w:pPr>
      <w:bookmarkStart w:id="510" w:name="_Toc65546008"/>
      <w:bookmarkStart w:id="511" w:name="_Toc65546190"/>
      <w:bookmarkStart w:id="512" w:name="_Toc65546332"/>
      <w:bookmarkStart w:id="513" w:name="_Toc86461537"/>
      <w:bookmarkStart w:id="514" w:name="_Toc162005925"/>
      <w:bookmarkStart w:id="515" w:name="_Toc162006250"/>
      <w:bookmarkStart w:id="516" w:name="_Toc162444596"/>
      <w:bookmarkStart w:id="517" w:name="_Toc162518210"/>
      <w:bookmarkStart w:id="518" w:name="_Toc162518733"/>
      <w:r w:rsidRPr="0056409E">
        <w:rPr>
          <w:lang w:val="es-ES_tradnl"/>
        </w:rPr>
        <w:t>3.1</w:t>
      </w:r>
      <w:r w:rsidRPr="0056409E">
        <w:rPr>
          <w:lang w:val="es-ES_tradnl"/>
        </w:rPr>
        <w:tab/>
        <w:t>Introducción</w:t>
      </w:r>
      <w:bookmarkEnd w:id="510"/>
      <w:bookmarkEnd w:id="511"/>
      <w:bookmarkEnd w:id="512"/>
      <w:bookmarkEnd w:id="513"/>
      <w:bookmarkEnd w:id="514"/>
      <w:bookmarkEnd w:id="515"/>
      <w:bookmarkEnd w:id="516"/>
      <w:bookmarkEnd w:id="517"/>
      <w:bookmarkEnd w:id="518"/>
    </w:p>
    <w:p w14:paraId="56B0B2B1" w14:textId="77777777" w:rsidR="0086339D" w:rsidRPr="0056409E" w:rsidRDefault="0086339D" w:rsidP="0086339D">
      <w:pPr>
        <w:rPr>
          <w:lang w:val="es-ES_tradnl"/>
        </w:rPr>
      </w:pPr>
      <w:r w:rsidRPr="0056409E">
        <w:rPr>
          <w:lang w:val="es-ES_tradnl"/>
        </w:rPr>
        <w:t>Este ejemplo se refiere a una estructura de antena más complicada, denominada antena de cortina. Estas antenas son muy importantes para la transmisión en onda corta (alta frecuencia, ondas decamétricas) de alta potencia. Se trata, en realidad, de sistemas de dipolos horizontales dispuestos en un plano vertical.</w:t>
      </w:r>
    </w:p>
    <w:p w14:paraId="53C4214B" w14:textId="0F7F6791" w:rsidR="0086339D" w:rsidRPr="0056409E" w:rsidRDefault="0086339D" w:rsidP="0086339D">
      <w:pPr>
        <w:rPr>
          <w:lang w:val="es-ES_tradnl"/>
        </w:rPr>
      </w:pPr>
      <w:r w:rsidRPr="0056409E">
        <w:rPr>
          <w:lang w:val="es-ES_tradnl"/>
        </w:rPr>
        <w:t>La tendencia general hacia el aumento de la potencia y la ganancia de las antenas de transmisión es muy acusada en la radiodifusión en ondas decamétricas. En los grandes centros de transmisión para la prestación de cobertura a escala mundial, no es extraño registrar potencias de transmisión de hasta 500 kW y ganancias de antena (en la dirección la máxima emisión) de más de 20 dB (con respecto al dipolo de media longitud de onda). Un transmisor de 500 kW modulado al 100% (véase el Adjunto</w:t>
      </w:r>
      <w:r w:rsidR="00DF670A">
        <w:rPr>
          <w:lang w:val="es-ES_tradnl"/>
        </w:rPr>
        <w:t> </w:t>
      </w:r>
      <w:r w:rsidRPr="0056409E">
        <w:rPr>
          <w:lang w:val="es-ES_tradnl"/>
        </w:rPr>
        <w:t>4 al Anexo 1) con una antena de 20 dB de ganancia produce una potencia radiada aparente (PRA) de 75</w:t>
      </w:r>
      <w:r w:rsidR="00DF670A">
        <w:rPr>
          <w:lang w:val="es-ES_tradnl"/>
        </w:rPr>
        <w:t> </w:t>
      </w:r>
      <w:r w:rsidRPr="0056409E">
        <w:rPr>
          <w:lang w:val="es-ES_tradnl"/>
        </w:rPr>
        <w:t>MW (en la dirección de máxima emisión).</w:t>
      </w:r>
    </w:p>
    <w:p w14:paraId="263E10CA" w14:textId="77777777" w:rsidR="0086339D" w:rsidRPr="0056409E" w:rsidRDefault="0086339D" w:rsidP="0086339D">
      <w:pPr>
        <w:rPr>
          <w:lang w:val="es-ES_tradnl"/>
        </w:rPr>
      </w:pPr>
      <w:r w:rsidRPr="0056409E">
        <w:rPr>
          <w:lang w:val="es-ES_tradnl"/>
        </w:rPr>
        <w:t>En el Adjunto 5 (§ 2.1) se describe brevemente la técnica numérica que puede utilizarse para calcular los campos eléctricos y magnéticos cercanos de las antenas de alta potencia.</w:t>
      </w:r>
    </w:p>
    <w:p w14:paraId="3616E75B" w14:textId="77777777" w:rsidR="0086339D" w:rsidRPr="0056409E" w:rsidRDefault="0086339D" w:rsidP="0086339D">
      <w:pPr>
        <w:rPr>
          <w:lang w:val="es-ES_tradnl"/>
        </w:rPr>
      </w:pPr>
      <w:r w:rsidRPr="0056409E">
        <w:rPr>
          <w:lang w:val="es-ES_tradnl"/>
        </w:rPr>
        <w:t>En el § 3.2 figuran los resultados para los campos en las proximidades de antenas de cortina.</w:t>
      </w:r>
    </w:p>
    <w:p w14:paraId="27B65CF6" w14:textId="77777777" w:rsidR="0086339D" w:rsidRPr="0056409E" w:rsidRDefault="0086339D" w:rsidP="0086339D">
      <w:pPr>
        <w:pStyle w:val="Heading2"/>
        <w:rPr>
          <w:lang w:val="es-ES_tradnl"/>
        </w:rPr>
      </w:pPr>
      <w:bookmarkStart w:id="519" w:name="_Toc65546010"/>
      <w:bookmarkStart w:id="520" w:name="_Toc65546192"/>
      <w:bookmarkStart w:id="521" w:name="_Toc65546334"/>
      <w:bookmarkStart w:id="522" w:name="_Toc86461539"/>
      <w:bookmarkStart w:id="523" w:name="_Toc162005926"/>
      <w:bookmarkStart w:id="524" w:name="_Toc162006251"/>
      <w:bookmarkStart w:id="525" w:name="_Toc162444597"/>
      <w:bookmarkStart w:id="526" w:name="_Toc162518211"/>
      <w:bookmarkStart w:id="527" w:name="_Toc162518734"/>
      <w:r w:rsidRPr="0056409E">
        <w:rPr>
          <w:lang w:val="es-ES_tradnl"/>
        </w:rPr>
        <w:t>3.2</w:t>
      </w:r>
      <w:r w:rsidRPr="0056409E">
        <w:rPr>
          <w:lang w:val="es-ES_tradnl"/>
        </w:rPr>
        <w:tab/>
        <w:t>Campos eléctrico</w:t>
      </w:r>
      <w:r>
        <w:rPr>
          <w:lang w:val="es-ES_tradnl"/>
        </w:rPr>
        <w:t>s</w:t>
      </w:r>
      <w:r w:rsidRPr="0056409E">
        <w:rPr>
          <w:lang w:val="es-ES_tradnl"/>
        </w:rPr>
        <w:t xml:space="preserve"> y magnético</w:t>
      </w:r>
      <w:r>
        <w:rPr>
          <w:lang w:val="es-ES_tradnl"/>
        </w:rPr>
        <w:t>s</w:t>
      </w:r>
      <w:r w:rsidRPr="0056409E">
        <w:rPr>
          <w:lang w:val="es-ES_tradnl"/>
        </w:rPr>
        <w:t xml:space="preserve"> cercanos de las antenas de cortina</w:t>
      </w:r>
      <w:bookmarkEnd w:id="519"/>
      <w:bookmarkEnd w:id="520"/>
      <w:bookmarkEnd w:id="521"/>
      <w:bookmarkEnd w:id="522"/>
      <w:bookmarkEnd w:id="523"/>
      <w:bookmarkEnd w:id="524"/>
      <w:bookmarkEnd w:id="525"/>
      <w:bookmarkEnd w:id="526"/>
      <w:bookmarkEnd w:id="527"/>
    </w:p>
    <w:p w14:paraId="1A19071C" w14:textId="00CFD7CB" w:rsidR="0086339D" w:rsidRPr="0056409E" w:rsidRDefault="0086339D" w:rsidP="0086339D">
      <w:pPr>
        <w:rPr>
          <w:lang w:val="es-ES_tradnl"/>
        </w:rPr>
      </w:pPr>
      <w:r w:rsidRPr="0056409E">
        <w:rPr>
          <w:lang w:val="es-ES_tradnl"/>
        </w:rPr>
        <w:t xml:space="preserve">En el contexto de la difusión en ondas cortas, se utiliza una amplia gama de transmisoras de alta potencia, como los dipolos horizontales (que suelen formar un sistema directivo o cortina), las antenas rómbicas y los monopolos verticales. Los dipolos de una antena de cortina suelen ser dipolos de media onda, sencillos o plegados, alimentados por corrientes de aproximadamente la misma amplitud (pero a veces de fases distintas) para producir el diagrama de emisión deseado. La antena cuenta normalmente con un reflector pasivo que, en la mayoría de los casos, consiste en una malla de hilos (reflector aperiódico), pero también puede ser un sistema de dipolos sintonizados. Los sistemas de cortina de antenas se denominan H(R)(S) </w:t>
      </w:r>
      <w:r w:rsidRPr="0056409E">
        <w:rPr>
          <w:i/>
          <w:lang w:val="es-ES_tradnl"/>
        </w:rPr>
        <w:t>m</w:t>
      </w:r>
      <w:r w:rsidRPr="0056409E">
        <w:rPr>
          <w:lang w:val="es-ES_tradnl"/>
        </w:rPr>
        <w:t>/</w:t>
      </w:r>
      <w:r w:rsidRPr="0056409E">
        <w:rPr>
          <w:i/>
          <w:lang w:val="es-ES_tradnl"/>
        </w:rPr>
        <w:t>n</w:t>
      </w:r>
      <w:r w:rsidRPr="0056409E">
        <w:rPr>
          <w:lang w:val="es-ES_tradnl"/>
        </w:rPr>
        <w:t>/</w:t>
      </w:r>
      <w:r w:rsidRPr="0056409E">
        <w:rPr>
          <w:i/>
          <w:lang w:val="es-ES_tradnl"/>
        </w:rPr>
        <w:t>h</w:t>
      </w:r>
      <w:r w:rsidRPr="0056409E">
        <w:rPr>
          <w:lang w:val="es-ES_tradnl"/>
        </w:rPr>
        <w:t xml:space="preserve">, donde la H hace referencia a un sistema de dipolos horizontales dispuesto en un plano vertical; la R a un reflector (caso de estar presente); la S representa un desplazamiento de fase (si existe) entre las corrientes que alimentan dipolos colineales adyacentes para desplazar el acimut del haz principal; </w:t>
      </w:r>
      <w:r w:rsidRPr="0056409E">
        <w:rPr>
          <w:i/>
          <w:lang w:val="es-ES_tradnl"/>
        </w:rPr>
        <w:t>m</w:t>
      </w:r>
      <w:r w:rsidRPr="0056409E">
        <w:rPr>
          <w:lang w:val="es-ES_tradnl"/>
        </w:rPr>
        <w:t xml:space="preserve"> es el número de dipolos colineales en cada fila; </w:t>
      </w:r>
      <w:r w:rsidRPr="0056409E">
        <w:rPr>
          <w:i/>
          <w:lang w:val="es-ES_tradnl"/>
        </w:rPr>
        <w:t>n</w:t>
      </w:r>
      <w:r w:rsidRPr="0056409E">
        <w:rPr>
          <w:lang w:val="es-ES_tradnl"/>
        </w:rPr>
        <w:t xml:space="preserve"> es el número de dipolos paralelos apilados verticalmente (normalmente a una distancia de media longitud de onda), es decir número de filas; y </w:t>
      </w:r>
      <w:r w:rsidRPr="0056409E">
        <w:rPr>
          <w:i/>
          <w:lang w:val="es-ES_tradnl"/>
        </w:rPr>
        <w:t>h</w:t>
      </w:r>
      <w:r w:rsidRPr="0056409E">
        <w:rPr>
          <w:lang w:val="es-ES_tradnl"/>
        </w:rPr>
        <w:t xml:space="preserve"> es la altura sobre el suelo (en longitudes de onda) de la fila más baja. Para obtener más información al respecto, véase la Recomendación UIT-R BS.705.</w:t>
      </w:r>
    </w:p>
    <w:p w14:paraId="4D328A6C" w14:textId="77777777" w:rsidR="0086339D" w:rsidRPr="0056409E" w:rsidRDefault="0086339D" w:rsidP="0086339D">
      <w:pPr>
        <w:rPr>
          <w:lang w:val="es-ES_tradnl"/>
        </w:rPr>
      </w:pPr>
      <w:r w:rsidRPr="0056409E">
        <w:rPr>
          <w:lang w:val="es-ES_tradnl"/>
        </w:rPr>
        <w:t>Entre las excelentes propiedades que ofrecen los sistemas de antenas de cortina figura una alta ganancia (más de 20 dB), es decir, un diagrama de emisión muy directivo y capacidad de manejar altas potencias (hasta 500 kW). Por consiguiente, desempeñan un cometido muy importante en las grandes estaciones de transmisión en ondas decamétricas. El problema central en esta Recomendación tratado consiste en elaborar una técnica precisa y eficaz para evaluar los campos producidos por estas antenas.</w:t>
      </w:r>
    </w:p>
    <w:p w14:paraId="26F5357E" w14:textId="3852AB57" w:rsidR="0086339D" w:rsidRPr="0056409E" w:rsidRDefault="0086339D" w:rsidP="0086339D">
      <w:pPr>
        <w:rPr>
          <w:lang w:val="es-ES_tradnl"/>
        </w:rPr>
      </w:pPr>
      <w:r w:rsidRPr="0056409E">
        <w:rPr>
          <w:lang w:val="es-ES_tradnl"/>
        </w:rPr>
        <w:t>Las estaciones de radiodifusión en ondas decamétricas suelen disponer de un campo de antenas compuesto por antenas con polarización horizontal, a las que, en algunos casos, se suman antenas de cuadrante con características omnidireccionales. Una antena de cortina típica contiene 16 dipolos plegados, dispuestos en cuatro filas de cuatro elementos (HRS 4/4/</w:t>
      </w:r>
      <w:r w:rsidRPr="0056409E">
        <w:rPr>
          <w:i/>
          <w:lang w:val="es-ES_tradnl"/>
        </w:rPr>
        <w:t>h</w:t>
      </w:r>
      <w:r w:rsidRPr="0056409E">
        <w:rPr>
          <w:lang w:val="es-ES_tradnl"/>
        </w:rPr>
        <w:t xml:space="preserve">). Algunas antenas de cortina </w:t>
      </w:r>
      <w:r w:rsidRPr="0056409E">
        <w:rPr>
          <w:lang w:val="es-ES_tradnl"/>
        </w:rPr>
        <w:lastRenderedPageBreak/>
        <w:t xml:space="preserve">cuentan con un reflector aperiódico, constituido por finos hilos horizontales o un conjunto de dipolos sintonizados (véase la </w:t>
      </w:r>
      <w:r w:rsidR="0042201F">
        <w:rPr>
          <w:lang w:val="es-ES_tradnl"/>
        </w:rPr>
        <w:t>Fig.</w:t>
      </w:r>
      <w:r w:rsidRPr="0056409E">
        <w:rPr>
          <w:lang w:val="es-ES_tradnl"/>
        </w:rPr>
        <w:t xml:space="preserve"> 9).</w:t>
      </w:r>
    </w:p>
    <w:p w14:paraId="2811D79A" w14:textId="77777777" w:rsidR="0086339D" w:rsidRPr="0056409E" w:rsidRDefault="0086339D" w:rsidP="0086339D">
      <w:pPr>
        <w:pStyle w:val="FigureNo"/>
        <w:rPr>
          <w:lang w:val="es-ES_tradnl"/>
        </w:rPr>
      </w:pPr>
      <w:r w:rsidRPr="0056409E">
        <w:rPr>
          <w:lang w:val="es-ES_tradnl"/>
        </w:rPr>
        <w:t>FIGURA 9</w:t>
      </w:r>
    </w:p>
    <w:p w14:paraId="4F88E498" w14:textId="77777777" w:rsidR="0086339D" w:rsidRPr="0056409E" w:rsidRDefault="0086339D" w:rsidP="0086339D">
      <w:pPr>
        <w:pStyle w:val="Figuretitle"/>
        <w:rPr>
          <w:lang w:val="es-ES_tradnl"/>
        </w:rPr>
      </w:pPr>
      <w:r w:rsidRPr="0056409E">
        <w:rPr>
          <w:lang w:val="es-ES_tradnl"/>
        </w:rPr>
        <w:t xml:space="preserve">Sistemas de </w:t>
      </w:r>
      <w:r>
        <w:rPr>
          <w:lang w:val="es-ES_tradnl"/>
        </w:rPr>
        <w:t xml:space="preserve">antenas de </w:t>
      </w:r>
      <w:r w:rsidRPr="0056409E">
        <w:rPr>
          <w:lang w:val="es-ES_tradnl"/>
        </w:rPr>
        <w:t>cortina en ondas decamétricas</w:t>
      </w:r>
    </w:p>
    <w:p w14:paraId="51B67728" w14:textId="77777777" w:rsidR="0086339D" w:rsidRPr="0056409E" w:rsidRDefault="0086339D" w:rsidP="0086339D">
      <w:pPr>
        <w:pStyle w:val="Figure"/>
        <w:rPr>
          <w:lang w:val="es-ES_tradnl"/>
        </w:rPr>
      </w:pPr>
      <w:r w:rsidRPr="0056409E">
        <w:rPr>
          <w:noProof/>
          <w:lang w:val="es-ES_tradnl"/>
        </w:rPr>
        <w:drawing>
          <wp:inline distT="0" distB="0" distL="0" distR="0" wp14:anchorId="7996D470" wp14:editId="2A60D19D">
            <wp:extent cx="5218187" cy="4069088"/>
            <wp:effectExtent l="0" t="0" r="1905" b="7620"/>
            <wp:docPr id="22" name="Picture 22" descr="A picture containing sketch, drawing,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sketch, drawing, diagram, lin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218187" cy="4069088"/>
                    </a:xfrm>
                    <a:prstGeom prst="rect">
                      <a:avLst/>
                    </a:prstGeom>
                  </pic:spPr>
                </pic:pic>
              </a:graphicData>
            </a:graphic>
          </wp:inline>
        </w:drawing>
      </w:r>
    </w:p>
    <w:p w14:paraId="63671D97" w14:textId="40318125" w:rsidR="0086339D" w:rsidRPr="0056409E" w:rsidRDefault="0086339D" w:rsidP="00DF670A">
      <w:pPr>
        <w:pStyle w:val="Normalaftertitle"/>
        <w:rPr>
          <w:lang w:val="es-ES_tradnl"/>
        </w:rPr>
      </w:pPr>
      <w:r w:rsidRPr="0056409E">
        <w:rPr>
          <w:lang w:val="es-ES_tradnl"/>
        </w:rPr>
        <w:t>En algunos textos aparecen los cálculos de los campos eléctrico y magnético de las antenas de cortina en ondas decamétricas, pero todos ellos se basan en la aproximación sinusoidal de la distribución de la corriente a lo largo de los dipolos y en la hipótesis de que las corrientes que alimentan a los dipolos tienen amplitudes idénticas. El objeto de este Informe es proporcionar un análisis más riguroso utilizando una aproximación más precisa de la distribución de corrientes y teniendo en cuenta el acoplamiento entre los elementos del sistema, es decir alimentando los elementos con tensiones de igual amplitud.</w:t>
      </w:r>
    </w:p>
    <w:p w14:paraId="05E70293" w14:textId="77777777" w:rsidR="0086339D" w:rsidRPr="0056409E" w:rsidRDefault="0086339D" w:rsidP="0086339D">
      <w:pPr>
        <w:rPr>
          <w:lang w:val="es-ES_tradnl"/>
        </w:rPr>
      </w:pPr>
      <w:r w:rsidRPr="0056409E">
        <w:rPr>
          <w:lang w:val="es-ES_tradnl"/>
        </w:rPr>
        <w:t>Se demostró experimentalmente (y se confirmó teóricamente utilizando la aproximación sinusoidal para la distribución de corrientes) que aproximando el suelo real mediante un plano perfectamente conductor se obtienen resultados bastante precisos. Esta simplificación es importante, ya que permite tratar únicamente las antenas situadas por encima de un suelo perfecto. El análisis actual se realizó con dipolos sencillos en vez de dipolos plegados. Esta aproximación se realizó para obtener resultados precisos. Se considera que la longitud de un dipolo sencillo es algo inferior a media longitud de onda a la frecuencia de diseño, basándose en los datos extraídos de las propias dimensiones de las cortinas reales. La distancia entre los puntos de alimentación de las antenas adyacentes es siempre de media longitud de onda, tanto horizontal como verticalmente. La distancia entre los dipolos y el reflector es de exactamente un cuarto de longitud de onda. El reflector se modeló introduciendo imágenes nega</w:t>
      </w:r>
      <w:r w:rsidRPr="0056409E">
        <w:rPr>
          <w:lang w:val="es-ES_tradnl"/>
        </w:rPr>
        <w:softHyphen/>
        <w:t>tivas (en el plano vertical) de los dipolos originales. La distancia entre los dipolos originales y sus respectivas imágenes es, por consiguiente, de media longitud de onda.</w:t>
      </w:r>
    </w:p>
    <w:p w14:paraId="0A5A7748" w14:textId="43761728" w:rsidR="0086339D" w:rsidRPr="0056409E" w:rsidRDefault="0086339D" w:rsidP="0086339D">
      <w:pPr>
        <w:rPr>
          <w:lang w:val="es-ES_tradnl"/>
        </w:rPr>
      </w:pPr>
      <w:r w:rsidRPr="0056409E">
        <w:rPr>
          <w:lang w:val="es-ES_tradnl"/>
        </w:rPr>
        <w:lastRenderedPageBreak/>
        <w:t xml:space="preserve">Los campos eléctrico y magnético cercanos se evaluaron en la dirección del máximo del diagrama de emisión (pues se observó que el campo en la dirección de los lóbulos laterales era notablemente inferior). Los campos se determinaron para elevaciones de </w:t>
      </w:r>
      <w:r w:rsidRPr="0056409E">
        <w:rPr>
          <w:i/>
          <w:lang w:val="es-ES_tradnl"/>
        </w:rPr>
        <w:t>z</w:t>
      </w:r>
      <w:r w:rsidRPr="0056409E">
        <w:rPr>
          <w:lang w:val="es-ES_tradnl"/>
        </w:rPr>
        <w:t> </w:t>
      </w:r>
      <w:r w:rsidRPr="0056409E">
        <w:rPr>
          <w:rFonts w:ascii="Symbol" w:hAnsi="Symbol"/>
          <w:lang w:val="es-ES_tradnl"/>
        </w:rPr>
        <w:t></w:t>
      </w:r>
      <w:r w:rsidRPr="0056409E">
        <w:rPr>
          <w:lang w:val="es-ES_tradnl"/>
        </w:rPr>
        <w:t xml:space="preserve"> 2 m, </w:t>
      </w:r>
      <w:r>
        <w:rPr>
          <w:lang w:val="es-ES_tradnl"/>
        </w:rPr>
        <w:t>a fin de</w:t>
      </w:r>
      <w:r w:rsidRPr="0056409E">
        <w:rPr>
          <w:lang w:val="es-ES_tradnl"/>
        </w:rPr>
        <w:t xml:space="preserve"> evaluar los riesgos de exposición del personal de la estación de radiodifusión que puede caminar por el campo de la antena, y de </w:t>
      </w:r>
      <w:r w:rsidRPr="0056409E">
        <w:rPr>
          <w:i/>
          <w:lang w:val="es-ES_tradnl"/>
        </w:rPr>
        <w:t>z</w:t>
      </w:r>
      <w:r w:rsidRPr="0056409E">
        <w:rPr>
          <w:lang w:val="es-ES_tradnl"/>
        </w:rPr>
        <w:t> </w:t>
      </w:r>
      <w:r w:rsidRPr="0056409E">
        <w:rPr>
          <w:rFonts w:ascii="Symbol" w:hAnsi="Symbol"/>
          <w:lang w:val="es-ES_tradnl"/>
        </w:rPr>
        <w:t></w:t>
      </w:r>
      <w:r w:rsidRPr="0056409E">
        <w:rPr>
          <w:lang w:val="es-ES_tradnl"/>
        </w:rPr>
        <w:t> 5 m para la población en general, teniendo en cuenta a las personas que viven en viviendas de dos plantas.</w:t>
      </w:r>
    </w:p>
    <w:p w14:paraId="4B9EA945" w14:textId="77777777" w:rsidR="0086339D" w:rsidRPr="0056409E" w:rsidRDefault="0086339D" w:rsidP="0086339D">
      <w:pPr>
        <w:pStyle w:val="FigureNo"/>
        <w:rPr>
          <w:lang w:val="es-ES_tradnl"/>
        </w:rPr>
      </w:pPr>
      <w:r w:rsidRPr="0056409E">
        <w:rPr>
          <w:lang w:val="es-ES_tradnl"/>
        </w:rPr>
        <w:t>FIGURA 10</w:t>
      </w:r>
    </w:p>
    <w:p w14:paraId="20D0AB0A" w14:textId="098DFF2D" w:rsidR="0086339D" w:rsidRPr="0056409E" w:rsidRDefault="0086339D" w:rsidP="0086339D">
      <w:pPr>
        <w:pStyle w:val="Figuretitle"/>
        <w:rPr>
          <w:lang w:val="es-ES_tradnl"/>
        </w:rPr>
      </w:pPr>
      <w:r w:rsidRPr="0056409E">
        <w:rPr>
          <w:lang w:val="es-ES_tradnl"/>
        </w:rPr>
        <w:t xml:space="preserve">Vector de Poynting </w:t>
      </w:r>
      <w:r w:rsidR="00A055E8">
        <w:rPr>
          <w:lang w:val="es-ES_tradnl"/>
        </w:rPr>
        <w:t>«</w:t>
      </w:r>
      <w:r w:rsidRPr="0056409E">
        <w:rPr>
          <w:lang w:val="es-ES_tradnl"/>
        </w:rPr>
        <w:t>equivalente</w:t>
      </w:r>
      <w:r w:rsidR="00A055E8">
        <w:rPr>
          <w:lang w:val="es-ES_tradnl"/>
        </w:rPr>
        <w:t>»</w:t>
      </w:r>
      <w:r w:rsidRPr="0056409E">
        <w:rPr>
          <w:lang w:val="es-ES_tradnl"/>
        </w:rPr>
        <w:t xml:space="preserve"> de la antena HRS 4/4/1 cuando los dipolos están alimentados por a) corrientes idénticas y b) tensiones idénticas, y datos experimentales (curva de puntos)</w:t>
      </w:r>
    </w:p>
    <w:p w14:paraId="003E527D" w14:textId="77777777" w:rsidR="0086339D" w:rsidRPr="0056409E" w:rsidRDefault="0086339D" w:rsidP="0086339D">
      <w:pPr>
        <w:pStyle w:val="Figure"/>
        <w:rPr>
          <w:lang w:val="es-ES_tradnl"/>
        </w:rPr>
      </w:pPr>
      <w:r w:rsidRPr="0056409E">
        <w:rPr>
          <w:noProof/>
          <w:lang w:val="es-ES_tradnl"/>
        </w:rPr>
        <w:drawing>
          <wp:inline distT="0" distB="0" distL="0" distR="0" wp14:anchorId="5F563080" wp14:editId="088F8EBF">
            <wp:extent cx="4175768" cy="5541275"/>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175768" cy="5541275"/>
                    </a:xfrm>
                    <a:prstGeom prst="rect">
                      <a:avLst/>
                    </a:prstGeom>
                  </pic:spPr>
                </pic:pic>
              </a:graphicData>
            </a:graphic>
          </wp:inline>
        </w:drawing>
      </w:r>
    </w:p>
    <w:p w14:paraId="7FA5C24F" w14:textId="699163B1" w:rsidR="0086339D" w:rsidRPr="0056409E" w:rsidRDefault="0086339D" w:rsidP="00152FFD">
      <w:pPr>
        <w:rPr>
          <w:lang w:val="es-ES_tradnl"/>
        </w:rPr>
      </w:pPr>
      <w:r w:rsidRPr="0056409E">
        <w:rPr>
          <w:lang w:val="es-ES_tradnl"/>
        </w:rPr>
        <w:t>Los resultados de los análisis se compararon en primer lugar con los resultados para una antena HRS</w:t>
      </w:r>
      <w:r w:rsidR="00DF670A">
        <w:rPr>
          <w:lang w:val="es-ES_tradnl"/>
        </w:rPr>
        <w:t> </w:t>
      </w:r>
      <w:r w:rsidRPr="0056409E">
        <w:rPr>
          <w:lang w:val="es-ES_tradnl"/>
        </w:rPr>
        <w:t xml:space="preserve">4/4/1. La frecuencia de funcionamiento de la antena fue 15,245 MHz y la potencia de alimentación 500 kW. La </w:t>
      </w:r>
      <w:r w:rsidR="0042201F">
        <w:rPr>
          <w:lang w:val="es-ES_tradnl"/>
        </w:rPr>
        <w:t>Fig.</w:t>
      </w:r>
      <w:r w:rsidRPr="0056409E">
        <w:rPr>
          <w:lang w:val="es-ES_tradnl"/>
        </w:rPr>
        <w:t xml:space="preserve"> 10a) muestra los resultados para el vector de Poynting «equivalente», cuando se supone que los dipolos están alimentados por corrientes idénticas. La </w:t>
      </w:r>
      <w:r w:rsidR="0042201F">
        <w:rPr>
          <w:lang w:val="es-ES_tradnl"/>
        </w:rPr>
        <w:t>Fig.</w:t>
      </w:r>
      <w:r w:rsidRPr="0056409E">
        <w:rPr>
          <w:lang w:val="es-ES_tradnl"/>
        </w:rPr>
        <w:t xml:space="preserve"> 10b) muestra los mismos resultados pero considerando que los dipolos están alimentados por tensiones idénticas junto con los datos medidos para </w:t>
      </w:r>
      <w:r w:rsidRPr="0056409E">
        <w:rPr>
          <w:i/>
          <w:lang w:val="es-ES_tradnl"/>
        </w:rPr>
        <w:t>z </w:t>
      </w:r>
      <w:r w:rsidRPr="0056409E">
        <w:rPr>
          <w:rFonts w:ascii="Symbol" w:hAnsi="Symbol"/>
          <w:lang w:val="es-ES_tradnl"/>
        </w:rPr>
        <w:t></w:t>
      </w:r>
      <w:r w:rsidRPr="0056409E">
        <w:rPr>
          <w:lang w:val="es-ES_tradnl"/>
        </w:rPr>
        <w:t xml:space="preserve"> 2 m. La similitud entre los datos teóricos y experimentales es bastante elevada. Es evidente que alimentando la antena con tensiones iguales se obtiene una mejor predicción del campo real, en particular cerca de la depresión del gráfico a una distancia de 70 m de la antena. </w:t>
      </w:r>
    </w:p>
    <w:p w14:paraId="151C558D" w14:textId="77777777" w:rsidR="0086339D" w:rsidRPr="0056409E" w:rsidRDefault="0086339D" w:rsidP="0086339D">
      <w:pPr>
        <w:pStyle w:val="Heading1"/>
        <w:rPr>
          <w:lang w:val="es-ES_tradnl"/>
        </w:rPr>
      </w:pPr>
      <w:bookmarkStart w:id="528" w:name="_Toc65546011"/>
      <w:bookmarkStart w:id="529" w:name="_Toc65546193"/>
      <w:bookmarkStart w:id="530" w:name="_Toc65546335"/>
      <w:bookmarkStart w:id="531" w:name="_Toc86461540"/>
      <w:bookmarkStart w:id="532" w:name="_Toc162005927"/>
      <w:bookmarkStart w:id="533" w:name="_Toc162006252"/>
      <w:bookmarkStart w:id="534" w:name="_Toc162444598"/>
      <w:bookmarkStart w:id="535" w:name="_Toc162518212"/>
      <w:bookmarkStart w:id="536" w:name="_Toc162518735"/>
      <w:r w:rsidRPr="0056409E">
        <w:rPr>
          <w:lang w:val="es-ES_tradnl"/>
        </w:rPr>
        <w:lastRenderedPageBreak/>
        <w:t>4</w:t>
      </w:r>
      <w:r w:rsidRPr="0056409E">
        <w:rPr>
          <w:lang w:val="es-ES_tradnl"/>
        </w:rPr>
        <w:tab/>
        <w:t>Conclusiones</w:t>
      </w:r>
      <w:bookmarkEnd w:id="528"/>
      <w:bookmarkEnd w:id="529"/>
      <w:bookmarkEnd w:id="530"/>
      <w:bookmarkEnd w:id="531"/>
      <w:bookmarkEnd w:id="532"/>
      <w:bookmarkEnd w:id="533"/>
      <w:bookmarkEnd w:id="534"/>
      <w:bookmarkEnd w:id="535"/>
      <w:bookmarkEnd w:id="536"/>
    </w:p>
    <w:p w14:paraId="7B0AB7A5" w14:textId="77777777" w:rsidR="0086339D" w:rsidRDefault="0086339D" w:rsidP="0086339D">
      <w:pPr>
        <w:rPr>
          <w:lang w:val="es-ES_tradnl"/>
        </w:rPr>
      </w:pPr>
      <w:r w:rsidRPr="0056409E">
        <w:rPr>
          <w:lang w:val="es-ES_tradnl"/>
        </w:rPr>
        <w:t>Se han investigado teóricamente los campos eléctrico y magnético cercanos en las proximidades de antenas de cortina transmisoras de alta potencia en ondas decamétricas. También se han determinado las zonas de seguridad para los seres humanos en las proximidades de esas antenas. Los resultados obtenidos en el cálculo de los campos cercanos de las antenas de cortina se presentan utilizando una teoría rigurosa y concuerdan en gran medida con los datos experimentales publicados en otros textos.</w:t>
      </w:r>
    </w:p>
    <w:p w14:paraId="6E178D0F" w14:textId="77777777" w:rsidR="00DF670A" w:rsidRDefault="00DF670A" w:rsidP="0086339D">
      <w:pPr>
        <w:rPr>
          <w:lang w:val="es-ES_tradnl"/>
        </w:rPr>
      </w:pPr>
    </w:p>
    <w:p w14:paraId="4FEA9F89" w14:textId="77777777" w:rsidR="00DF670A" w:rsidRPr="0056409E" w:rsidRDefault="00DF670A" w:rsidP="0086339D">
      <w:pPr>
        <w:rPr>
          <w:lang w:val="es-ES_tradnl"/>
        </w:rPr>
      </w:pPr>
    </w:p>
    <w:p w14:paraId="65342256" w14:textId="01F96597" w:rsidR="0086339D" w:rsidRPr="0056409E" w:rsidRDefault="0086339D" w:rsidP="00532C3F">
      <w:pPr>
        <w:pStyle w:val="AnnexNoTitle"/>
        <w:rPr>
          <w:lang w:val="es-ES_tradnl"/>
        </w:rPr>
      </w:pPr>
      <w:bookmarkStart w:id="537" w:name="_Toc65546336"/>
      <w:bookmarkStart w:id="538" w:name="_Toc86461541"/>
      <w:bookmarkStart w:id="539" w:name="_Toc162006253"/>
      <w:bookmarkStart w:id="540" w:name="_Toc162444599"/>
      <w:bookmarkStart w:id="541" w:name="_Toc162518213"/>
      <w:bookmarkStart w:id="542" w:name="_Toc162518736"/>
      <w:r w:rsidRPr="00111E49">
        <w:rPr>
          <w:lang w:val="es-ES"/>
        </w:rPr>
        <w:t>Adjunto</w:t>
      </w:r>
      <w:r w:rsidRPr="009A53C5">
        <w:rPr>
          <w:lang w:val="es-ES_tradnl"/>
        </w:rPr>
        <w:t xml:space="preserve"> 2</w:t>
      </w:r>
      <w:r w:rsidRPr="009A53C5">
        <w:rPr>
          <w:lang w:val="es-ES_tradnl"/>
        </w:rPr>
        <w:br/>
        <w:t>al Anexo 1</w:t>
      </w:r>
      <w:r w:rsidRPr="009A53C5">
        <w:rPr>
          <w:lang w:val="es-ES_tradnl"/>
        </w:rPr>
        <w:br/>
      </w:r>
      <w:r w:rsidRPr="009A53C5">
        <w:rPr>
          <w:lang w:val="es-ES_tradnl"/>
        </w:rPr>
        <w:br/>
        <w:t>Comparaciones entre predicciones y mediciones</w:t>
      </w:r>
      <w:bookmarkEnd w:id="537"/>
      <w:bookmarkEnd w:id="538"/>
      <w:bookmarkEnd w:id="539"/>
      <w:bookmarkEnd w:id="540"/>
      <w:bookmarkEnd w:id="541"/>
      <w:bookmarkEnd w:id="542"/>
    </w:p>
    <w:p w14:paraId="1C161E94" w14:textId="77777777" w:rsidR="0086339D" w:rsidRPr="0056409E" w:rsidRDefault="0086339D" w:rsidP="0086339D">
      <w:pPr>
        <w:pStyle w:val="Heading1"/>
        <w:rPr>
          <w:lang w:val="es-ES_tradnl"/>
        </w:rPr>
      </w:pPr>
      <w:bookmarkStart w:id="543" w:name="_Toc65546012"/>
      <w:bookmarkStart w:id="544" w:name="_Toc65546194"/>
      <w:bookmarkStart w:id="545" w:name="_Toc65546337"/>
      <w:bookmarkStart w:id="546" w:name="_Toc86461542"/>
      <w:bookmarkStart w:id="547" w:name="_Toc162005928"/>
      <w:bookmarkStart w:id="548" w:name="_Toc162006254"/>
      <w:bookmarkStart w:id="549" w:name="_Toc162444600"/>
      <w:bookmarkStart w:id="550" w:name="_Toc162518214"/>
      <w:bookmarkStart w:id="551" w:name="_Toc162518737"/>
      <w:r w:rsidRPr="0056409E">
        <w:rPr>
          <w:lang w:val="es-ES_tradnl"/>
        </w:rPr>
        <w:t>1</w:t>
      </w:r>
      <w:r w:rsidRPr="0056409E">
        <w:rPr>
          <w:lang w:val="es-ES_tradnl"/>
        </w:rPr>
        <w:tab/>
        <w:t>Introducción</w:t>
      </w:r>
      <w:bookmarkEnd w:id="543"/>
      <w:bookmarkEnd w:id="544"/>
      <w:bookmarkEnd w:id="545"/>
      <w:bookmarkEnd w:id="546"/>
      <w:bookmarkEnd w:id="547"/>
      <w:bookmarkEnd w:id="548"/>
      <w:bookmarkEnd w:id="549"/>
      <w:bookmarkEnd w:id="550"/>
      <w:bookmarkEnd w:id="551"/>
    </w:p>
    <w:p w14:paraId="179FC55F" w14:textId="77777777" w:rsidR="0086339D" w:rsidRPr="0056409E" w:rsidRDefault="0086339D" w:rsidP="0086339D">
      <w:pPr>
        <w:rPr>
          <w:lang w:val="es-ES_tradnl"/>
        </w:rPr>
      </w:pPr>
      <w:r w:rsidRPr="0056409E">
        <w:rPr>
          <w:lang w:val="es-ES_tradnl"/>
        </w:rPr>
        <w:t>Distintos miembros del personal han llevado a cabo simulaciones y mediciones de forma independiente, para evitar influencias recíprocas en los trabajos y en los resultados.</w:t>
      </w:r>
    </w:p>
    <w:p w14:paraId="67638A6D" w14:textId="77777777" w:rsidR="0086339D" w:rsidRPr="0056409E" w:rsidRDefault="0086339D" w:rsidP="0086339D">
      <w:pPr>
        <w:rPr>
          <w:lang w:val="es-ES_tradnl"/>
        </w:rPr>
      </w:pPr>
      <w:r w:rsidRPr="0056409E">
        <w:rPr>
          <w:lang w:val="es-ES_tradnl"/>
        </w:rPr>
        <w:t>El sistema de antena sólo ha sido parcialmente simulado por ser particularmente complejo (véase el modelo de antena en el § 1.1).</w:t>
      </w:r>
    </w:p>
    <w:p w14:paraId="70C26B49" w14:textId="21E398F8" w:rsidR="0086339D" w:rsidRPr="0056409E" w:rsidRDefault="0086339D" w:rsidP="0086339D">
      <w:pPr>
        <w:rPr>
          <w:lang w:val="es-ES_tradnl"/>
        </w:rPr>
      </w:pPr>
      <w:r w:rsidRPr="0056409E">
        <w:rPr>
          <w:lang w:val="es-ES_tradnl"/>
        </w:rPr>
        <w:t>Las mediciones y predicciones se realizaron sobre un sistema de antenas, representado en las Figs</w:t>
      </w:r>
      <w:r w:rsidR="0042201F">
        <w:rPr>
          <w:lang w:val="es-ES_tradnl"/>
        </w:rPr>
        <w:t>.</w:t>
      </w:r>
      <w:r w:rsidRPr="0056409E">
        <w:rPr>
          <w:lang w:val="es-ES_tradnl"/>
        </w:rPr>
        <w:t> 11 y 12, capaz de funcionar correctamente en las bandas de onda corta. Las comparaciones se realizaron a 13 MHz y 18 MHz.</w:t>
      </w:r>
    </w:p>
    <w:p w14:paraId="6D9ABABD" w14:textId="77777777" w:rsidR="0086339D" w:rsidRPr="0056409E" w:rsidRDefault="0086339D" w:rsidP="0086339D">
      <w:pPr>
        <w:pStyle w:val="FigureNo"/>
        <w:rPr>
          <w:lang w:val="es-ES_tradnl"/>
        </w:rPr>
      </w:pPr>
      <w:bookmarkStart w:id="552" w:name="_Toc65546013"/>
      <w:bookmarkStart w:id="553" w:name="_Toc65546195"/>
      <w:bookmarkStart w:id="554" w:name="_Toc65546338"/>
      <w:bookmarkStart w:id="555" w:name="_Toc86461543"/>
      <w:r w:rsidRPr="0056409E">
        <w:rPr>
          <w:lang w:val="es-ES_tradnl"/>
        </w:rPr>
        <w:lastRenderedPageBreak/>
        <w:t>FIGURA 11</w:t>
      </w:r>
    </w:p>
    <w:p w14:paraId="63FAE22A" w14:textId="77777777" w:rsidR="0086339D" w:rsidRPr="0056409E" w:rsidRDefault="0086339D" w:rsidP="0086339D">
      <w:pPr>
        <w:pStyle w:val="Figuretitle"/>
        <w:rPr>
          <w:lang w:val="es-ES_tradnl"/>
        </w:rPr>
      </w:pPr>
      <w:r w:rsidRPr="0056409E">
        <w:rPr>
          <w:lang w:val="es-ES_tradnl"/>
        </w:rPr>
        <w:t>Ejemplo de sistema de antenas en ondas decamétricas</w:t>
      </w:r>
    </w:p>
    <w:p w14:paraId="2AC348B0" w14:textId="77777777" w:rsidR="0086339D" w:rsidRPr="0056409E" w:rsidRDefault="0086339D" w:rsidP="0086339D">
      <w:pPr>
        <w:pStyle w:val="Figure"/>
        <w:rPr>
          <w:lang w:val="es-ES_tradnl"/>
        </w:rPr>
      </w:pPr>
      <w:r w:rsidRPr="0056409E">
        <w:rPr>
          <w:noProof/>
          <w:lang w:val="es-ES_tradnl"/>
        </w:rPr>
        <w:drawing>
          <wp:inline distT="0" distB="0" distL="0" distR="0" wp14:anchorId="0663EC9D" wp14:editId="4278F17E">
            <wp:extent cx="5919228" cy="4239777"/>
            <wp:effectExtent l="0" t="0" r="571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19228" cy="4239777"/>
                    </a:xfrm>
                    <a:prstGeom prst="rect">
                      <a:avLst/>
                    </a:prstGeom>
                  </pic:spPr>
                </pic:pic>
              </a:graphicData>
            </a:graphic>
          </wp:inline>
        </w:drawing>
      </w:r>
    </w:p>
    <w:p w14:paraId="090C190C" w14:textId="173021E5" w:rsidR="0086339D" w:rsidRPr="0056409E" w:rsidRDefault="0086339D" w:rsidP="0086339D">
      <w:pPr>
        <w:pStyle w:val="Heading2"/>
        <w:rPr>
          <w:lang w:val="es-ES_tradnl"/>
        </w:rPr>
      </w:pPr>
      <w:bookmarkStart w:id="556" w:name="_Toc162005929"/>
      <w:bookmarkStart w:id="557" w:name="_Toc162006255"/>
      <w:bookmarkStart w:id="558" w:name="_Toc162444601"/>
      <w:bookmarkStart w:id="559" w:name="_Toc162518215"/>
      <w:bookmarkStart w:id="560" w:name="_Toc162518738"/>
      <w:r w:rsidRPr="0056409E">
        <w:rPr>
          <w:lang w:val="es-ES_tradnl"/>
        </w:rPr>
        <w:t>1.1</w:t>
      </w:r>
      <w:r w:rsidRPr="0056409E">
        <w:rPr>
          <w:lang w:val="es-ES_tradnl"/>
        </w:rPr>
        <w:tab/>
        <w:t>Modelo utilizado para el sistema de antenas</w:t>
      </w:r>
      <w:bookmarkEnd w:id="552"/>
      <w:bookmarkEnd w:id="553"/>
      <w:bookmarkEnd w:id="554"/>
      <w:bookmarkEnd w:id="555"/>
      <w:bookmarkEnd w:id="556"/>
      <w:bookmarkEnd w:id="557"/>
      <w:bookmarkEnd w:id="558"/>
      <w:bookmarkEnd w:id="559"/>
      <w:bookmarkEnd w:id="560"/>
    </w:p>
    <w:p w14:paraId="30299057" w14:textId="2698025B" w:rsidR="0086339D" w:rsidRPr="0056409E" w:rsidRDefault="0086339D" w:rsidP="0086339D">
      <w:pPr>
        <w:rPr>
          <w:lang w:val="es-ES_tradnl"/>
        </w:rPr>
      </w:pPr>
      <w:r w:rsidRPr="0056409E">
        <w:rPr>
          <w:lang w:val="es-ES_tradnl"/>
        </w:rPr>
        <w:t>El sistema de antenas, mostrado en la Fig</w:t>
      </w:r>
      <w:r w:rsidR="0042201F">
        <w:rPr>
          <w:lang w:val="es-ES_tradnl"/>
        </w:rPr>
        <w:t>.</w:t>
      </w:r>
      <w:r w:rsidRPr="0056409E">
        <w:rPr>
          <w:lang w:val="es-ES_tradnl"/>
        </w:rPr>
        <w:t xml:space="preserve"> 12, está constituido por un conjunto de 16 dipolos plegados con polarización horizontal situados frente a un reflector constituido por una red de hilos. Los dipolos están alimentados por líneas bifilares que constituyen una red de adaptación de impedancia compleja; todas las líneas bifilares de la red de adaptación de impedancia, representadas en la </w:t>
      </w:r>
      <w:r w:rsidR="0042201F">
        <w:rPr>
          <w:lang w:val="es-ES_tradnl"/>
        </w:rPr>
        <w:t>Fig.</w:t>
      </w:r>
      <w:r w:rsidRPr="0056409E">
        <w:rPr>
          <w:lang w:val="es-ES_tradnl"/>
        </w:rPr>
        <w:t> 10, son principalmente verticales (sentido ortogonal a los dipolos); algunas líneas horizontales son relativamente cortas y ortogonales tanto a los dipolos como a los alimentadores a lo largo de la dirección de propagación. En la base de la antena se encuentran otras líneas bifilares utilizadas para dividir la potencia de RF entre las cuatro «columnas» de dipolos.</w:t>
      </w:r>
    </w:p>
    <w:p w14:paraId="45932F2C" w14:textId="77777777" w:rsidR="0086339D" w:rsidRPr="0056409E" w:rsidRDefault="0086339D" w:rsidP="0086339D">
      <w:pPr>
        <w:pStyle w:val="FigureNo"/>
        <w:rPr>
          <w:lang w:val="es-ES_tradnl"/>
        </w:rPr>
      </w:pPr>
      <w:r w:rsidRPr="0056409E">
        <w:rPr>
          <w:lang w:val="es-ES_tradnl"/>
        </w:rPr>
        <w:lastRenderedPageBreak/>
        <w:t>FIGURA 12</w:t>
      </w:r>
    </w:p>
    <w:p w14:paraId="3A859575" w14:textId="77777777" w:rsidR="0086339D" w:rsidRPr="0056409E" w:rsidRDefault="0086339D" w:rsidP="0086339D">
      <w:pPr>
        <w:pStyle w:val="Figuretitle"/>
        <w:rPr>
          <w:lang w:val="es-ES_tradnl"/>
        </w:rPr>
      </w:pPr>
      <w:r w:rsidRPr="0056409E">
        <w:rPr>
          <w:lang w:val="es-ES_tradnl"/>
        </w:rPr>
        <w:t>Vista detallada de los elementos de radiación y parte de la red de adaptación</w:t>
      </w:r>
    </w:p>
    <w:p w14:paraId="31C3879D" w14:textId="77777777" w:rsidR="0086339D" w:rsidRPr="0056409E" w:rsidRDefault="0086339D" w:rsidP="0086339D">
      <w:pPr>
        <w:pStyle w:val="Figure"/>
        <w:rPr>
          <w:lang w:val="es-ES_tradnl"/>
        </w:rPr>
      </w:pPr>
      <w:r w:rsidRPr="0056409E">
        <w:rPr>
          <w:noProof/>
          <w:lang w:val="es-ES_tradnl"/>
        </w:rPr>
        <w:drawing>
          <wp:inline distT="0" distB="0" distL="0" distR="0" wp14:anchorId="34D539ED" wp14:editId="731C1A0D">
            <wp:extent cx="6120765" cy="4406900"/>
            <wp:effectExtent l="0" t="0" r="0" b="0"/>
            <wp:docPr id="26" name="Picture 26" descr="A picture containing sky, outdoor, tower,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sky, outdoor, tower, antenna&#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20765" cy="4406900"/>
                    </a:xfrm>
                    <a:prstGeom prst="rect">
                      <a:avLst/>
                    </a:prstGeom>
                  </pic:spPr>
                </pic:pic>
              </a:graphicData>
            </a:graphic>
          </wp:inline>
        </w:drawing>
      </w:r>
    </w:p>
    <w:p w14:paraId="2B2167E1" w14:textId="6F63B65B" w:rsidR="0086339D" w:rsidRPr="0056409E" w:rsidRDefault="0086339D" w:rsidP="00D30FAB">
      <w:pPr>
        <w:pStyle w:val="Normalaftertitle"/>
        <w:rPr>
          <w:lang w:val="es-ES_tradnl"/>
        </w:rPr>
      </w:pPr>
      <w:r w:rsidRPr="0056409E">
        <w:rPr>
          <w:lang w:val="es-ES_tradnl"/>
        </w:rPr>
        <w:t xml:space="preserve">Para simplificar el modelo y evitar detalles innecesarios que alargarían demasiado el tiempo de cálculo, todo el sistema debe modelarse como un sencillo sistema de 16 dipolos, representado en la </w:t>
      </w:r>
      <w:r w:rsidR="0042201F">
        <w:rPr>
          <w:lang w:val="es-ES_tradnl"/>
        </w:rPr>
        <w:t>Fig.</w:t>
      </w:r>
      <w:r w:rsidRPr="0056409E">
        <w:rPr>
          <w:lang w:val="es-ES_tradnl"/>
        </w:rPr>
        <w:t> 13, en el que cada uno de los dipolos es alimentado por su propio generador de tensión adecua</w:t>
      </w:r>
      <w:r w:rsidRPr="0056409E">
        <w:rPr>
          <w:lang w:val="es-ES_tradnl"/>
        </w:rPr>
        <w:softHyphen/>
        <w:t>damente desfasado con respecto a los demás y sin necesidad de modular la red de adaptación/ alimentación. Además, cada dipolo plegado, compuesto por dos hilos paralelos plegados en los bordes, se ha modelado como un solo dipolo plegado de hilo, de sección representativa adecuada para obtener un valor de impedancia idéntico.</w:t>
      </w:r>
    </w:p>
    <w:p w14:paraId="3B9AE593" w14:textId="524CA1C3" w:rsidR="0086339D" w:rsidRPr="0056409E" w:rsidRDefault="0086339D" w:rsidP="00434404">
      <w:pPr>
        <w:rPr>
          <w:lang w:val="es-ES_tradnl"/>
        </w:rPr>
      </w:pPr>
      <w:r w:rsidRPr="0056409E">
        <w:rPr>
          <w:lang w:val="es-ES_tradnl"/>
        </w:rPr>
        <w:t xml:space="preserve">Por último, cada dipolo aparece representado por 24 segmentos, cada uno de una longitud no superior a </w:t>
      </w:r>
      <w:r w:rsidRPr="0056409E">
        <w:rPr>
          <w:i/>
          <w:iCs/>
          <w:position w:val="-6"/>
          <w:lang w:val="es-ES_tradnl"/>
        </w:rPr>
        <w:object w:dxaOrig="200" w:dyaOrig="279" w14:anchorId="397D6010">
          <v:shape id="_x0000_i1225" type="#_x0000_t75" style="width:11.55pt;height:14.25pt" o:ole="">
            <v:imagedata r:id="rId59" o:title=""/>
          </v:shape>
          <o:OLEObject Type="Embed" ProgID="Equation.3" ShapeID="_x0000_i1225" DrawAspect="Content" ObjectID="_1773141090" r:id="rId60"/>
        </w:object>
      </w:r>
      <w:r w:rsidRPr="0056409E">
        <w:rPr>
          <w:lang w:val="es-ES_tradnl"/>
        </w:rPr>
        <w:t xml:space="preserve">/20, según se indica en la </w:t>
      </w:r>
      <w:r w:rsidR="0042201F">
        <w:rPr>
          <w:lang w:val="es-ES_tradnl"/>
        </w:rPr>
        <w:t>Fig.</w:t>
      </w:r>
      <w:r w:rsidRPr="0056409E">
        <w:rPr>
          <w:lang w:val="es-ES_tradnl"/>
        </w:rPr>
        <w:t xml:space="preserve"> 14.</w:t>
      </w:r>
    </w:p>
    <w:p w14:paraId="40661324" w14:textId="73271512" w:rsidR="0086339D" w:rsidRPr="0056409E" w:rsidRDefault="0086339D" w:rsidP="0086339D">
      <w:pPr>
        <w:pStyle w:val="Heading2"/>
        <w:rPr>
          <w:lang w:val="es-ES_tradnl"/>
        </w:rPr>
      </w:pPr>
      <w:bookmarkStart w:id="561" w:name="_Toc65546014"/>
      <w:bookmarkStart w:id="562" w:name="_Toc65546196"/>
      <w:bookmarkStart w:id="563" w:name="_Toc65546339"/>
      <w:bookmarkStart w:id="564" w:name="_Toc86461544"/>
      <w:bookmarkStart w:id="565" w:name="_Toc162005930"/>
      <w:bookmarkStart w:id="566" w:name="_Toc162006256"/>
      <w:bookmarkStart w:id="567" w:name="_Toc162444602"/>
      <w:bookmarkStart w:id="568" w:name="_Toc162518216"/>
      <w:bookmarkStart w:id="569" w:name="_Toc162518739"/>
      <w:r w:rsidRPr="0056409E">
        <w:rPr>
          <w:lang w:val="es-ES_tradnl"/>
        </w:rPr>
        <w:t>1.2</w:t>
      </w:r>
      <w:r w:rsidRPr="0056409E">
        <w:rPr>
          <w:lang w:val="es-ES_tradnl"/>
        </w:rPr>
        <w:tab/>
        <w:t>Ventajas y limitaciones del modelo del sistema de antenas</w:t>
      </w:r>
      <w:bookmarkEnd w:id="561"/>
      <w:bookmarkEnd w:id="562"/>
      <w:bookmarkEnd w:id="563"/>
      <w:bookmarkEnd w:id="564"/>
      <w:bookmarkEnd w:id="565"/>
      <w:bookmarkEnd w:id="566"/>
      <w:bookmarkEnd w:id="567"/>
      <w:bookmarkEnd w:id="568"/>
      <w:bookmarkEnd w:id="569"/>
    </w:p>
    <w:p w14:paraId="26F924A5" w14:textId="77777777" w:rsidR="0086339D" w:rsidRPr="0056409E" w:rsidRDefault="0086339D" w:rsidP="0086339D">
      <w:pPr>
        <w:rPr>
          <w:lang w:val="es-ES_tradnl"/>
        </w:rPr>
      </w:pPr>
      <w:r w:rsidRPr="0056409E">
        <w:rPr>
          <w:lang w:val="es-ES_tradnl"/>
        </w:rPr>
        <w:t>La ventaja más importante es la extrema sencillez del modelo realizado, en comparación con la complejidad del sistema de antenas real. Gracias a este modelo es posible lograr un tiempo de cálculo relativamente bajo.</w:t>
      </w:r>
    </w:p>
    <w:p w14:paraId="3EFF9C3E" w14:textId="0B859A62" w:rsidR="0086339D" w:rsidRPr="0056409E" w:rsidRDefault="0086339D" w:rsidP="0086339D">
      <w:pPr>
        <w:rPr>
          <w:lang w:val="es-ES_tradnl"/>
        </w:rPr>
      </w:pPr>
      <w:r w:rsidRPr="0056409E">
        <w:rPr>
          <w:lang w:val="es-ES_tradnl"/>
        </w:rPr>
        <w:t>Otra ventaja es la posibilidad de ajustar fácilmente el modelo, si es necesario, a fin de representar más adecuadamente el sistema real. De hecho, generalmente el resultado de una primera compa</w:t>
      </w:r>
      <w:r w:rsidRPr="0056409E">
        <w:rPr>
          <w:lang w:val="es-ES_tradnl"/>
        </w:rPr>
        <w:softHyphen/>
        <w:t xml:space="preserve">ración entre las simulaciones y las mediciones representan una buena base para realizar algunos ajustes en el primer modelo. La limitación más importante en el sencillo modelo adoptado es la imposibilidad de tener en cuenta correctamente la contribución de la compleja red de adaptación/ alimentación a las componentes x, y, z de los campos. De hecho, una cierta cantidad de potencia es radiada por las líneas de adaptación bifilares que funcionan en régimen de onda estacionaria. Por esta razón, no aparece la </w:t>
      </w:r>
      <w:r w:rsidRPr="0056409E">
        <w:rPr>
          <w:lang w:val="es-ES_tradnl"/>
        </w:rPr>
        <w:lastRenderedPageBreak/>
        <w:t>componente vertical del campo</w:t>
      </w:r>
      <w:r w:rsidR="009A53C5">
        <w:rPr>
          <w:lang w:val="es-ES_tradnl"/>
        </w:rPr>
        <w:t> </w:t>
      </w:r>
      <w:r w:rsidRPr="0056409E">
        <w:rPr>
          <w:lang w:val="es-ES_tradnl"/>
        </w:rPr>
        <w:t>E (componente z), así como la componente horizontal en la dirección de propagación (componente y), salvo en algunos casos en que los valores son bastante bajos; puede observarse un comportamiento similar para la componente x del campo H. Ello se debe a que la predicción se realizó sin considerar los radiadores verticales y los radiadores en la dirección de propagación. Por el contrario, en los resultados de la medición aparecen ambas componentes del campo E, la vertical (z) y la hori</w:t>
      </w:r>
      <w:r w:rsidRPr="0056409E">
        <w:rPr>
          <w:lang w:val="es-ES_tradnl"/>
        </w:rPr>
        <w:softHyphen/>
        <w:t>zontal (y), así como la componente horizontal (x) del campo H, lo que provoca algunos problemas para realizar una comparación directa. Lo más razonable es considerar que estas dos componentes son generadas por la cantidad de potencia que no llega a los sistemas de dipolos. Su contribución al campo medido debe considerarse dentro de la componente horizontal (x) en el resultado de la simulación. En otras palabras, la contribución horizontal (x) resultante de la simulación debe compararse con el resultado global de las mediciones, obtenido como la raíz cuadrada de la suma de los cuadrados de las contribuciones medidas en los ejes x, y, z.</w:t>
      </w:r>
    </w:p>
    <w:p w14:paraId="6F19C93E" w14:textId="77777777" w:rsidR="0086339D" w:rsidRPr="0056409E" w:rsidRDefault="0086339D" w:rsidP="0086339D">
      <w:pPr>
        <w:pStyle w:val="FigureNo"/>
        <w:rPr>
          <w:lang w:val="es-ES_tradnl"/>
        </w:rPr>
      </w:pPr>
      <w:r w:rsidRPr="0056409E">
        <w:rPr>
          <w:lang w:val="es-ES_tradnl"/>
        </w:rPr>
        <w:t>FIGURA 13</w:t>
      </w:r>
    </w:p>
    <w:p w14:paraId="7A2F835A" w14:textId="599C6BCC" w:rsidR="0086339D" w:rsidRPr="00751200" w:rsidRDefault="0086339D" w:rsidP="0086339D">
      <w:pPr>
        <w:pStyle w:val="Figuretitle"/>
        <w:rPr>
          <w:highlight w:val="cyan"/>
          <w:lang w:val="es-ES_tradnl"/>
        </w:rPr>
      </w:pPr>
      <w:r w:rsidRPr="0056409E">
        <w:rPr>
          <w:lang w:val="es-ES_tradnl"/>
        </w:rPr>
        <w:t xml:space="preserve">Modelo del sistema de dipolos y su </w:t>
      </w:r>
      <w:r w:rsidRPr="00111E49">
        <w:rPr>
          <w:lang w:val="es-ES"/>
        </w:rPr>
        <w:t>orientación</w:t>
      </w:r>
      <w:r w:rsidRPr="0056409E">
        <w:rPr>
          <w:lang w:val="es-ES_tradnl"/>
        </w:rPr>
        <w:t xml:space="preserve"> en el sistema triaxial X, Y, Z</w:t>
      </w:r>
      <w:r w:rsidR="00434404">
        <w:rPr>
          <w:lang w:val="es-ES_tradnl"/>
        </w:rPr>
        <w:br/>
      </w:r>
      <w:r w:rsidRPr="0056409E">
        <w:rPr>
          <w:lang w:val="es-ES_tradnl"/>
        </w:rPr>
        <w:t>Cada dipolo está alimentado por su propio generador de tensión, en fase con todos los demás. Las contribuciones Ex, Ey, Ez, Hx, Hy, Hz de los campos E y H en el punto de evaluación tienen la misma orientación que los ejes X, Y Z</w:t>
      </w:r>
    </w:p>
    <w:p w14:paraId="0BCF1207" w14:textId="77777777" w:rsidR="0086339D" w:rsidRPr="0056409E" w:rsidRDefault="0086339D" w:rsidP="0086339D">
      <w:pPr>
        <w:pStyle w:val="Figure"/>
        <w:rPr>
          <w:lang w:val="es-ES_tradnl"/>
        </w:rPr>
      </w:pPr>
      <w:r w:rsidRPr="0056409E">
        <w:rPr>
          <w:noProof/>
          <w:lang w:val="es-ES_tradnl"/>
        </w:rPr>
        <w:drawing>
          <wp:inline distT="0" distB="0" distL="0" distR="0" wp14:anchorId="18206693" wp14:editId="2E0BE700">
            <wp:extent cx="4383033" cy="2563373"/>
            <wp:effectExtent l="0" t="0" r="0" b="8890"/>
            <wp:docPr id="29" name="Picture 29" descr="A picture containing text, lin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line, patter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383033" cy="2563373"/>
                    </a:xfrm>
                    <a:prstGeom prst="rect">
                      <a:avLst/>
                    </a:prstGeom>
                  </pic:spPr>
                </pic:pic>
              </a:graphicData>
            </a:graphic>
          </wp:inline>
        </w:drawing>
      </w:r>
    </w:p>
    <w:p w14:paraId="21F3539D" w14:textId="77777777" w:rsidR="0086339D" w:rsidRPr="0056409E" w:rsidRDefault="0086339D" w:rsidP="0086339D">
      <w:pPr>
        <w:pStyle w:val="FigureNo"/>
        <w:rPr>
          <w:rFonts w:ascii="Times New Roman Bold" w:hAnsi="Times New Roman Bold"/>
          <w:b/>
          <w:lang w:val="es-ES_tradnl"/>
        </w:rPr>
      </w:pPr>
      <w:r w:rsidRPr="0056409E">
        <w:rPr>
          <w:lang w:val="es-ES_tradnl"/>
        </w:rPr>
        <w:t>FIGURA 14</w:t>
      </w:r>
    </w:p>
    <w:p w14:paraId="0EDB62F0" w14:textId="5CD0F105" w:rsidR="0086339D" w:rsidRPr="0056409E" w:rsidRDefault="0086339D" w:rsidP="0086339D">
      <w:pPr>
        <w:pStyle w:val="Figuretitle"/>
        <w:rPr>
          <w:lang w:val="es-ES_tradnl"/>
        </w:rPr>
      </w:pPr>
      <w:r w:rsidRPr="0056409E">
        <w:rPr>
          <w:lang w:val="es-ES_tradnl"/>
        </w:rPr>
        <w:t>Modelo de dipolo simple. El dipolo aparece representado por 24 segmentos, cada uno de una longitud inferior a</w:t>
      </w:r>
      <w:r w:rsidR="009A53C5">
        <w:rPr>
          <w:lang w:val="es-ES_tradnl"/>
        </w:rPr>
        <w:br/>
      </w:r>
      <w:r w:rsidR="009A53C5">
        <w:sym w:font="Symbol" w:char="F06C"/>
      </w:r>
      <w:r w:rsidRPr="0056409E">
        <w:rPr>
          <w:lang w:val="es-ES_tradnl"/>
        </w:rPr>
        <w:t>/20. La excitación se aplica en el centro del brazo superior o inferior, en el punto medio del segmento central</w:t>
      </w:r>
    </w:p>
    <w:p w14:paraId="116F4DCF" w14:textId="77777777" w:rsidR="0086339D" w:rsidRPr="0056409E" w:rsidRDefault="0086339D" w:rsidP="0086339D">
      <w:pPr>
        <w:pStyle w:val="Figure"/>
        <w:rPr>
          <w:lang w:val="es-ES_tradnl"/>
        </w:rPr>
      </w:pPr>
      <w:r w:rsidRPr="0056409E">
        <w:rPr>
          <w:noProof/>
          <w:lang w:val="es-ES_tradnl"/>
        </w:rPr>
        <w:drawing>
          <wp:inline distT="0" distB="0" distL="0" distR="0" wp14:anchorId="19A9BD6C" wp14:editId="1FD4AA95">
            <wp:extent cx="3691136" cy="886970"/>
            <wp:effectExtent l="0" t="0" r="5080" b="8890"/>
            <wp:docPr id="33" name="Picture 33" descr="A picture containing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line, screenshot&#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91136" cy="886970"/>
                    </a:xfrm>
                    <a:prstGeom prst="rect">
                      <a:avLst/>
                    </a:prstGeom>
                  </pic:spPr>
                </pic:pic>
              </a:graphicData>
            </a:graphic>
          </wp:inline>
        </w:drawing>
      </w:r>
    </w:p>
    <w:p w14:paraId="46476F03" w14:textId="77777777" w:rsidR="0086339D" w:rsidRPr="0056409E" w:rsidRDefault="0086339D" w:rsidP="0086339D">
      <w:pPr>
        <w:pStyle w:val="Heading1"/>
        <w:rPr>
          <w:lang w:val="es-ES_tradnl"/>
        </w:rPr>
      </w:pPr>
      <w:bookmarkStart w:id="570" w:name="_Toc65546015"/>
      <w:bookmarkStart w:id="571" w:name="_Toc65546197"/>
      <w:bookmarkStart w:id="572" w:name="_Toc65546340"/>
      <w:bookmarkStart w:id="573" w:name="_Toc86461545"/>
      <w:bookmarkStart w:id="574" w:name="_Toc162005931"/>
      <w:bookmarkStart w:id="575" w:name="_Toc162006257"/>
      <w:bookmarkStart w:id="576" w:name="_Toc162444603"/>
      <w:bookmarkStart w:id="577" w:name="_Toc162518217"/>
      <w:bookmarkStart w:id="578" w:name="_Toc162518740"/>
      <w:r w:rsidRPr="0056409E">
        <w:rPr>
          <w:lang w:val="es-ES_tradnl"/>
        </w:rPr>
        <w:lastRenderedPageBreak/>
        <w:t>2</w:t>
      </w:r>
      <w:r w:rsidRPr="0056409E">
        <w:rPr>
          <w:lang w:val="es-ES_tradnl"/>
        </w:rPr>
        <w:tab/>
        <w:t>Comparación entre predicciones y mediciones</w:t>
      </w:r>
      <w:bookmarkEnd w:id="570"/>
      <w:bookmarkEnd w:id="571"/>
      <w:bookmarkEnd w:id="572"/>
      <w:bookmarkEnd w:id="573"/>
      <w:bookmarkEnd w:id="574"/>
      <w:bookmarkEnd w:id="575"/>
      <w:bookmarkEnd w:id="576"/>
      <w:bookmarkEnd w:id="577"/>
      <w:bookmarkEnd w:id="578"/>
    </w:p>
    <w:p w14:paraId="3D7A9BBC" w14:textId="77777777" w:rsidR="0086339D" w:rsidRPr="0056409E" w:rsidRDefault="0086339D" w:rsidP="0086339D">
      <w:pPr>
        <w:pStyle w:val="Heading2"/>
        <w:rPr>
          <w:lang w:val="es-ES_tradnl"/>
        </w:rPr>
      </w:pPr>
      <w:bookmarkStart w:id="579" w:name="_Toc65546016"/>
      <w:bookmarkStart w:id="580" w:name="_Toc65546198"/>
      <w:bookmarkStart w:id="581" w:name="_Toc65546341"/>
      <w:bookmarkStart w:id="582" w:name="_Toc86461546"/>
      <w:bookmarkStart w:id="583" w:name="_Toc162005932"/>
      <w:bookmarkStart w:id="584" w:name="_Toc162006258"/>
      <w:bookmarkStart w:id="585" w:name="_Toc162444604"/>
      <w:bookmarkStart w:id="586" w:name="_Toc162518218"/>
      <w:bookmarkStart w:id="587" w:name="_Toc162518741"/>
      <w:r w:rsidRPr="0056409E">
        <w:rPr>
          <w:lang w:val="es-ES_tradnl"/>
        </w:rPr>
        <w:t>2.1</w:t>
      </w:r>
      <w:r w:rsidRPr="0056409E">
        <w:rPr>
          <w:lang w:val="es-ES_tradnl"/>
        </w:rPr>
        <w:tab/>
      </w:r>
      <w:bookmarkEnd w:id="579"/>
      <w:bookmarkEnd w:id="580"/>
      <w:bookmarkEnd w:id="581"/>
      <w:bookmarkEnd w:id="582"/>
      <w:r w:rsidRPr="0056409E">
        <w:rPr>
          <w:lang w:val="es-ES_tradnl"/>
        </w:rPr>
        <w:t xml:space="preserve">Análisis numérico de estructuras </w:t>
      </w:r>
      <w:r>
        <w:rPr>
          <w:lang w:val="es-ES_tradnl"/>
        </w:rPr>
        <w:t>filiformes</w:t>
      </w:r>
      <w:r w:rsidRPr="0056409E">
        <w:rPr>
          <w:lang w:val="es-ES_tradnl"/>
        </w:rPr>
        <w:t>: Ejemplo</w:t>
      </w:r>
      <w:bookmarkEnd w:id="583"/>
      <w:bookmarkEnd w:id="584"/>
      <w:bookmarkEnd w:id="585"/>
      <w:bookmarkEnd w:id="586"/>
      <w:bookmarkEnd w:id="587"/>
    </w:p>
    <w:p w14:paraId="23B54661" w14:textId="77777777" w:rsidR="0086339D" w:rsidRPr="0056409E" w:rsidRDefault="0086339D" w:rsidP="0086339D">
      <w:pPr>
        <w:pStyle w:val="Heading3"/>
        <w:rPr>
          <w:lang w:val="es-ES_tradnl"/>
        </w:rPr>
      </w:pPr>
      <w:bookmarkStart w:id="588" w:name="_Toc65546017"/>
      <w:bookmarkStart w:id="589" w:name="_Toc65546199"/>
      <w:bookmarkStart w:id="590" w:name="_Toc86461547"/>
      <w:bookmarkStart w:id="591" w:name="_Toc162005933"/>
      <w:bookmarkStart w:id="592" w:name="_Toc162006028"/>
      <w:bookmarkStart w:id="593" w:name="_Toc162006259"/>
      <w:bookmarkStart w:id="594" w:name="_Toc162008614"/>
      <w:bookmarkStart w:id="595" w:name="_Toc162443605"/>
      <w:bookmarkStart w:id="596" w:name="_Toc162443824"/>
      <w:bookmarkStart w:id="597" w:name="_Toc162444054"/>
      <w:bookmarkStart w:id="598" w:name="_Toc162444605"/>
      <w:r w:rsidRPr="0056409E">
        <w:rPr>
          <w:lang w:val="es-ES_tradnl"/>
        </w:rPr>
        <w:t>2.1.1</w:t>
      </w:r>
      <w:r w:rsidRPr="0056409E">
        <w:rPr>
          <w:lang w:val="es-ES_tradnl"/>
        </w:rPr>
        <w:tab/>
        <w:t>Predicciones</w:t>
      </w:r>
      <w:bookmarkEnd w:id="588"/>
      <w:bookmarkEnd w:id="589"/>
      <w:bookmarkEnd w:id="590"/>
      <w:bookmarkEnd w:id="591"/>
      <w:bookmarkEnd w:id="592"/>
      <w:bookmarkEnd w:id="593"/>
      <w:bookmarkEnd w:id="594"/>
      <w:bookmarkEnd w:id="595"/>
      <w:bookmarkEnd w:id="596"/>
      <w:bookmarkEnd w:id="597"/>
      <w:bookmarkEnd w:id="598"/>
    </w:p>
    <w:p w14:paraId="7C59AADC" w14:textId="77777777" w:rsidR="0086339D" w:rsidRPr="0056409E" w:rsidRDefault="0086339D" w:rsidP="0086339D">
      <w:pPr>
        <w:pStyle w:val="Heading4"/>
        <w:rPr>
          <w:lang w:val="es-ES_tradnl"/>
        </w:rPr>
      </w:pPr>
      <w:r w:rsidRPr="0056409E">
        <w:rPr>
          <w:lang w:val="es-ES_tradnl"/>
        </w:rPr>
        <w:t>2.1.1.1</w:t>
      </w:r>
      <w:r w:rsidRPr="0056409E">
        <w:rPr>
          <w:lang w:val="es-ES_tradnl"/>
        </w:rPr>
        <w:tab/>
        <w:t>Notas sobre el modelo</w:t>
      </w:r>
    </w:p>
    <w:p w14:paraId="16FCBFE6" w14:textId="77777777" w:rsidR="0086339D" w:rsidRPr="0056409E" w:rsidRDefault="0086339D" w:rsidP="00434404">
      <w:pPr>
        <w:rPr>
          <w:lang w:val="es-ES_tradnl"/>
        </w:rPr>
      </w:pPr>
      <w:r w:rsidRPr="0056409E">
        <w:rPr>
          <w:lang w:val="es-ES_tradnl"/>
        </w:rPr>
        <w:t>Para ajustar mejor el modelo antes descrito al sistema real de antenas es necesario conocer la cantidad exacta de potencia a la entrada de cada dipolo, teniendo en cuenta las pérdidas en la línea de transmisión.</w:t>
      </w:r>
    </w:p>
    <w:p w14:paraId="795A8556" w14:textId="0820EB77" w:rsidR="0086339D" w:rsidRPr="0056409E" w:rsidRDefault="0086339D" w:rsidP="00434404">
      <w:pPr>
        <w:rPr>
          <w:lang w:val="es-ES_tradnl"/>
        </w:rPr>
      </w:pPr>
      <w:r w:rsidRPr="0056409E">
        <w:rPr>
          <w:lang w:val="es-ES_tradnl"/>
        </w:rPr>
        <w:t xml:space="preserve">Para aplicar la tensión adecuada a cada dipolo, se ha calculado la impedancia de entrada de cada uno de estos dipolos. Los valores correspondientes se ilustran en la </w:t>
      </w:r>
      <w:r w:rsidR="0042201F">
        <w:rPr>
          <w:lang w:val="es-ES_tradnl"/>
        </w:rPr>
        <w:t>Fig.</w:t>
      </w:r>
      <w:r w:rsidRPr="0056409E">
        <w:rPr>
          <w:lang w:val="es-ES_tradnl"/>
        </w:rPr>
        <w:t xml:space="preserve"> 15.</w:t>
      </w:r>
    </w:p>
    <w:p w14:paraId="20BA2995" w14:textId="77777777" w:rsidR="0086339D" w:rsidRPr="0056409E" w:rsidRDefault="0086339D" w:rsidP="0086339D">
      <w:pPr>
        <w:pStyle w:val="FigureNo"/>
        <w:rPr>
          <w:rFonts w:ascii="Times New Roman Bold" w:hAnsi="Times New Roman Bold"/>
          <w:b/>
          <w:lang w:val="es-ES_tradnl"/>
        </w:rPr>
      </w:pPr>
      <w:r w:rsidRPr="0056409E">
        <w:rPr>
          <w:lang w:val="es-ES_tradnl"/>
        </w:rPr>
        <w:t>FIGURA 15</w:t>
      </w:r>
    </w:p>
    <w:p w14:paraId="65F1A9FA" w14:textId="6333BB96" w:rsidR="0086339D" w:rsidRPr="00751200" w:rsidRDefault="0086339D" w:rsidP="00434404">
      <w:pPr>
        <w:pStyle w:val="Figuretitle"/>
        <w:rPr>
          <w:highlight w:val="cyan"/>
          <w:lang w:val="es-ES_tradnl"/>
        </w:rPr>
      </w:pPr>
      <w:r w:rsidRPr="0056409E">
        <w:rPr>
          <w:lang w:val="es-ES_tradnl"/>
        </w:rPr>
        <w:t>Impedancia de entrada de los dipolos obtenida de la simulación, normalizada a 600 Ω.</w:t>
      </w:r>
      <w:r w:rsidR="00434404">
        <w:rPr>
          <w:lang w:val="es-ES_tradnl"/>
        </w:rPr>
        <w:br/>
      </w:r>
      <w:r w:rsidRPr="0056409E">
        <w:rPr>
          <w:lang w:val="es-ES_tradnl"/>
        </w:rPr>
        <w:t>Obsérvese la pequeña, pero no inexistente, dispersión de los valores de resistencia cerca de 600 Ω</w:t>
      </w:r>
    </w:p>
    <w:p w14:paraId="0312B836" w14:textId="459C4FC1" w:rsidR="0086339D" w:rsidRPr="005A5E9D" w:rsidRDefault="005A5E9D" w:rsidP="0086339D">
      <w:pPr>
        <w:pStyle w:val="Figure"/>
        <w:rPr>
          <w:lang w:val="es-ES_tradnl"/>
        </w:rPr>
      </w:pPr>
      <w:r w:rsidRPr="005A5E9D">
        <w:rPr>
          <w:noProof/>
        </w:rPr>
        <w:drawing>
          <wp:inline distT="0" distB="0" distL="0" distR="0" wp14:anchorId="2DE650D0" wp14:editId="432034F4">
            <wp:extent cx="3339465" cy="3784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39465" cy="3784600"/>
                    </a:xfrm>
                    <a:prstGeom prst="rect">
                      <a:avLst/>
                    </a:prstGeom>
                    <a:noFill/>
                    <a:ln>
                      <a:noFill/>
                    </a:ln>
                  </pic:spPr>
                </pic:pic>
              </a:graphicData>
            </a:graphic>
          </wp:inline>
        </w:drawing>
      </w:r>
    </w:p>
    <w:p w14:paraId="19E48DCC" w14:textId="6B883F2F" w:rsidR="0086339D" w:rsidRPr="0056409E" w:rsidRDefault="0086339D" w:rsidP="0086339D">
      <w:pPr>
        <w:rPr>
          <w:lang w:val="es-ES_tradnl"/>
        </w:rPr>
      </w:pPr>
      <w:r w:rsidRPr="0056409E">
        <w:rPr>
          <w:lang w:val="es-ES_tradnl"/>
        </w:rPr>
        <w:t>A continuación, para cada dipolo se ha adoptado un valor común de resistencia igual a 600 </w:t>
      </w:r>
      <w:r w:rsidRPr="0056409E">
        <w:rPr>
          <w:rFonts w:ascii="Symbol" w:hAnsi="Symbol"/>
          <w:lang w:val="es-ES_tradnl"/>
        </w:rPr>
        <w:sym w:font="Symbol" w:char="F057"/>
      </w:r>
      <w:r w:rsidRPr="0056409E">
        <w:rPr>
          <w:lang w:val="es-ES_tradnl"/>
        </w:rPr>
        <w:t>, que es el valor medio obtenido de la simulación. Cabe señalar que esta decisión puede causar impre</w:t>
      </w:r>
      <w:r w:rsidRPr="0056409E">
        <w:rPr>
          <w:lang w:val="es-ES_tradnl"/>
        </w:rPr>
        <w:softHyphen/>
        <w:t>cisiones en los resultados de la predicción.</w:t>
      </w:r>
    </w:p>
    <w:p w14:paraId="702078E6" w14:textId="77777777" w:rsidR="0086339D" w:rsidRPr="0056409E" w:rsidRDefault="0086339D" w:rsidP="0086339D">
      <w:pPr>
        <w:rPr>
          <w:lang w:val="es-ES_tradnl"/>
        </w:rPr>
      </w:pPr>
      <w:r w:rsidRPr="0056409E">
        <w:rPr>
          <w:lang w:val="es-ES_tradnl"/>
        </w:rPr>
        <w:t>A fin de compensar la desadaptación, debida fundamentalmente a la componente reactiva y la consiguiente reflexión de potencia hacia el transmisor, se ha considerado un aumento adecuado de potencia. En consecuencia, se aplicó una tensión adecuada a cada dipolo.</w:t>
      </w:r>
    </w:p>
    <w:p w14:paraId="28CAF7F8" w14:textId="77777777" w:rsidR="0086339D" w:rsidRPr="0056409E" w:rsidRDefault="0086339D" w:rsidP="0086339D">
      <w:pPr>
        <w:pStyle w:val="Heading4"/>
        <w:rPr>
          <w:lang w:val="es-ES_tradnl"/>
        </w:rPr>
      </w:pPr>
      <w:r w:rsidRPr="0056409E">
        <w:rPr>
          <w:lang w:val="es-ES_tradnl"/>
        </w:rPr>
        <w:t>2.1.1.2</w:t>
      </w:r>
      <w:r w:rsidRPr="0056409E">
        <w:rPr>
          <w:lang w:val="es-ES_tradnl"/>
        </w:rPr>
        <w:tab/>
        <w:t>Evaluaciones de campo lejano</w:t>
      </w:r>
    </w:p>
    <w:p w14:paraId="0D97B040" w14:textId="280C9BFE" w:rsidR="0086339D" w:rsidRPr="0056409E" w:rsidRDefault="0086339D" w:rsidP="0086339D">
      <w:pPr>
        <w:rPr>
          <w:lang w:val="es-ES_tradnl"/>
        </w:rPr>
      </w:pPr>
      <w:r w:rsidRPr="0056409E">
        <w:rPr>
          <w:lang w:val="es-ES_tradnl"/>
        </w:rPr>
        <w:t>Para comparar más adecuadamente el comportamiento del modelo con antenas reales, indicado en las Figs</w:t>
      </w:r>
      <w:r w:rsidR="0042201F">
        <w:rPr>
          <w:lang w:val="es-ES_tradnl"/>
        </w:rPr>
        <w:t>.</w:t>
      </w:r>
      <w:r w:rsidRPr="0056409E">
        <w:rPr>
          <w:lang w:val="es-ES_tradnl"/>
        </w:rPr>
        <w:t xml:space="preserve"> 11 y 12, se calcularon los diagramas de radiación. Los resultados se muestran en la </w:t>
      </w:r>
      <w:r w:rsidR="0042201F">
        <w:rPr>
          <w:lang w:val="es-ES_tradnl"/>
        </w:rPr>
        <w:t>Fig.</w:t>
      </w:r>
      <w:r w:rsidRPr="0056409E">
        <w:rPr>
          <w:lang w:val="es-ES_tradnl"/>
        </w:rPr>
        <w:t xml:space="preserve"> 16 (plano horizontal), en la </w:t>
      </w:r>
      <w:r w:rsidR="0042201F">
        <w:rPr>
          <w:lang w:val="es-ES_tradnl"/>
        </w:rPr>
        <w:t>Fig.</w:t>
      </w:r>
      <w:r w:rsidRPr="0056409E">
        <w:rPr>
          <w:lang w:val="es-ES_tradnl"/>
        </w:rPr>
        <w:t xml:space="preserve"> 17 (plano vertical) y en la </w:t>
      </w:r>
      <w:r w:rsidR="0042201F">
        <w:rPr>
          <w:lang w:val="es-ES_tradnl"/>
        </w:rPr>
        <w:t>Fig.</w:t>
      </w:r>
      <w:r w:rsidRPr="0056409E">
        <w:rPr>
          <w:lang w:val="es-ES_tradnl"/>
        </w:rPr>
        <w:t> 18 (vista frontal).</w:t>
      </w:r>
    </w:p>
    <w:p w14:paraId="0F5141D9" w14:textId="77777777" w:rsidR="0086339D" w:rsidRPr="0056409E" w:rsidRDefault="0086339D" w:rsidP="0086339D">
      <w:pPr>
        <w:pStyle w:val="FigureNo"/>
        <w:rPr>
          <w:lang w:val="es-ES_tradnl"/>
        </w:rPr>
      </w:pPr>
      <w:r w:rsidRPr="0056409E">
        <w:rPr>
          <w:lang w:val="es-ES_tradnl"/>
        </w:rPr>
        <w:lastRenderedPageBreak/>
        <w:t>FIGURA 16</w:t>
      </w:r>
    </w:p>
    <w:p w14:paraId="3B57D6F5" w14:textId="77777777" w:rsidR="0086339D" w:rsidRPr="0056409E" w:rsidRDefault="0086339D" w:rsidP="0086339D">
      <w:pPr>
        <w:pStyle w:val="Figuretitle"/>
        <w:rPr>
          <w:lang w:val="es-ES_tradnl"/>
        </w:rPr>
      </w:pPr>
      <w:r w:rsidRPr="0056409E">
        <w:rPr>
          <w:lang w:val="es-ES_tradnl"/>
        </w:rPr>
        <w:t>Diagrama de radiación en el plano horizontal</w:t>
      </w:r>
    </w:p>
    <w:p w14:paraId="33DE4687" w14:textId="77777777" w:rsidR="0086339D" w:rsidRPr="0056409E" w:rsidRDefault="0086339D" w:rsidP="0086339D">
      <w:pPr>
        <w:pStyle w:val="Figure"/>
        <w:rPr>
          <w:lang w:val="es-ES_tradnl"/>
        </w:rPr>
      </w:pPr>
      <w:r w:rsidRPr="0056409E">
        <w:rPr>
          <w:lang w:val="es-ES_tradnl"/>
        </w:rPr>
        <w:t xml:space="preserve"> </w:t>
      </w:r>
      <w:r w:rsidRPr="0056409E">
        <w:rPr>
          <w:noProof/>
          <w:lang w:val="es-ES_tradnl"/>
        </w:rPr>
        <w:drawing>
          <wp:inline distT="0" distB="0" distL="0" distR="0" wp14:anchorId="004D39B3" wp14:editId="2DAB3450">
            <wp:extent cx="4401321" cy="2548133"/>
            <wp:effectExtent l="0" t="0" r="0" b="5080"/>
            <wp:docPr id="37" name="Picture 37" descr="A picture containing sketch, drawing, line art,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sketch, drawing, line art, illustration&#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401321" cy="2548133"/>
                    </a:xfrm>
                    <a:prstGeom prst="rect">
                      <a:avLst/>
                    </a:prstGeom>
                  </pic:spPr>
                </pic:pic>
              </a:graphicData>
            </a:graphic>
          </wp:inline>
        </w:drawing>
      </w:r>
    </w:p>
    <w:p w14:paraId="7144747E" w14:textId="77777777" w:rsidR="0086339D" w:rsidRPr="0056409E" w:rsidRDefault="0086339D" w:rsidP="0086339D">
      <w:pPr>
        <w:pStyle w:val="FigureNo"/>
        <w:rPr>
          <w:lang w:val="es-ES_tradnl"/>
        </w:rPr>
      </w:pPr>
      <w:r w:rsidRPr="0056409E">
        <w:rPr>
          <w:lang w:val="es-ES_tradnl"/>
        </w:rPr>
        <w:t>FIGURA 17</w:t>
      </w:r>
    </w:p>
    <w:p w14:paraId="6A36029A" w14:textId="77777777" w:rsidR="0086339D" w:rsidRPr="0056409E" w:rsidRDefault="0086339D" w:rsidP="0086339D">
      <w:pPr>
        <w:pStyle w:val="Figuretitle"/>
        <w:rPr>
          <w:lang w:val="es-ES_tradnl"/>
        </w:rPr>
      </w:pPr>
      <w:r w:rsidRPr="0056409E">
        <w:rPr>
          <w:lang w:val="es-ES_tradnl"/>
        </w:rPr>
        <w:t>Diagrama de radiación en el plano vertical</w:t>
      </w:r>
    </w:p>
    <w:p w14:paraId="350EBF76" w14:textId="77777777" w:rsidR="0086339D" w:rsidRPr="0056409E" w:rsidRDefault="0086339D" w:rsidP="0086339D">
      <w:pPr>
        <w:pStyle w:val="Figure"/>
        <w:rPr>
          <w:lang w:val="es-ES_tradnl"/>
        </w:rPr>
      </w:pPr>
      <w:r w:rsidRPr="0056409E">
        <w:rPr>
          <w:lang w:val="es-ES_tradnl"/>
        </w:rPr>
        <w:t xml:space="preserve"> </w:t>
      </w:r>
      <w:r w:rsidRPr="0056409E">
        <w:rPr>
          <w:noProof/>
          <w:lang w:val="es-ES_tradnl"/>
        </w:rPr>
        <w:drawing>
          <wp:inline distT="0" distB="0" distL="0" distR="0" wp14:anchorId="1C02B8F3" wp14:editId="2F7E0E55">
            <wp:extent cx="4236729" cy="1792228"/>
            <wp:effectExtent l="0" t="0" r="0" b="0"/>
            <wp:docPr id="40" name="Picture 40" descr="A picture containing sketch, drawing, invertebrate,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sketch, drawing, invertebrate, butterfly&#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236729" cy="1792228"/>
                    </a:xfrm>
                    <a:prstGeom prst="rect">
                      <a:avLst/>
                    </a:prstGeom>
                  </pic:spPr>
                </pic:pic>
              </a:graphicData>
            </a:graphic>
          </wp:inline>
        </w:drawing>
      </w:r>
    </w:p>
    <w:p w14:paraId="11D3F2D4" w14:textId="77777777" w:rsidR="0086339D" w:rsidRPr="0056409E" w:rsidRDefault="0086339D" w:rsidP="0086339D">
      <w:pPr>
        <w:pStyle w:val="FigureNo"/>
        <w:rPr>
          <w:lang w:val="es-ES_tradnl"/>
        </w:rPr>
      </w:pPr>
      <w:r w:rsidRPr="0056409E">
        <w:rPr>
          <w:lang w:val="es-ES_tradnl"/>
        </w:rPr>
        <w:lastRenderedPageBreak/>
        <w:t>FIGURA 18</w:t>
      </w:r>
    </w:p>
    <w:p w14:paraId="0B176425" w14:textId="77777777" w:rsidR="0086339D" w:rsidRPr="0056409E" w:rsidRDefault="0086339D" w:rsidP="0086339D">
      <w:pPr>
        <w:pStyle w:val="Figuretitle"/>
        <w:rPr>
          <w:lang w:val="es-ES_tradnl"/>
        </w:rPr>
      </w:pPr>
      <w:r w:rsidRPr="0056409E">
        <w:rPr>
          <w:lang w:val="es-ES_tradnl"/>
        </w:rPr>
        <w:t>Diagrama de radiación, vista frontal</w:t>
      </w:r>
    </w:p>
    <w:p w14:paraId="1B698A9A" w14:textId="77777777" w:rsidR="0086339D" w:rsidRPr="0056409E" w:rsidRDefault="0086339D" w:rsidP="0086339D">
      <w:pPr>
        <w:pStyle w:val="Figure"/>
        <w:rPr>
          <w:caps w:val="0"/>
          <w:lang w:val="es-ES_tradnl"/>
        </w:rPr>
      </w:pPr>
      <w:r w:rsidRPr="0056409E">
        <w:rPr>
          <w:caps w:val="0"/>
          <w:noProof/>
          <w:lang w:val="es-ES_tradnl"/>
        </w:rPr>
        <w:drawing>
          <wp:inline distT="0" distB="0" distL="0" distR="0" wp14:anchorId="11F8945F" wp14:editId="0860AA8D">
            <wp:extent cx="3941072" cy="3374143"/>
            <wp:effectExtent l="0" t="0" r="2540" b="0"/>
            <wp:docPr id="41" name="Picture 41" descr="A picture containing sketch, drawing, art, lin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sketch, drawing, art, line art&#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941072" cy="3374143"/>
                    </a:xfrm>
                    <a:prstGeom prst="rect">
                      <a:avLst/>
                    </a:prstGeom>
                  </pic:spPr>
                </pic:pic>
              </a:graphicData>
            </a:graphic>
          </wp:inline>
        </w:drawing>
      </w:r>
    </w:p>
    <w:p w14:paraId="686089F2" w14:textId="77777777" w:rsidR="0086339D" w:rsidRPr="0056409E" w:rsidRDefault="0086339D" w:rsidP="0086339D">
      <w:pPr>
        <w:pStyle w:val="Heading4"/>
        <w:rPr>
          <w:lang w:val="es-ES_tradnl"/>
        </w:rPr>
      </w:pPr>
      <w:r w:rsidRPr="0056409E">
        <w:rPr>
          <w:lang w:val="es-ES_tradnl"/>
        </w:rPr>
        <w:t>2.1.1.3</w:t>
      </w:r>
      <w:r w:rsidRPr="0056409E">
        <w:rPr>
          <w:lang w:val="es-ES_tradnl"/>
        </w:rPr>
        <w:tab/>
        <w:t>Resultados de la predicción de la intensidad de campo en la zona cercana</w:t>
      </w:r>
    </w:p>
    <w:p w14:paraId="5A990020" w14:textId="2173D926" w:rsidR="0086339D" w:rsidRPr="0056409E" w:rsidRDefault="0086339D" w:rsidP="00434404">
      <w:pPr>
        <w:rPr>
          <w:lang w:val="es-ES_tradnl"/>
        </w:rPr>
      </w:pPr>
      <w:r w:rsidRPr="0056409E">
        <w:rPr>
          <w:lang w:val="es-ES_tradnl"/>
        </w:rPr>
        <w:t>Se realizó una predicción calculando las componentes x, y, z de los campos E y H en dirección de la máxima ganancia de antena (eje Y) a una altura de 2 m sobre el nivel del suelo (eje Z </w:t>
      </w:r>
      <w:r w:rsidRPr="0056409E">
        <w:rPr>
          <w:rFonts w:ascii="Symbol" w:hAnsi="Symbol"/>
          <w:lang w:val="es-ES_tradnl"/>
        </w:rPr>
        <w:t></w:t>
      </w:r>
      <w:r w:rsidRPr="0056409E">
        <w:rPr>
          <w:lang w:val="es-ES_tradnl"/>
        </w:rPr>
        <w:t xml:space="preserve"> 2). Los valores calculados se representan en la </w:t>
      </w:r>
      <w:r w:rsidR="0042201F">
        <w:rPr>
          <w:lang w:val="es-ES_tradnl"/>
        </w:rPr>
        <w:t>Fig.</w:t>
      </w:r>
      <w:r w:rsidRPr="0056409E">
        <w:rPr>
          <w:lang w:val="es-ES_tradnl"/>
        </w:rPr>
        <w:t xml:space="preserve"> 19 (campo E) y en la </w:t>
      </w:r>
      <w:r w:rsidR="0042201F">
        <w:rPr>
          <w:lang w:val="es-ES_tradnl"/>
        </w:rPr>
        <w:t>Fig.</w:t>
      </w:r>
      <w:r w:rsidRPr="0056409E">
        <w:rPr>
          <w:lang w:val="es-ES_tradnl"/>
        </w:rPr>
        <w:t> 20 (campo H). La fuerte influencia del terreno tanto en las evaluaciones como en las mediciones puede introducir una diferencia adicional entre los dos resultados. Para mostrar la gran influencia del terreno, los valores de los campos E y H también se han calculado variando la altura del punto de evaluación sobre el nivel del suelo (eje Z) desde 0 hasta 9 m y para una distancia fija de 60 m (Y </w:t>
      </w:r>
      <w:r w:rsidRPr="0056409E">
        <w:rPr>
          <w:rFonts w:ascii="Symbol" w:hAnsi="Symbol"/>
          <w:lang w:val="es-ES_tradnl"/>
        </w:rPr>
        <w:t></w:t>
      </w:r>
      <w:r w:rsidRPr="0056409E">
        <w:rPr>
          <w:lang w:val="es-ES_tradnl"/>
        </w:rPr>
        <w:t xml:space="preserve"> 60). El comportamiento se representa gráficamente en la </w:t>
      </w:r>
      <w:r w:rsidR="0042201F">
        <w:rPr>
          <w:lang w:val="es-ES_tradnl"/>
        </w:rPr>
        <w:t>Fig.</w:t>
      </w:r>
      <w:r w:rsidRPr="0056409E">
        <w:rPr>
          <w:lang w:val="es-ES_tradnl"/>
        </w:rPr>
        <w:t xml:space="preserve"> 21 (campo E) y en la </w:t>
      </w:r>
      <w:r w:rsidR="0042201F">
        <w:rPr>
          <w:lang w:val="es-ES_tradnl"/>
        </w:rPr>
        <w:t>Fig.</w:t>
      </w:r>
      <w:r w:rsidRPr="0056409E">
        <w:rPr>
          <w:lang w:val="es-ES_tradnl"/>
        </w:rPr>
        <w:t> 22 (campo H).</w:t>
      </w:r>
    </w:p>
    <w:p w14:paraId="3AA6A517" w14:textId="77777777" w:rsidR="0086339D" w:rsidRPr="0056409E" w:rsidRDefault="0086339D" w:rsidP="0086339D">
      <w:pPr>
        <w:pStyle w:val="FigureNo"/>
        <w:rPr>
          <w:rFonts w:ascii="Times New Roman Bold" w:hAnsi="Times New Roman Bold"/>
          <w:b/>
          <w:lang w:val="es-ES_tradnl"/>
        </w:rPr>
      </w:pPr>
      <w:r w:rsidRPr="0056409E">
        <w:rPr>
          <w:lang w:val="es-ES_tradnl"/>
        </w:rPr>
        <w:lastRenderedPageBreak/>
        <w:t>FIGURA 19</w:t>
      </w:r>
    </w:p>
    <w:p w14:paraId="2618388D" w14:textId="77777777" w:rsidR="0086339D" w:rsidRPr="0056409E" w:rsidRDefault="0086339D" w:rsidP="0086339D">
      <w:pPr>
        <w:pStyle w:val="Figuretitle"/>
        <w:rPr>
          <w:lang w:val="es-ES_tradnl"/>
        </w:rPr>
      </w:pPr>
      <w:r w:rsidRPr="0056409E">
        <w:rPr>
          <w:lang w:val="es-ES_tradnl"/>
        </w:rPr>
        <w:t>Intensidad del campo E calculada en la zona cercana</w:t>
      </w:r>
    </w:p>
    <w:p w14:paraId="0A3E40DC" w14:textId="41863227" w:rsidR="0086339D" w:rsidRPr="0056409E" w:rsidRDefault="00AF2FC2" w:rsidP="0086339D">
      <w:pPr>
        <w:pStyle w:val="Figure"/>
        <w:rPr>
          <w:lang w:val="es-ES_tradnl"/>
        </w:rPr>
      </w:pPr>
      <w:r w:rsidRPr="00AF2FC2">
        <w:rPr>
          <w:noProof/>
        </w:rPr>
        <w:drawing>
          <wp:inline distT="0" distB="0" distL="0" distR="0" wp14:anchorId="617415D2" wp14:editId="327EB22D">
            <wp:extent cx="4802505" cy="4237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02505" cy="4237990"/>
                    </a:xfrm>
                    <a:prstGeom prst="rect">
                      <a:avLst/>
                    </a:prstGeom>
                    <a:noFill/>
                    <a:ln>
                      <a:noFill/>
                    </a:ln>
                  </pic:spPr>
                </pic:pic>
              </a:graphicData>
            </a:graphic>
          </wp:inline>
        </w:drawing>
      </w:r>
    </w:p>
    <w:p w14:paraId="0C8CD2D0" w14:textId="77777777" w:rsidR="0086339D" w:rsidRPr="0056409E" w:rsidRDefault="0086339D" w:rsidP="0086339D">
      <w:pPr>
        <w:rPr>
          <w:lang w:val="es-ES_tradnl"/>
        </w:rPr>
      </w:pPr>
      <w:r w:rsidRPr="0056409E">
        <w:rPr>
          <w:lang w:val="es-ES_tradnl"/>
        </w:rPr>
        <w:t>La contribución más importante es la componente x. En el eje horizontal se representa la distancia (m) desde la antena (barrido Y). Z se fija a un valor de 2 m (altura sobre el nivel del suelo). La intensidad de las componentes del campo E se representa en V/m en el eje vertical.</w:t>
      </w:r>
    </w:p>
    <w:p w14:paraId="11803DF2" w14:textId="77777777" w:rsidR="0086339D" w:rsidRPr="0056409E" w:rsidRDefault="0086339D" w:rsidP="0086339D">
      <w:pPr>
        <w:pStyle w:val="FigureNo"/>
        <w:rPr>
          <w:rFonts w:ascii="Times New Roman Bold" w:hAnsi="Times New Roman Bold"/>
          <w:b/>
          <w:lang w:val="es-ES_tradnl"/>
        </w:rPr>
      </w:pPr>
      <w:r w:rsidRPr="0056409E">
        <w:rPr>
          <w:lang w:val="es-ES_tradnl"/>
        </w:rPr>
        <w:lastRenderedPageBreak/>
        <w:t>FIGURA 20</w:t>
      </w:r>
    </w:p>
    <w:p w14:paraId="7FD53238" w14:textId="77777777" w:rsidR="0086339D" w:rsidRPr="0056409E" w:rsidRDefault="0086339D" w:rsidP="0086339D">
      <w:pPr>
        <w:pStyle w:val="Figuretitle"/>
        <w:rPr>
          <w:lang w:val="es-ES_tradnl"/>
        </w:rPr>
      </w:pPr>
      <w:r w:rsidRPr="0056409E">
        <w:rPr>
          <w:lang w:val="es-ES_tradnl"/>
        </w:rPr>
        <w:t>Intensidad del campo H calculada en la zona cercana</w:t>
      </w:r>
    </w:p>
    <w:p w14:paraId="30F48F39" w14:textId="19707BC7" w:rsidR="0086339D" w:rsidRPr="0056409E" w:rsidRDefault="00614C43" w:rsidP="0086339D">
      <w:pPr>
        <w:pStyle w:val="Figure"/>
        <w:rPr>
          <w:caps w:val="0"/>
          <w:lang w:val="es-ES_tradnl"/>
        </w:rPr>
      </w:pPr>
      <w:r w:rsidRPr="00614C43">
        <w:rPr>
          <w:noProof/>
        </w:rPr>
        <w:drawing>
          <wp:inline distT="0" distB="0" distL="0" distR="0" wp14:anchorId="13F8408D" wp14:editId="6AE97669">
            <wp:extent cx="5088890" cy="39598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88890" cy="3959860"/>
                    </a:xfrm>
                    <a:prstGeom prst="rect">
                      <a:avLst/>
                    </a:prstGeom>
                    <a:noFill/>
                    <a:ln>
                      <a:noFill/>
                    </a:ln>
                  </pic:spPr>
                </pic:pic>
              </a:graphicData>
            </a:graphic>
          </wp:inline>
        </w:drawing>
      </w:r>
    </w:p>
    <w:p w14:paraId="5A824896" w14:textId="77777777" w:rsidR="0086339D" w:rsidRPr="0056409E" w:rsidRDefault="0086339D" w:rsidP="0086339D">
      <w:pPr>
        <w:rPr>
          <w:lang w:val="es-ES_tradnl"/>
        </w:rPr>
      </w:pPr>
      <w:r w:rsidRPr="0056409E">
        <w:rPr>
          <w:lang w:val="es-ES_tradnl"/>
        </w:rPr>
        <w:t>La contribución más importante es la componente y. La componente z es menor y la componente x es 0. En el eje horizontal se representa la distancia en metros desde la antena (barrido Y). Z se fija a un valor de 2 m (altura sobre el nivel del suelo). La intensidad de las componentes del campo H se representa en A/m en el eje vertical.</w:t>
      </w:r>
    </w:p>
    <w:p w14:paraId="53279475" w14:textId="77777777" w:rsidR="0086339D" w:rsidRPr="0056409E" w:rsidRDefault="0086339D" w:rsidP="0086339D">
      <w:pPr>
        <w:pStyle w:val="FigureNo"/>
        <w:rPr>
          <w:rFonts w:ascii="Times New Roman Bold" w:hAnsi="Times New Roman Bold"/>
          <w:b/>
          <w:lang w:val="es-ES_tradnl"/>
        </w:rPr>
      </w:pPr>
      <w:bookmarkStart w:id="599" w:name="_Hlk127878736"/>
      <w:r w:rsidRPr="0056409E">
        <w:rPr>
          <w:lang w:val="es-ES_tradnl"/>
        </w:rPr>
        <w:lastRenderedPageBreak/>
        <w:t>FIGURA 21</w:t>
      </w:r>
    </w:p>
    <w:bookmarkEnd w:id="599"/>
    <w:p w14:paraId="679C1D67" w14:textId="26D786C5" w:rsidR="0086339D" w:rsidRPr="0056409E" w:rsidRDefault="0086339D" w:rsidP="00434404">
      <w:pPr>
        <w:pStyle w:val="Figuretitle"/>
        <w:rPr>
          <w:lang w:val="es-ES_tradnl"/>
        </w:rPr>
      </w:pPr>
      <w:r w:rsidRPr="0056409E">
        <w:rPr>
          <w:lang w:val="es-ES_tradnl"/>
        </w:rPr>
        <w:t>Intensidad del campo E calculada a una distancia de 60 m desde la antena</w:t>
      </w:r>
      <w:r w:rsidR="00434404">
        <w:rPr>
          <w:lang w:val="es-ES_tradnl"/>
        </w:rPr>
        <w:t xml:space="preserve"> </w:t>
      </w:r>
      <w:r w:rsidRPr="0056409E">
        <w:rPr>
          <w:lang w:val="es-ES_tradnl"/>
        </w:rPr>
        <w:t>(Y = 60) a distintas alturas entre 0 y 9 m</w:t>
      </w:r>
      <w:r w:rsidR="00434404">
        <w:rPr>
          <w:lang w:val="es-ES_tradnl"/>
        </w:rPr>
        <w:br/>
      </w:r>
      <w:r w:rsidRPr="0056409E">
        <w:rPr>
          <w:lang w:val="es-ES_tradnl"/>
        </w:rPr>
        <w:t>(barrido Z)</w:t>
      </w:r>
    </w:p>
    <w:p w14:paraId="6B20F28C" w14:textId="726351B7" w:rsidR="0086339D" w:rsidRPr="0056409E" w:rsidRDefault="0006189F" w:rsidP="0086339D">
      <w:pPr>
        <w:pStyle w:val="Figure"/>
        <w:rPr>
          <w:caps w:val="0"/>
          <w:lang w:val="es-ES_tradnl"/>
        </w:rPr>
      </w:pPr>
      <w:r w:rsidRPr="0006189F">
        <w:rPr>
          <w:noProof/>
        </w:rPr>
        <w:drawing>
          <wp:inline distT="0" distB="0" distL="0" distR="0" wp14:anchorId="532308DB" wp14:editId="1D8780C2">
            <wp:extent cx="4746625" cy="39757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46625" cy="3975735"/>
                    </a:xfrm>
                    <a:prstGeom prst="rect">
                      <a:avLst/>
                    </a:prstGeom>
                    <a:noFill/>
                    <a:ln>
                      <a:noFill/>
                    </a:ln>
                  </pic:spPr>
                </pic:pic>
              </a:graphicData>
            </a:graphic>
          </wp:inline>
        </w:drawing>
      </w:r>
    </w:p>
    <w:p w14:paraId="483FC052" w14:textId="77777777" w:rsidR="0086339D" w:rsidRPr="0056409E" w:rsidRDefault="0086339D" w:rsidP="0086339D">
      <w:pPr>
        <w:rPr>
          <w:lang w:val="es-ES_tradnl"/>
        </w:rPr>
      </w:pPr>
      <w:r w:rsidRPr="0056409E">
        <w:rPr>
          <w:lang w:val="es-ES_tradnl"/>
        </w:rPr>
        <w:t>La estrecha relación entre los valores de E y la altura (sólo está presente la componente x del campo E) es evidente.</w:t>
      </w:r>
    </w:p>
    <w:p w14:paraId="50C1E1C1" w14:textId="77777777" w:rsidR="0086339D" w:rsidRPr="0056409E" w:rsidRDefault="0086339D" w:rsidP="0086339D">
      <w:pPr>
        <w:pStyle w:val="FigureNo"/>
        <w:rPr>
          <w:lang w:val="es-ES_tradnl"/>
        </w:rPr>
      </w:pPr>
      <w:r w:rsidRPr="0056409E">
        <w:rPr>
          <w:lang w:val="es-ES_tradnl"/>
        </w:rPr>
        <w:lastRenderedPageBreak/>
        <w:t>FIGURA 22</w:t>
      </w:r>
    </w:p>
    <w:p w14:paraId="185CCC05" w14:textId="4170989E" w:rsidR="0086339D" w:rsidRPr="0056409E" w:rsidRDefault="0086339D" w:rsidP="0086339D">
      <w:pPr>
        <w:pStyle w:val="Figuretitle"/>
        <w:rPr>
          <w:lang w:val="es-ES_tradnl"/>
        </w:rPr>
      </w:pPr>
      <w:r w:rsidRPr="0056409E">
        <w:rPr>
          <w:lang w:val="es-ES_tradnl"/>
        </w:rPr>
        <w:t>Intensidad del campo H calculada a una distancia de 60 m desde la antena (Y = 60) a distintas alturas entre 0 y 9 m</w:t>
      </w:r>
      <w:r w:rsidR="00434404">
        <w:rPr>
          <w:lang w:val="es-ES_tradnl"/>
        </w:rPr>
        <w:br/>
      </w:r>
      <w:r w:rsidRPr="0056409E">
        <w:rPr>
          <w:lang w:val="es-ES_tradnl"/>
        </w:rPr>
        <w:t>(barrido Z)</w:t>
      </w:r>
    </w:p>
    <w:p w14:paraId="69718A40" w14:textId="6ECE2D1E" w:rsidR="0086339D" w:rsidRPr="0056409E" w:rsidRDefault="00EC040C" w:rsidP="00EC040C">
      <w:pPr>
        <w:pStyle w:val="Figure"/>
        <w:rPr>
          <w:lang w:val="es-ES_tradnl"/>
        </w:rPr>
      </w:pPr>
      <w:r w:rsidRPr="00EC040C">
        <w:rPr>
          <w:noProof/>
        </w:rPr>
        <w:drawing>
          <wp:inline distT="0" distB="0" distL="0" distR="0" wp14:anchorId="142F9CA7" wp14:editId="5240053D">
            <wp:extent cx="4937760" cy="39833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37760" cy="3983355"/>
                    </a:xfrm>
                    <a:prstGeom prst="rect">
                      <a:avLst/>
                    </a:prstGeom>
                    <a:noFill/>
                    <a:ln>
                      <a:noFill/>
                    </a:ln>
                  </pic:spPr>
                </pic:pic>
              </a:graphicData>
            </a:graphic>
          </wp:inline>
        </w:drawing>
      </w:r>
    </w:p>
    <w:p w14:paraId="5CFB88E2" w14:textId="77777777" w:rsidR="0086339D" w:rsidRPr="0056409E" w:rsidRDefault="0086339D" w:rsidP="0086339D">
      <w:pPr>
        <w:rPr>
          <w:lang w:val="es-ES_tradnl"/>
        </w:rPr>
      </w:pPr>
      <w:r w:rsidRPr="0056409E">
        <w:rPr>
          <w:lang w:val="es-ES_tradnl"/>
        </w:rPr>
        <w:t>La estrecha relación entre los valores de H y la altura (están presentes las componentes z e y del campo H y el valor de la componente y es bastante constante) es igualmente evidente.</w:t>
      </w:r>
    </w:p>
    <w:p w14:paraId="1AD6C895" w14:textId="77777777" w:rsidR="0086339D" w:rsidRPr="003C2F75" w:rsidRDefault="0086339D" w:rsidP="0086339D">
      <w:pPr>
        <w:pStyle w:val="Heading3"/>
        <w:rPr>
          <w:lang w:val="es-ES_tradnl"/>
        </w:rPr>
      </w:pPr>
      <w:bookmarkStart w:id="600" w:name="_Toc65546018"/>
      <w:bookmarkStart w:id="601" w:name="_Toc65546200"/>
      <w:bookmarkStart w:id="602" w:name="_Toc86461548"/>
      <w:bookmarkStart w:id="603" w:name="_Toc162005934"/>
      <w:bookmarkStart w:id="604" w:name="_Toc162006029"/>
      <w:bookmarkStart w:id="605" w:name="_Toc162006260"/>
      <w:bookmarkStart w:id="606" w:name="_Toc162008615"/>
      <w:bookmarkStart w:id="607" w:name="_Toc162443606"/>
      <w:bookmarkStart w:id="608" w:name="_Toc162443825"/>
      <w:bookmarkStart w:id="609" w:name="_Toc162444055"/>
      <w:bookmarkStart w:id="610" w:name="_Toc162444606"/>
      <w:r w:rsidRPr="003C2F75">
        <w:rPr>
          <w:lang w:val="es-ES_tradnl"/>
        </w:rPr>
        <w:t>2.1.2</w:t>
      </w:r>
      <w:r w:rsidRPr="003C2F75">
        <w:rPr>
          <w:lang w:val="es-ES_tradnl"/>
        </w:rPr>
        <w:tab/>
        <w:t>Mediciones</w:t>
      </w:r>
      <w:bookmarkEnd w:id="600"/>
      <w:bookmarkEnd w:id="601"/>
      <w:bookmarkEnd w:id="602"/>
      <w:bookmarkEnd w:id="603"/>
      <w:bookmarkEnd w:id="604"/>
      <w:bookmarkEnd w:id="605"/>
      <w:bookmarkEnd w:id="606"/>
      <w:bookmarkEnd w:id="607"/>
      <w:bookmarkEnd w:id="608"/>
      <w:bookmarkEnd w:id="609"/>
      <w:bookmarkEnd w:id="610"/>
    </w:p>
    <w:p w14:paraId="3CD9BEE4" w14:textId="77777777" w:rsidR="0086339D" w:rsidRPr="003C2F75" w:rsidRDefault="0086339D" w:rsidP="0086339D">
      <w:pPr>
        <w:rPr>
          <w:lang w:val="es-ES_tradnl"/>
        </w:rPr>
      </w:pPr>
      <w:r w:rsidRPr="003C2F75">
        <w:rPr>
          <w:lang w:val="es-ES_tradnl"/>
        </w:rPr>
        <w:t>Se han realizado mediciones utilizando un medidor de intensidad de campo de banda ancha instalado sobre una carretilla dieléctrica desplazada por un operador situado lejos del emplaza</w:t>
      </w:r>
      <w:r w:rsidRPr="003C2F75">
        <w:rPr>
          <w:lang w:val="es-ES_tradnl"/>
        </w:rPr>
        <w:softHyphen/>
        <w:t>miento de la antena. De esta forma se evita cualquier tipo de perturbación en el campo E/H.</w:t>
      </w:r>
    </w:p>
    <w:p w14:paraId="087D049A" w14:textId="77777777" w:rsidR="0086339D" w:rsidRPr="003C2F75" w:rsidRDefault="0086339D" w:rsidP="0086339D">
      <w:pPr>
        <w:pStyle w:val="Heading4"/>
        <w:rPr>
          <w:lang w:val="es-ES_tradnl"/>
        </w:rPr>
      </w:pPr>
      <w:r w:rsidRPr="003C2F75">
        <w:rPr>
          <w:lang w:val="es-ES_tradnl"/>
        </w:rPr>
        <w:t>2.1.2.1</w:t>
      </w:r>
      <w:r w:rsidRPr="003C2F75">
        <w:rPr>
          <w:lang w:val="es-ES_tradnl"/>
        </w:rPr>
        <w:tab/>
        <w:t>Resultados de las mediciones</w:t>
      </w:r>
    </w:p>
    <w:p w14:paraId="3F263E45" w14:textId="6DB45B88" w:rsidR="0086339D" w:rsidRPr="0056409E" w:rsidRDefault="0086339D" w:rsidP="0086339D">
      <w:pPr>
        <w:rPr>
          <w:lang w:val="es-ES_tradnl"/>
        </w:rPr>
      </w:pPr>
      <w:r w:rsidRPr="003C2F75">
        <w:rPr>
          <w:lang w:val="es-ES_tradnl"/>
        </w:rPr>
        <w:t xml:space="preserve">Los valores medidos se presentan en la </w:t>
      </w:r>
      <w:r w:rsidR="0042201F">
        <w:rPr>
          <w:lang w:val="es-ES_tradnl"/>
        </w:rPr>
        <w:t>Fig.</w:t>
      </w:r>
      <w:r w:rsidRPr="003C2F75">
        <w:rPr>
          <w:lang w:val="es-ES_tradnl"/>
        </w:rPr>
        <w:t xml:space="preserve"> 23 (campo E) y en la </w:t>
      </w:r>
      <w:r w:rsidR="0042201F">
        <w:rPr>
          <w:lang w:val="es-ES_tradnl"/>
        </w:rPr>
        <w:t>Fig.</w:t>
      </w:r>
      <w:r w:rsidRPr="003C2F75">
        <w:rPr>
          <w:lang w:val="es-ES_tradnl"/>
        </w:rPr>
        <w:t> 24 (campo H). Las Figs</w:t>
      </w:r>
      <w:r w:rsidR="0042201F">
        <w:rPr>
          <w:lang w:val="es-ES_tradnl"/>
        </w:rPr>
        <w:t>.</w:t>
      </w:r>
      <w:r w:rsidRPr="003C2F75">
        <w:rPr>
          <w:lang w:val="es-ES_tradnl"/>
        </w:rPr>
        <w:t> 23 y 24 pueden compararse directamente con las Figs</w:t>
      </w:r>
      <w:r w:rsidR="0042201F">
        <w:rPr>
          <w:lang w:val="es-ES_tradnl"/>
        </w:rPr>
        <w:t>.</w:t>
      </w:r>
      <w:r w:rsidRPr="003C2F75">
        <w:rPr>
          <w:lang w:val="es-ES_tradnl"/>
        </w:rPr>
        <w:t> 19 y 20, respectivamente.</w:t>
      </w:r>
    </w:p>
    <w:p w14:paraId="392FAAFE" w14:textId="77777777" w:rsidR="0086339D" w:rsidRPr="0056409E" w:rsidRDefault="0086339D" w:rsidP="0086339D">
      <w:pPr>
        <w:pStyle w:val="FigureNo"/>
        <w:rPr>
          <w:rFonts w:ascii="Times New Roman Bold" w:hAnsi="Times New Roman Bold"/>
          <w:b/>
          <w:lang w:val="es-ES_tradnl"/>
        </w:rPr>
      </w:pPr>
      <w:r w:rsidRPr="0056409E">
        <w:rPr>
          <w:lang w:val="es-ES_tradnl"/>
        </w:rPr>
        <w:lastRenderedPageBreak/>
        <w:t>FIGURA 23</w:t>
      </w:r>
    </w:p>
    <w:p w14:paraId="74BFA883" w14:textId="77777777" w:rsidR="0086339D" w:rsidRPr="0056409E" w:rsidRDefault="0086339D" w:rsidP="0086339D">
      <w:pPr>
        <w:pStyle w:val="Figuretitle"/>
        <w:rPr>
          <w:lang w:val="es-ES_tradnl"/>
        </w:rPr>
      </w:pPr>
      <w:r w:rsidRPr="0056409E">
        <w:rPr>
          <w:lang w:val="es-ES_tradnl"/>
        </w:rPr>
        <w:t>Campo E medido</w:t>
      </w:r>
    </w:p>
    <w:p w14:paraId="77B0AC69" w14:textId="79B1C22B" w:rsidR="0086339D" w:rsidRPr="00A502D6" w:rsidRDefault="0086339D" w:rsidP="0086339D">
      <w:pPr>
        <w:pStyle w:val="Figure"/>
      </w:pPr>
      <w:r w:rsidRPr="0056409E">
        <w:rPr>
          <w:lang w:val="es-ES_tradnl"/>
        </w:rPr>
        <w:t xml:space="preserve"> </w:t>
      </w:r>
      <w:r w:rsidR="00A502D6" w:rsidRPr="00A502D6">
        <w:rPr>
          <w:noProof/>
        </w:rPr>
        <w:drawing>
          <wp:inline distT="0" distB="0" distL="0" distR="0" wp14:anchorId="472C8A04" wp14:editId="583EBBA6">
            <wp:extent cx="4531995" cy="31172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31995" cy="3117215"/>
                    </a:xfrm>
                    <a:prstGeom prst="rect">
                      <a:avLst/>
                    </a:prstGeom>
                    <a:noFill/>
                    <a:ln>
                      <a:noFill/>
                    </a:ln>
                  </pic:spPr>
                </pic:pic>
              </a:graphicData>
            </a:graphic>
          </wp:inline>
        </w:drawing>
      </w:r>
    </w:p>
    <w:p w14:paraId="52231E6B" w14:textId="0515392C" w:rsidR="0086339D" w:rsidRPr="00082983" w:rsidRDefault="0086339D" w:rsidP="0086339D">
      <w:pPr>
        <w:rPr>
          <w:lang w:val="es-ES_tradnl"/>
        </w:rPr>
      </w:pPr>
      <w:r w:rsidRPr="00082983">
        <w:rPr>
          <w:lang w:val="es-ES_tradnl"/>
        </w:rPr>
        <w:t>En el eje horizontal se representa la distancia en metros desde la antena (barrido Y). La intensidad de las componentes del campo E se representa en V/m en el eje vertical. Las tres componentes x, y, z del campo E están presentes y la línea superior representa el valor total.</w:t>
      </w:r>
    </w:p>
    <w:p w14:paraId="2852E363" w14:textId="77777777" w:rsidR="0086339D" w:rsidRPr="00082983" w:rsidRDefault="0086339D" w:rsidP="0086339D">
      <w:pPr>
        <w:pStyle w:val="FigureNo"/>
        <w:rPr>
          <w:rFonts w:ascii="Times New Roman Bold" w:hAnsi="Times New Roman Bold"/>
          <w:b/>
          <w:lang w:val="es-ES_tradnl"/>
        </w:rPr>
      </w:pPr>
      <w:r w:rsidRPr="00082983">
        <w:rPr>
          <w:lang w:val="es-ES_tradnl"/>
        </w:rPr>
        <w:t>FIGURA 24</w:t>
      </w:r>
    </w:p>
    <w:p w14:paraId="0EEA11C1" w14:textId="77777777" w:rsidR="0086339D" w:rsidRPr="0056409E" w:rsidRDefault="0086339D" w:rsidP="0086339D">
      <w:pPr>
        <w:pStyle w:val="Figuretitle"/>
        <w:rPr>
          <w:lang w:val="es-ES_tradnl"/>
        </w:rPr>
      </w:pPr>
      <w:r w:rsidRPr="00082983">
        <w:rPr>
          <w:lang w:val="es-ES_tradnl"/>
        </w:rPr>
        <w:t>Campo H medido</w:t>
      </w:r>
    </w:p>
    <w:p w14:paraId="4D4E7830" w14:textId="2441B12B" w:rsidR="0086339D" w:rsidRPr="0056409E" w:rsidRDefault="00082983" w:rsidP="00082983">
      <w:pPr>
        <w:pStyle w:val="Figure"/>
        <w:rPr>
          <w:lang w:val="es-ES_tradnl"/>
        </w:rPr>
      </w:pPr>
      <w:r w:rsidRPr="00082983">
        <w:rPr>
          <w:noProof/>
        </w:rPr>
        <w:drawing>
          <wp:inline distT="0" distB="0" distL="0" distR="0" wp14:anchorId="3146A4CD" wp14:editId="433EF993">
            <wp:extent cx="4603750" cy="287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03750" cy="2870200"/>
                    </a:xfrm>
                    <a:prstGeom prst="rect">
                      <a:avLst/>
                    </a:prstGeom>
                    <a:noFill/>
                    <a:ln>
                      <a:noFill/>
                    </a:ln>
                  </pic:spPr>
                </pic:pic>
              </a:graphicData>
            </a:graphic>
          </wp:inline>
        </w:drawing>
      </w:r>
    </w:p>
    <w:p w14:paraId="5665B901" w14:textId="77777777" w:rsidR="0086339D" w:rsidRPr="0056409E" w:rsidRDefault="0086339D" w:rsidP="0086339D">
      <w:pPr>
        <w:rPr>
          <w:lang w:val="es-ES_tradnl"/>
        </w:rPr>
      </w:pPr>
      <w:bookmarkStart w:id="611" w:name="_Toc65546019"/>
      <w:bookmarkStart w:id="612" w:name="_Toc65546201"/>
      <w:bookmarkStart w:id="613" w:name="_Toc65546342"/>
      <w:r w:rsidRPr="0056409E">
        <w:rPr>
          <w:lang w:val="es-ES_tradnl"/>
        </w:rPr>
        <w:t>En el eje horizontal se representa la distancia en metros desde la antena (barrido Y). La intensidad de las componentes del campo H se representa en A/m en el eje vertical. Las tres compo</w:t>
      </w:r>
      <w:r w:rsidRPr="0056409E">
        <w:rPr>
          <w:lang w:val="es-ES_tradnl"/>
        </w:rPr>
        <w:softHyphen/>
        <w:t>nentes x, y, z del campo H están presentes y la línea superior representa el valor total.</w:t>
      </w:r>
    </w:p>
    <w:p w14:paraId="177746F7" w14:textId="77777777" w:rsidR="0086339D" w:rsidRPr="0056409E" w:rsidRDefault="0086339D" w:rsidP="0086339D">
      <w:pPr>
        <w:pStyle w:val="Heading2"/>
        <w:rPr>
          <w:lang w:val="es-ES_tradnl"/>
        </w:rPr>
      </w:pPr>
      <w:r w:rsidRPr="0056409E">
        <w:rPr>
          <w:lang w:val="es-ES_tradnl"/>
        </w:rPr>
        <w:br w:type="page"/>
      </w:r>
      <w:bookmarkStart w:id="614" w:name="_Toc86461549"/>
      <w:bookmarkStart w:id="615" w:name="_Toc162005935"/>
      <w:bookmarkStart w:id="616" w:name="_Toc162006261"/>
      <w:bookmarkStart w:id="617" w:name="_Toc162444607"/>
      <w:bookmarkStart w:id="618" w:name="_Toc162518219"/>
      <w:bookmarkStart w:id="619" w:name="_Toc162518742"/>
      <w:r w:rsidRPr="0056409E">
        <w:rPr>
          <w:lang w:val="es-ES_tradnl"/>
        </w:rPr>
        <w:lastRenderedPageBreak/>
        <w:t>2.2</w:t>
      </w:r>
      <w:r w:rsidRPr="0056409E">
        <w:rPr>
          <w:lang w:val="es-ES_tradnl"/>
        </w:rPr>
        <w:tab/>
        <w:t>18 MHz</w:t>
      </w:r>
      <w:bookmarkEnd w:id="611"/>
      <w:bookmarkEnd w:id="612"/>
      <w:bookmarkEnd w:id="613"/>
      <w:bookmarkEnd w:id="614"/>
      <w:bookmarkEnd w:id="615"/>
      <w:bookmarkEnd w:id="616"/>
      <w:bookmarkEnd w:id="617"/>
      <w:bookmarkEnd w:id="618"/>
      <w:bookmarkEnd w:id="619"/>
    </w:p>
    <w:p w14:paraId="55EA1EE9" w14:textId="77777777" w:rsidR="0086339D" w:rsidRPr="0056409E" w:rsidRDefault="0086339D" w:rsidP="0086339D">
      <w:pPr>
        <w:pStyle w:val="Heading3"/>
        <w:rPr>
          <w:lang w:val="es-ES_tradnl"/>
        </w:rPr>
      </w:pPr>
      <w:bookmarkStart w:id="620" w:name="_Toc65546020"/>
      <w:bookmarkStart w:id="621" w:name="_Toc65546202"/>
      <w:bookmarkStart w:id="622" w:name="_Toc86461550"/>
      <w:bookmarkStart w:id="623" w:name="_Toc162005936"/>
      <w:bookmarkStart w:id="624" w:name="_Toc162006031"/>
      <w:bookmarkStart w:id="625" w:name="_Toc162006262"/>
      <w:bookmarkStart w:id="626" w:name="_Toc162008617"/>
      <w:bookmarkStart w:id="627" w:name="_Toc162443608"/>
      <w:bookmarkStart w:id="628" w:name="_Toc162443827"/>
      <w:bookmarkStart w:id="629" w:name="_Toc162444057"/>
      <w:bookmarkStart w:id="630" w:name="_Toc162444608"/>
      <w:r w:rsidRPr="0056409E">
        <w:rPr>
          <w:lang w:val="es-ES_tradnl"/>
        </w:rPr>
        <w:t>2.2.1</w:t>
      </w:r>
      <w:r w:rsidRPr="0056409E">
        <w:rPr>
          <w:lang w:val="es-ES_tradnl"/>
        </w:rPr>
        <w:tab/>
        <w:t>Predicciones</w:t>
      </w:r>
      <w:bookmarkEnd w:id="620"/>
      <w:bookmarkEnd w:id="621"/>
      <w:bookmarkEnd w:id="622"/>
      <w:bookmarkEnd w:id="623"/>
      <w:bookmarkEnd w:id="624"/>
      <w:bookmarkEnd w:id="625"/>
      <w:bookmarkEnd w:id="626"/>
      <w:bookmarkEnd w:id="627"/>
      <w:bookmarkEnd w:id="628"/>
      <w:bookmarkEnd w:id="629"/>
      <w:bookmarkEnd w:id="630"/>
    </w:p>
    <w:p w14:paraId="11B0BECB" w14:textId="77777777" w:rsidR="0086339D" w:rsidRPr="0056409E" w:rsidRDefault="0086339D" w:rsidP="0086339D">
      <w:pPr>
        <w:pStyle w:val="Heading4"/>
        <w:rPr>
          <w:lang w:val="es-ES_tradnl"/>
        </w:rPr>
      </w:pPr>
      <w:r w:rsidRPr="0056409E">
        <w:rPr>
          <w:lang w:val="es-ES_tradnl"/>
        </w:rPr>
        <w:t>2.2.1.1</w:t>
      </w:r>
      <w:r w:rsidRPr="0056409E">
        <w:rPr>
          <w:lang w:val="es-ES_tradnl"/>
        </w:rPr>
        <w:tab/>
        <w:t>Notas sobre el modelo</w:t>
      </w:r>
    </w:p>
    <w:p w14:paraId="449425AC" w14:textId="77777777" w:rsidR="0086339D" w:rsidRPr="0056409E" w:rsidRDefault="0086339D" w:rsidP="0086339D">
      <w:pPr>
        <w:rPr>
          <w:lang w:val="es-ES_tradnl"/>
        </w:rPr>
      </w:pPr>
      <w:r w:rsidRPr="0056409E">
        <w:rPr>
          <w:lang w:val="es-ES_tradnl"/>
        </w:rPr>
        <w:t>Para ajustar mejor el modelo antes descrito al sistema real de antenas, es necesario conocer la cantidad exacta de potencia a la entrada de cada dipolo, teniendo en cuenta las pérdidas en la línea de transmisión y las pérdidas debidas a la desadaptación.</w:t>
      </w:r>
    </w:p>
    <w:p w14:paraId="02760C9B" w14:textId="4CF5CF4D" w:rsidR="0086339D" w:rsidRPr="0056409E" w:rsidRDefault="0086339D" w:rsidP="0086339D">
      <w:pPr>
        <w:rPr>
          <w:lang w:val="es-ES_tradnl"/>
        </w:rPr>
      </w:pPr>
      <w:r w:rsidRPr="0056409E">
        <w:rPr>
          <w:lang w:val="es-ES_tradnl"/>
        </w:rPr>
        <w:t xml:space="preserve">Para aplicar el valor de tensión adecuada en cada dipolo, en la simulación se calcula la impedancia de entrada de cada uno de los dipolos y los valores se representan en la </w:t>
      </w:r>
      <w:r w:rsidR="0042201F">
        <w:rPr>
          <w:lang w:val="es-ES_tradnl"/>
        </w:rPr>
        <w:t>Fig.</w:t>
      </w:r>
      <w:r w:rsidRPr="0056409E">
        <w:rPr>
          <w:lang w:val="es-ES_tradnl"/>
        </w:rPr>
        <w:t> 25.</w:t>
      </w:r>
    </w:p>
    <w:p w14:paraId="05CE56FA" w14:textId="77777777" w:rsidR="0086339D" w:rsidRPr="0056409E" w:rsidRDefault="0086339D" w:rsidP="0086339D">
      <w:pPr>
        <w:pStyle w:val="FigureNo"/>
        <w:rPr>
          <w:rFonts w:ascii="Times New Roman Bold" w:hAnsi="Times New Roman Bold"/>
          <w:b/>
          <w:lang w:val="es-ES_tradnl"/>
        </w:rPr>
      </w:pPr>
      <w:r w:rsidRPr="0056409E">
        <w:rPr>
          <w:lang w:val="es-ES_tradnl"/>
        </w:rPr>
        <w:t>FIGURA 25</w:t>
      </w:r>
    </w:p>
    <w:p w14:paraId="57EB5EEE" w14:textId="77777777" w:rsidR="0086339D" w:rsidRPr="0056409E" w:rsidRDefault="0086339D" w:rsidP="0086339D">
      <w:pPr>
        <w:pStyle w:val="Figuretitle"/>
        <w:rPr>
          <w:lang w:val="es-ES_tradnl"/>
        </w:rPr>
      </w:pPr>
      <w:r w:rsidRPr="0056409E">
        <w:rPr>
          <w:lang w:val="es-ES_tradnl"/>
        </w:rPr>
        <w:t>Impedancia de entrada de los dipolos, normalizada a 180 Ω</w:t>
      </w:r>
    </w:p>
    <w:p w14:paraId="07B49F3D" w14:textId="30FC7791" w:rsidR="0086339D" w:rsidRPr="0056409E" w:rsidRDefault="00082983" w:rsidP="00082983">
      <w:pPr>
        <w:pStyle w:val="Figure"/>
        <w:rPr>
          <w:lang w:val="es-ES_tradnl"/>
          <w:rPrChange w:id="631" w:author="Spanish" w:date="2024-03-19T11:38:00Z">
            <w:rPr>
              <w:lang w:val="en-US"/>
            </w:rPr>
          </w:rPrChange>
        </w:rPr>
      </w:pPr>
      <w:r w:rsidRPr="00082983">
        <w:rPr>
          <w:noProof/>
        </w:rPr>
        <w:drawing>
          <wp:inline distT="0" distB="0" distL="0" distR="0" wp14:anchorId="362AA173" wp14:editId="36AE97ED">
            <wp:extent cx="3204210" cy="3594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04210" cy="3594100"/>
                    </a:xfrm>
                    <a:prstGeom prst="rect">
                      <a:avLst/>
                    </a:prstGeom>
                    <a:noFill/>
                    <a:ln>
                      <a:noFill/>
                    </a:ln>
                  </pic:spPr>
                </pic:pic>
              </a:graphicData>
            </a:graphic>
          </wp:inline>
        </w:drawing>
      </w:r>
    </w:p>
    <w:p w14:paraId="374D97B7" w14:textId="77777777" w:rsidR="0086339D" w:rsidRPr="0056409E" w:rsidRDefault="0086339D" w:rsidP="0086339D">
      <w:pPr>
        <w:rPr>
          <w:lang w:val="es-ES_tradnl"/>
        </w:rPr>
      </w:pPr>
      <w:r w:rsidRPr="0056409E">
        <w:rPr>
          <w:lang w:val="es-ES_tradnl"/>
        </w:rPr>
        <w:t>A continuación, para cada dipolo se ha adoptado un valor común de resistencia igual a 180 </w:t>
      </w:r>
      <w:r w:rsidRPr="0056409E">
        <w:rPr>
          <w:rFonts w:ascii="Symbol" w:hAnsi="Symbol"/>
          <w:lang w:val="es-ES_tradnl"/>
        </w:rPr>
        <w:t></w:t>
      </w:r>
      <w:r w:rsidRPr="0056409E">
        <w:rPr>
          <w:lang w:val="es-ES_tradnl"/>
        </w:rPr>
        <w:t>, ya que éste es el valor medio obtenido de la simulación. Obsérvese que esta decisión puede ser causa de imprecisión en los resultados.</w:t>
      </w:r>
    </w:p>
    <w:p w14:paraId="36C215EE" w14:textId="77777777" w:rsidR="0086339D" w:rsidRPr="0056409E" w:rsidRDefault="0086339D" w:rsidP="0086339D">
      <w:pPr>
        <w:rPr>
          <w:lang w:val="es-ES_tradnl"/>
        </w:rPr>
      </w:pPr>
      <w:r w:rsidRPr="0056409E">
        <w:rPr>
          <w:lang w:val="es-ES_tradnl"/>
        </w:rPr>
        <w:t>Gracias al bajo valor de las componentes reactivas de la impedancia de entrada compleja, no sería necesario realizar ningún ajuste en la potencia del transmisor para compensar las pérdidas de potencia debidas a la desadaptación y la consiguiente reflexión entre el transmisor y la antena.</w:t>
      </w:r>
    </w:p>
    <w:p w14:paraId="4ED02C1E" w14:textId="77777777" w:rsidR="0086339D" w:rsidRPr="0056409E" w:rsidRDefault="0086339D" w:rsidP="0086339D">
      <w:pPr>
        <w:rPr>
          <w:iCs/>
          <w:lang w:val="es-ES_tradnl"/>
        </w:rPr>
      </w:pPr>
      <w:r w:rsidRPr="0056409E">
        <w:rPr>
          <w:lang w:val="es-ES_tradnl"/>
        </w:rPr>
        <w:t xml:space="preserve">Obsérvese la pequeña, </w:t>
      </w:r>
      <w:r w:rsidRPr="0026381C">
        <w:rPr>
          <w:lang w:val="es-ES_tradnl"/>
        </w:rPr>
        <w:t>pero no inexistente</w:t>
      </w:r>
      <w:r w:rsidRPr="0056409E">
        <w:rPr>
          <w:lang w:val="es-ES_tradnl"/>
        </w:rPr>
        <w:t>, dispersión de los valores de la resistencia cerca de 180 </w:t>
      </w:r>
      <w:r w:rsidRPr="0056409E">
        <w:rPr>
          <w:rFonts w:ascii="Symbol" w:hAnsi="Symbol"/>
          <w:lang w:val="es-ES_tradnl"/>
        </w:rPr>
        <w:t></w:t>
      </w:r>
      <w:r w:rsidRPr="0056409E">
        <w:rPr>
          <w:lang w:val="es-ES_tradnl"/>
        </w:rPr>
        <w:t xml:space="preserve"> y la ausencia notable de componentes reactivas.</w:t>
      </w:r>
    </w:p>
    <w:p w14:paraId="233960E1" w14:textId="533F388C" w:rsidR="0086339D" w:rsidRPr="0056409E" w:rsidRDefault="0086339D" w:rsidP="0086339D">
      <w:pPr>
        <w:pStyle w:val="Heading4"/>
        <w:rPr>
          <w:lang w:val="es-ES_tradnl"/>
        </w:rPr>
      </w:pPr>
      <w:r w:rsidRPr="0056409E">
        <w:rPr>
          <w:lang w:val="es-ES_tradnl"/>
        </w:rPr>
        <w:t>2.2.1.2</w:t>
      </w:r>
      <w:r w:rsidRPr="0056409E">
        <w:rPr>
          <w:lang w:val="es-ES_tradnl"/>
        </w:rPr>
        <w:tab/>
        <w:t>Evaluaciones del campo lejano</w:t>
      </w:r>
    </w:p>
    <w:p w14:paraId="6B465361" w14:textId="23B7BDF1" w:rsidR="0086339D" w:rsidRPr="0056409E" w:rsidRDefault="0086339D" w:rsidP="0086339D">
      <w:pPr>
        <w:rPr>
          <w:caps/>
          <w:sz w:val="18"/>
          <w:lang w:val="es-ES_tradnl"/>
        </w:rPr>
      </w:pPr>
      <w:r w:rsidRPr="0056409E">
        <w:rPr>
          <w:lang w:val="es-ES_tradnl"/>
        </w:rPr>
        <w:t>Para comparar mejor el comportamiento del modelo con las antenas reales, indicado en las Figs</w:t>
      </w:r>
      <w:r w:rsidR="0042201F">
        <w:rPr>
          <w:lang w:val="es-ES_tradnl"/>
        </w:rPr>
        <w:t>.</w:t>
      </w:r>
      <w:r w:rsidRPr="0056409E">
        <w:rPr>
          <w:lang w:val="es-ES_tradnl"/>
        </w:rPr>
        <w:t xml:space="preserve"> 11 y 12, se han calculado los diagramas de radiación y los resultados se muestran en la </w:t>
      </w:r>
      <w:r w:rsidR="0042201F">
        <w:rPr>
          <w:lang w:val="es-ES_tradnl"/>
        </w:rPr>
        <w:t>Fig.</w:t>
      </w:r>
      <w:r w:rsidRPr="0056409E">
        <w:rPr>
          <w:lang w:val="es-ES_tradnl"/>
        </w:rPr>
        <w:t xml:space="preserve"> 26 (plano horizontal), en la </w:t>
      </w:r>
      <w:r w:rsidR="0042201F">
        <w:rPr>
          <w:lang w:val="es-ES_tradnl"/>
        </w:rPr>
        <w:t>Fig.</w:t>
      </w:r>
      <w:r w:rsidRPr="0056409E">
        <w:rPr>
          <w:lang w:val="es-ES_tradnl"/>
        </w:rPr>
        <w:t xml:space="preserve"> 27 (plano vertical) y en la </w:t>
      </w:r>
      <w:r w:rsidR="0042201F">
        <w:rPr>
          <w:lang w:val="es-ES_tradnl"/>
        </w:rPr>
        <w:t>Fig.</w:t>
      </w:r>
      <w:r w:rsidRPr="0056409E">
        <w:rPr>
          <w:lang w:val="es-ES_tradnl"/>
        </w:rPr>
        <w:t xml:space="preserve"> 28 (vista frontal).</w:t>
      </w:r>
    </w:p>
    <w:p w14:paraId="03F9A08F" w14:textId="77777777" w:rsidR="0086339D" w:rsidRPr="0056409E" w:rsidRDefault="0086339D" w:rsidP="0086339D">
      <w:pPr>
        <w:pStyle w:val="FigureNo"/>
        <w:rPr>
          <w:rFonts w:ascii="Times New Roman Bold" w:hAnsi="Times New Roman Bold"/>
          <w:b/>
          <w:lang w:val="es-ES_tradnl"/>
        </w:rPr>
      </w:pPr>
      <w:r w:rsidRPr="0056409E">
        <w:rPr>
          <w:lang w:val="es-ES_tradnl"/>
        </w:rPr>
        <w:lastRenderedPageBreak/>
        <w:t>FIGURA 26</w:t>
      </w:r>
    </w:p>
    <w:p w14:paraId="1A914C38" w14:textId="77777777" w:rsidR="0086339D" w:rsidRPr="0056409E" w:rsidRDefault="0086339D" w:rsidP="0086339D">
      <w:pPr>
        <w:pStyle w:val="Figuretitle"/>
        <w:rPr>
          <w:lang w:val="es-ES_tradnl"/>
        </w:rPr>
      </w:pPr>
      <w:r w:rsidRPr="0056409E">
        <w:rPr>
          <w:lang w:val="es-ES_tradnl"/>
        </w:rPr>
        <w:t>Diagrama de radiación en el plano horizontal</w:t>
      </w:r>
    </w:p>
    <w:p w14:paraId="5325B1A5" w14:textId="77777777" w:rsidR="0086339D" w:rsidRPr="0056409E" w:rsidRDefault="0086339D" w:rsidP="0086339D">
      <w:pPr>
        <w:pStyle w:val="Figure"/>
        <w:rPr>
          <w:lang w:val="es-ES_tradnl"/>
        </w:rPr>
      </w:pPr>
      <w:r w:rsidRPr="0056409E">
        <w:rPr>
          <w:noProof/>
          <w:lang w:val="es-ES_tradnl"/>
        </w:rPr>
        <w:drawing>
          <wp:inline distT="0" distB="0" distL="0" distR="0" wp14:anchorId="149A178B" wp14:editId="7685E810">
            <wp:extent cx="4105664" cy="2804166"/>
            <wp:effectExtent l="0" t="0" r="9525" b="0"/>
            <wp:docPr id="46" name="Picture 46" descr="A picture containing sketch, drawing, invertebrate, lin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sketch, drawing, invertebrate, line art&#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105664" cy="2804166"/>
                    </a:xfrm>
                    <a:prstGeom prst="rect">
                      <a:avLst/>
                    </a:prstGeom>
                  </pic:spPr>
                </pic:pic>
              </a:graphicData>
            </a:graphic>
          </wp:inline>
        </w:drawing>
      </w:r>
    </w:p>
    <w:p w14:paraId="681CF4B6" w14:textId="77777777" w:rsidR="0086339D" w:rsidRPr="0056409E" w:rsidRDefault="0086339D" w:rsidP="0086339D">
      <w:pPr>
        <w:pStyle w:val="FigureNo"/>
        <w:rPr>
          <w:rFonts w:ascii="Times New Roman Bold" w:hAnsi="Times New Roman Bold"/>
          <w:b/>
          <w:lang w:val="es-ES_tradnl"/>
        </w:rPr>
      </w:pPr>
      <w:r w:rsidRPr="0056409E">
        <w:rPr>
          <w:lang w:val="es-ES_tradnl"/>
        </w:rPr>
        <w:t>FIGURA 27</w:t>
      </w:r>
    </w:p>
    <w:p w14:paraId="39E4C7EE" w14:textId="77777777" w:rsidR="0086339D" w:rsidRPr="0056409E" w:rsidRDefault="0086339D" w:rsidP="0086339D">
      <w:pPr>
        <w:pStyle w:val="Figuretitle"/>
        <w:rPr>
          <w:lang w:val="es-ES_tradnl"/>
        </w:rPr>
      </w:pPr>
      <w:r w:rsidRPr="0056409E">
        <w:rPr>
          <w:lang w:val="es-ES_tradnl"/>
        </w:rPr>
        <w:t>Diagrama de radiación en el plano vertical</w:t>
      </w:r>
    </w:p>
    <w:p w14:paraId="18D6B8D3" w14:textId="77777777" w:rsidR="0086339D" w:rsidRPr="0056409E" w:rsidRDefault="0086339D" w:rsidP="0086339D">
      <w:pPr>
        <w:pStyle w:val="Figure"/>
        <w:rPr>
          <w:lang w:val="es-ES_tradnl"/>
        </w:rPr>
      </w:pPr>
      <w:r w:rsidRPr="0056409E">
        <w:rPr>
          <w:noProof/>
          <w:lang w:val="es-ES_tradnl"/>
        </w:rPr>
        <w:drawing>
          <wp:inline distT="0" distB="0" distL="0" distR="0" wp14:anchorId="0A24B357" wp14:editId="3D00B818">
            <wp:extent cx="4294641" cy="1246635"/>
            <wp:effectExtent l="0" t="0" r="0" b="0"/>
            <wp:docPr id="47" name="Picture 47" descr="A black and white drawing of a fea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lack and white drawing of a feather&#10;&#10;Description automatically generated with low confidenc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294641" cy="1246635"/>
                    </a:xfrm>
                    <a:prstGeom prst="rect">
                      <a:avLst/>
                    </a:prstGeom>
                  </pic:spPr>
                </pic:pic>
              </a:graphicData>
            </a:graphic>
          </wp:inline>
        </w:drawing>
      </w:r>
    </w:p>
    <w:p w14:paraId="007D3572" w14:textId="77777777" w:rsidR="0086339D" w:rsidRPr="0056409E" w:rsidRDefault="0086339D" w:rsidP="0086339D">
      <w:pPr>
        <w:pStyle w:val="FigureNo"/>
        <w:rPr>
          <w:rFonts w:ascii="Times New Roman Bold" w:hAnsi="Times New Roman Bold"/>
          <w:b/>
          <w:lang w:val="es-ES_tradnl"/>
        </w:rPr>
      </w:pPr>
      <w:r w:rsidRPr="0056409E">
        <w:rPr>
          <w:lang w:val="es-ES_tradnl"/>
        </w:rPr>
        <w:t>FIGURA 28</w:t>
      </w:r>
    </w:p>
    <w:p w14:paraId="5E781221" w14:textId="77777777" w:rsidR="0086339D" w:rsidRPr="0056409E" w:rsidRDefault="0086339D" w:rsidP="0086339D">
      <w:pPr>
        <w:pStyle w:val="Figuretitle"/>
        <w:rPr>
          <w:lang w:val="es-ES_tradnl"/>
        </w:rPr>
      </w:pPr>
      <w:r w:rsidRPr="0056409E">
        <w:rPr>
          <w:lang w:val="es-ES_tradnl"/>
        </w:rPr>
        <w:t>Diagrama de radiación, vista frontal</w:t>
      </w:r>
    </w:p>
    <w:p w14:paraId="3F5C7347" w14:textId="77777777" w:rsidR="0086339D" w:rsidRPr="0056409E" w:rsidRDefault="0086339D" w:rsidP="0086339D">
      <w:pPr>
        <w:pStyle w:val="Figure"/>
        <w:rPr>
          <w:lang w:val="es-ES_tradnl"/>
        </w:rPr>
      </w:pPr>
      <w:r w:rsidRPr="0056409E">
        <w:rPr>
          <w:noProof/>
          <w:lang w:val="es-ES_tradnl"/>
        </w:rPr>
        <w:drawing>
          <wp:inline distT="0" distB="0" distL="0" distR="0" wp14:anchorId="5FA33FFE" wp14:editId="14DAD3DC">
            <wp:extent cx="4465329" cy="2511557"/>
            <wp:effectExtent l="0" t="0" r="0" b="3175"/>
            <wp:docPr id="48" name="Picture 48" descr="A picture containing sketch, drawing, art, lin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sketch, drawing, art, line art&#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465329" cy="2511557"/>
                    </a:xfrm>
                    <a:prstGeom prst="rect">
                      <a:avLst/>
                    </a:prstGeom>
                  </pic:spPr>
                </pic:pic>
              </a:graphicData>
            </a:graphic>
          </wp:inline>
        </w:drawing>
      </w:r>
    </w:p>
    <w:p w14:paraId="39ADCF92" w14:textId="05A189F1" w:rsidR="0086339D" w:rsidRPr="00AB4A78" w:rsidRDefault="0086339D" w:rsidP="0086339D">
      <w:pPr>
        <w:pStyle w:val="Heading4"/>
        <w:rPr>
          <w:lang w:val="es-ES_tradnl"/>
        </w:rPr>
      </w:pPr>
      <w:r w:rsidRPr="00AB4A78">
        <w:rPr>
          <w:lang w:val="es-ES_tradnl"/>
        </w:rPr>
        <w:lastRenderedPageBreak/>
        <w:t>2.2.1.3</w:t>
      </w:r>
      <w:r w:rsidRPr="00AB4A78">
        <w:rPr>
          <w:lang w:val="es-ES_tradnl"/>
        </w:rPr>
        <w:tab/>
        <w:t>Resultados de la predicción de la intensidad de campo en la zona cercana</w:t>
      </w:r>
    </w:p>
    <w:p w14:paraId="5C00F1B3" w14:textId="129EC30F" w:rsidR="0086339D" w:rsidRPr="0056409E" w:rsidRDefault="0086339D" w:rsidP="003C2F75">
      <w:pPr>
        <w:rPr>
          <w:lang w:val="es-ES_tradnl"/>
        </w:rPr>
      </w:pPr>
      <w:r w:rsidRPr="00AB4A78">
        <w:rPr>
          <w:lang w:val="es-ES_tradnl"/>
        </w:rPr>
        <w:t>Se realizó una predicción calculando las componentes</w:t>
      </w:r>
      <w:r w:rsidRPr="0056409E">
        <w:rPr>
          <w:lang w:val="es-ES_tradnl"/>
        </w:rPr>
        <w:t xml:space="preserve"> x, y, z de los campos E y H en dirección de la máxima ganancia de antena (eje Y) a una altura de 2 m sobre el nivel del suelo (eje Z </w:t>
      </w:r>
      <w:r w:rsidRPr="0056409E">
        <w:rPr>
          <w:rFonts w:ascii="Symbol" w:hAnsi="Symbol"/>
          <w:lang w:val="es-ES_tradnl"/>
        </w:rPr>
        <w:t></w:t>
      </w:r>
      <w:r w:rsidRPr="0056409E">
        <w:rPr>
          <w:lang w:val="es-ES_tradnl"/>
        </w:rPr>
        <w:t xml:space="preserve"> 2). Los valores calculados se representan en la </w:t>
      </w:r>
      <w:r w:rsidR="0042201F">
        <w:rPr>
          <w:lang w:val="es-ES_tradnl"/>
        </w:rPr>
        <w:t>Fig.</w:t>
      </w:r>
      <w:r w:rsidRPr="0056409E">
        <w:rPr>
          <w:lang w:val="es-ES_tradnl"/>
        </w:rPr>
        <w:t xml:space="preserve"> 29 (campo E) y en la </w:t>
      </w:r>
      <w:r w:rsidR="0042201F">
        <w:rPr>
          <w:lang w:val="es-ES_tradnl"/>
        </w:rPr>
        <w:t>Fig.</w:t>
      </w:r>
      <w:r w:rsidRPr="0056409E">
        <w:rPr>
          <w:lang w:val="es-ES_tradnl"/>
        </w:rPr>
        <w:t xml:space="preserve"> 30 (campo H). La fuerte influencia del terreno tanto en las evaluaciones como en las mediciones puede introducir una diferencia adicional entre los dos resultados. Para demostrar la gran influencia del terreno, los valores de los campos E y H también se han calculado variando la altura del punto de evaluación sobre el nivel del suelo (eje Z) desde 0 hasta 9 m para una distancia fija de 60 m (Y </w:t>
      </w:r>
      <w:r w:rsidRPr="0056409E">
        <w:rPr>
          <w:rFonts w:ascii="Symbol" w:hAnsi="Symbol"/>
          <w:lang w:val="es-ES_tradnl"/>
        </w:rPr>
        <w:t></w:t>
      </w:r>
      <w:r w:rsidRPr="0056409E">
        <w:rPr>
          <w:lang w:val="es-ES_tradnl"/>
        </w:rPr>
        <w:t> 60). El compor</w:t>
      </w:r>
      <w:r w:rsidRPr="0056409E">
        <w:rPr>
          <w:lang w:val="es-ES_tradnl"/>
        </w:rPr>
        <w:softHyphen/>
        <w:t xml:space="preserve">tamiento se representa en la </w:t>
      </w:r>
      <w:r w:rsidR="0042201F">
        <w:rPr>
          <w:lang w:val="es-ES_tradnl"/>
        </w:rPr>
        <w:t>Fig.</w:t>
      </w:r>
      <w:r w:rsidRPr="0056409E">
        <w:rPr>
          <w:lang w:val="es-ES_tradnl"/>
        </w:rPr>
        <w:t xml:space="preserve"> 31 (campo E) y en la </w:t>
      </w:r>
      <w:r w:rsidR="0042201F">
        <w:rPr>
          <w:lang w:val="es-ES_tradnl"/>
        </w:rPr>
        <w:t>Fig.</w:t>
      </w:r>
      <w:r w:rsidRPr="0056409E">
        <w:rPr>
          <w:lang w:val="es-ES_tradnl"/>
        </w:rPr>
        <w:t xml:space="preserve"> 32 (campo H).</w:t>
      </w:r>
    </w:p>
    <w:p w14:paraId="2B453BD1" w14:textId="77777777" w:rsidR="0086339D" w:rsidRPr="00FC6BD5" w:rsidRDefault="0086339D" w:rsidP="0086339D">
      <w:pPr>
        <w:pStyle w:val="FigureNo"/>
        <w:rPr>
          <w:rFonts w:ascii="Times New Roman Bold" w:hAnsi="Times New Roman Bold"/>
          <w:b/>
          <w:lang w:val="es-ES_tradnl"/>
        </w:rPr>
      </w:pPr>
      <w:r w:rsidRPr="00FC6BD5">
        <w:rPr>
          <w:lang w:val="es-ES_tradnl"/>
        </w:rPr>
        <w:t>FIGURA 29</w:t>
      </w:r>
    </w:p>
    <w:p w14:paraId="1A1487F6" w14:textId="77777777" w:rsidR="0086339D" w:rsidRPr="0056409E" w:rsidRDefault="0086339D" w:rsidP="0086339D">
      <w:pPr>
        <w:pStyle w:val="Figuretitle"/>
        <w:rPr>
          <w:lang w:val="es-ES_tradnl"/>
        </w:rPr>
      </w:pPr>
      <w:r w:rsidRPr="00FC6BD5">
        <w:rPr>
          <w:lang w:val="es-ES_tradnl"/>
        </w:rPr>
        <w:t>Intensidad del campo eléctrico E calculada en la zona cercana</w:t>
      </w:r>
    </w:p>
    <w:p w14:paraId="20B0A357" w14:textId="50E176B2" w:rsidR="0086339D" w:rsidRPr="0056409E" w:rsidRDefault="00FC6BD5" w:rsidP="0086339D">
      <w:pPr>
        <w:pStyle w:val="Figure"/>
        <w:rPr>
          <w:caps w:val="0"/>
          <w:lang w:val="es-ES_tradnl"/>
        </w:rPr>
      </w:pPr>
      <w:r w:rsidRPr="00FC6BD5">
        <w:rPr>
          <w:noProof/>
        </w:rPr>
        <w:drawing>
          <wp:inline distT="0" distB="0" distL="0" distR="0" wp14:anchorId="78B02325" wp14:editId="7E2E4A33">
            <wp:extent cx="4921885" cy="43808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21885" cy="4380865"/>
                    </a:xfrm>
                    <a:prstGeom prst="rect">
                      <a:avLst/>
                    </a:prstGeom>
                    <a:noFill/>
                    <a:ln>
                      <a:noFill/>
                    </a:ln>
                  </pic:spPr>
                </pic:pic>
              </a:graphicData>
            </a:graphic>
          </wp:inline>
        </w:drawing>
      </w:r>
    </w:p>
    <w:p w14:paraId="2950030C" w14:textId="77777777" w:rsidR="0086339D" w:rsidRPr="0056409E" w:rsidRDefault="0086339D" w:rsidP="0086339D">
      <w:pPr>
        <w:rPr>
          <w:lang w:val="es-ES_tradnl"/>
        </w:rPr>
      </w:pPr>
      <w:r w:rsidRPr="0056409E">
        <w:rPr>
          <w:lang w:val="es-ES_tradnl"/>
        </w:rPr>
        <w:t>La contribución más importante es la componente x. En el eje horizontal se representa la distancia en metros desde la antena (barrido Y). Z se fija a un valor de 2 m (altura sobre el nivel del suelo). La intensidad de las componentes del campo E se representa en V/m en el eje vertical.</w:t>
      </w:r>
    </w:p>
    <w:p w14:paraId="7D91A54B" w14:textId="77777777" w:rsidR="0086339D" w:rsidRPr="0056409E" w:rsidRDefault="0086339D" w:rsidP="0086339D">
      <w:pPr>
        <w:pStyle w:val="FigureNo"/>
        <w:rPr>
          <w:rFonts w:ascii="Times New Roman Bold" w:hAnsi="Times New Roman Bold"/>
          <w:b/>
          <w:lang w:val="es-ES_tradnl"/>
        </w:rPr>
      </w:pPr>
      <w:r w:rsidRPr="0056409E">
        <w:rPr>
          <w:lang w:val="es-ES_tradnl"/>
        </w:rPr>
        <w:lastRenderedPageBreak/>
        <w:t>FIGURA 30</w:t>
      </w:r>
    </w:p>
    <w:p w14:paraId="577F2874" w14:textId="77777777" w:rsidR="0086339D" w:rsidRPr="0056409E" w:rsidRDefault="0086339D" w:rsidP="0086339D">
      <w:pPr>
        <w:pStyle w:val="Figuretitle"/>
        <w:rPr>
          <w:lang w:val="es-ES_tradnl"/>
        </w:rPr>
      </w:pPr>
      <w:r w:rsidRPr="0056409E">
        <w:rPr>
          <w:lang w:val="es-ES_tradnl"/>
        </w:rPr>
        <w:t>Intensidad de campo magnético cercano H calculada en la zona cercana</w:t>
      </w:r>
    </w:p>
    <w:p w14:paraId="443FCDDF" w14:textId="153F40FF" w:rsidR="0086339D" w:rsidRPr="0056409E" w:rsidRDefault="004115ED" w:rsidP="0086339D">
      <w:pPr>
        <w:pStyle w:val="Figure"/>
        <w:rPr>
          <w:caps w:val="0"/>
          <w:lang w:val="es-ES_tradnl"/>
        </w:rPr>
      </w:pPr>
      <w:r w:rsidRPr="004115ED">
        <w:rPr>
          <w:noProof/>
        </w:rPr>
        <w:drawing>
          <wp:inline distT="0" distB="0" distL="0" distR="0" wp14:anchorId="6FFDC399" wp14:editId="2FC43558">
            <wp:extent cx="4921885" cy="38087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21885" cy="3808730"/>
                    </a:xfrm>
                    <a:prstGeom prst="rect">
                      <a:avLst/>
                    </a:prstGeom>
                    <a:noFill/>
                    <a:ln>
                      <a:noFill/>
                    </a:ln>
                  </pic:spPr>
                </pic:pic>
              </a:graphicData>
            </a:graphic>
          </wp:inline>
        </w:drawing>
      </w:r>
    </w:p>
    <w:p w14:paraId="303D04D6" w14:textId="69BD10BF" w:rsidR="0086339D" w:rsidRPr="0056409E" w:rsidRDefault="0086339D" w:rsidP="0086339D">
      <w:pPr>
        <w:rPr>
          <w:lang w:val="es-ES_tradnl"/>
        </w:rPr>
      </w:pPr>
      <w:r w:rsidRPr="0056409E">
        <w:rPr>
          <w:lang w:val="es-ES_tradnl"/>
        </w:rPr>
        <w:t>La principal contribución es la de la componente y. La componente z es menor y la componente x toma el valor 0. En el eje horizontal se representa la distancia en metros desde la antena (barrido Y). Z se fija a un valor de 2 m (altura sobre el nivel del suelo). La intensidad de las componentes del campo H se representa en A/m sobre el eje vertical.</w:t>
      </w:r>
    </w:p>
    <w:p w14:paraId="2FEF6461" w14:textId="77777777" w:rsidR="0086339D" w:rsidRPr="0056409E" w:rsidRDefault="0086339D" w:rsidP="0086339D">
      <w:pPr>
        <w:pStyle w:val="FigureNo"/>
        <w:rPr>
          <w:rFonts w:ascii="Times New Roman Bold" w:hAnsi="Times New Roman Bold"/>
          <w:b/>
          <w:lang w:val="es-ES_tradnl"/>
        </w:rPr>
      </w:pPr>
      <w:r w:rsidRPr="0056409E">
        <w:rPr>
          <w:lang w:val="es-ES_tradnl"/>
        </w:rPr>
        <w:lastRenderedPageBreak/>
        <w:t>FIGURA 31</w:t>
      </w:r>
    </w:p>
    <w:p w14:paraId="7D1D12DC" w14:textId="053A801C" w:rsidR="0086339D" w:rsidRPr="0056409E" w:rsidRDefault="0086339D" w:rsidP="0086339D">
      <w:pPr>
        <w:pStyle w:val="Figuretitle"/>
        <w:rPr>
          <w:lang w:val="es-ES_tradnl"/>
        </w:rPr>
      </w:pPr>
      <w:r w:rsidRPr="0056409E">
        <w:rPr>
          <w:lang w:val="es-ES_tradnl"/>
        </w:rPr>
        <w:t>Intensidad del campo E calculada a una distancia de 60 m desde la antena (Y = 60) a distintas alturas entre 0 y 9 m</w:t>
      </w:r>
      <w:r w:rsidR="003C2F75">
        <w:rPr>
          <w:lang w:val="es-ES_tradnl"/>
        </w:rPr>
        <w:br/>
      </w:r>
      <w:r w:rsidRPr="0056409E">
        <w:rPr>
          <w:lang w:val="es-ES_tradnl"/>
        </w:rPr>
        <w:t>(barrido Z)</w:t>
      </w:r>
    </w:p>
    <w:p w14:paraId="5F698E7C" w14:textId="39136BE8" w:rsidR="0086339D" w:rsidRPr="0056409E" w:rsidRDefault="000D2FC4" w:rsidP="0086339D">
      <w:pPr>
        <w:pStyle w:val="Figure"/>
        <w:rPr>
          <w:caps w:val="0"/>
          <w:lang w:val="es-ES_tradnl"/>
        </w:rPr>
      </w:pPr>
      <w:r w:rsidRPr="000D2FC4">
        <w:rPr>
          <w:noProof/>
        </w:rPr>
        <w:drawing>
          <wp:inline distT="0" distB="0" distL="0" distR="0" wp14:anchorId="2BBF38B9" wp14:editId="39B69ED6">
            <wp:extent cx="4707255" cy="444260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79">
                      <a:extLst>
                        <a:ext uri="{28A0092B-C50C-407E-A947-70E740481C1C}">
                          <a14:useLocalDpi xmlns:a14="http://schemas.microsoft.com/office/drawing/2010/main" val="0"/>
                        </a:ext>
                      </a:extLst>
                    </a:blip>
                    <a:srcRect b="23672"/>
                    <a:stretch/>
                  </pic:blipFill>
                  <pic:spPr bwMode="auto">
                    <a:xfrm>
                      <a:off x="0" y="0"/>
                      <a:ext cx="4707255" cy="4442604"/>
                    </a:xfrm>
                    <a:prstGeom prst="rect">
                      <a:avLst/>
                    </a:prstGeom>
                    <a:noFill/>
                    <a:ln>
                      <a:noFill/>
                    </a:ln>
                    <a:extLst>
                      <a:ext uri="{53640926-AAD7-44D8-BBD7-CCE9431645EC}">
                        <a14:shadowObscured xmlns:a14="http://schemas.microsoft.com/office/drawing/2010/main"/>
                      </a:ext>
                    </a:extLst>
                  </pic:spPr>
                </pic:pic>
              </a:graphicData>
            </a:graphic>
          </wp:inline>
        </w:drawing>
      </w:r>
    </w:p>
    <w:p w14:paraId="62126C81" w14:textId="77777777" w:rsidR="0086339D" w:rsidRPr="0056409E" w:rsidRDefault="0086339D" w:rsidP="0086339D">
      <w:pPr>
        <w:rPr>
          <w:lang w:val="es-ES_tradnl"/>
        </w:rPr>
      </w:pPr>
      <w:r w:rsidRPr="0056409E">
        <w:rPr>
          <w:lang w:val="es-ES_tradnl"/>
        </w:rPr>
        <w:t>La estrecha relación entre los valores de E y la altura (sólo se representa la componente x del campo E) es evidente.</w:t>
      </w:r>
    </w:p>
    <w:p w14:paraId="77D97304" w14:textId="77777777" w:rsidR="0086339D" w:rsidRPr="0056409E" w:rsidRDefault="0086339D" w:rsidP="0086339D">
      <w:pPr>
        <w:pStyle w:val="FigureNo"/>
        <w:rPr>
          <w:rFonts w:ascii="Times New Roman Bold" w:hAnsi="Times New Roman Bold"/>
          <w:b/>
          <w:lang w:val="es-ES_tradnl"/>
        </w:rPr>
      </w:pPr>
      <w:r w:rsidRPr="0056409E">
        <w:rPr>
          <w:lang w:val="es-ES_tradnl"/>
        </w:rPr>
        <w:lastRenderedPageBreak/>
        <w:t>FIGURE 32</w:t>
      </w:r>
    </w:p>
    <w:p w14:paraId="64242223" w14:textId="7F8AB473" w:rsidR="0086339D" w:rsidRPr="0056409E" w:rsidRDefault="0086339D" w:rsidP="0086339D">
      <w:pPr>
        <w:pStyle w:val="Figuretitle"/>
        <w:rPr>
          <w:lang w:val="es-ES_tradnl"/>
        </w:rPr>
      </w:pPr>
      <w:r w:rsidRPr="0056409E">
        <w:rPr>
          <w:lang w:val="es-ES_tradnl"/>
        </w:rPr>
        <w:t>Intensidad del campo H calculada a una distancia de 60 m desde la antena (Y = 60) a distintas alturas entre 0 y 9 m</w:t>
      </w:r>
      <w:r w:rsidR="003C2F75">
        <w:rPr>
          <w:lang w:val="es-ES_tradnl"/>
        </w:rPr>
        <w:br/>
      </w:r>
      <w:r w:rsidRPr="0056409E">
        <w:rPr>
          <w:lang w:val="es-ES_tradnl"/>
        </w:rPr>
        <w:t>(barrido Z)</w:t>
      </w:r>
    </w:p>
    <w:p w14:paraId="593E9791" w14:textId="7A6BE203" w:rsidR="0086339D" w:rsidRPr="0056409E" w:rsidRDefault="00454C1B" w:rsidP="0086339D">
      <w:pPr>
        <w:pStyle w:val="Figure"/>
        <w:rPr>
          <w:lang w:val="es-ES_tradnl"/>
        </w:rPr>
      </w:pPr>
      <w:r w:rsidRPr="00454C1B">
        <w:rPr>
          <w:noProof/>
        </w:rPr>
        <w:drawing>
          <wp:inline distT="0" distB="0" distL="0" distR="0" wp14:anchorId="10263015" wp14:editId="05BE8E75">
            <wp:extent cx="4929505" cy="392811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29505" cy="3928110"/>
                    </a:xfrm>
                    <a:prstGeom prst="rect">
                      <a:avLst/>
                    </a:prstGeom>
                    <a:noFill/>
                    <a:ln>
                      <a:noFill/>
                    </a:ln>
                  </pic:spPr>
                </pic:pic>
              </a:graphicData>
            </a:graphic>
          </wp:inline>
        </w:drawing>
      </w:r>
    </w:p>
    <w:p w14:paraId="7825663F" w14:textId="77777777" w:rsidR="0086339D" w:rsidRPr="0056409E" w:rsidRDefault="0086339D" w:rsidP="0086339D">
      <w:pPr>
        <w:rPr>
          <w:lang w:val="es-ES_tradnl"/>
        </w:rPr>
      </w:pPr>
      <w:bookmarkStart w:id="632" w:name="_Toc65546021"/>
      <w:bookmarkStart w:id="633" w:name="_Toc65546203"/>
      <w:r w:rsidRPr="0056409E">
        <w:rPr>
          <w:lang w:val="es-ES_tradnl"/>
        </w:rPr>
        <w:t>La estrecha relación entre los valores de H y la altura (están presentes tanto la componente z como la componente y del campo H, el valor de la componente y es bastante constante) es evidente.</w:t>
      </w:r>
    </w:p>
    <w:p w14:paraId="4EA91524" w14:textId="77777777" w:rsidR="0086339D" w:rsidRPr="0056409E" w:rsidRDefault="0086339D" w:rsidP="0086339D">
      <w:pPr>
        <w:pStyle w:val="Heading3"/>
        <w:rPr>
          <w:lang w:val="es-ES_tradnl"/>
        </w:rPr>
      </w:pPr>
      <w:bookmarkStart w:id="634" w:name="_Toc86461551"/>
      <w:bookmarkStart w:id="635" w:name="_Toc162005937"/>
      <w:bookmarkStart w:id="636" w:name="_Toc162006032"/>
      <w:bookmarkStart w:id="637" w:name="_Toc162006263"/>
      <w:bookmarkStart w:id="638" w:name="_Toc162008618"/>
      <w:bookmarkStart w:id="639" w:name="_Toc162443609"/>
      <w:bookmarkStart w:id="640" w:name="_Toc162443828"/>
      <w:bookmarkStart w:id="641" w:name="_Toc162444058"/>
      <w:bookmarkStart w:id="642" w:name="_Toc162444609"/>
      <w:r w:rsidRPr="0056409E">
        <w:rPr>
          <w:lang w:val="es-ES_tradnl"/>
        </w:rPr>
        <w:t>2.2.2</w:t>
      </w:r>
      <w:r w:rsidRPr="0056409E">
        <w:rPr>
          <w:lang w:val="es-ES_tradnl"/>
        </w:rPr>
        <w:tab/>
        <w:t>Mediciones</w:t>
      </w:r>
      <w:bookmarkEnd w:id="632"/>
      <w:bookmarkEnd w:id="633"/>
      <w:bookmarkEnd w:id="634"/>
      <w:bookmarkEnd w:id="635"/>
      <w:bookmarkEnd w:id="636"/>
      <w:bookmarkEnd w:id="637"/>
      <w:bookmarkEnd w:id="638"/>
      <w:bookmarkEnd w:id="639"/>
      <w:bookmarkEnd w:id="640"/>
      <w:bookmarkEnd w:id="641"/>
      <w:bookmarkEnd w:id="642"/>
    </w:p>
    <w:p w14:paraId="479CEFBA" w14:textId="75D636AB" w:rsidR="0086339D" w:rsidRPr="0056409E" w:rsidRDefault="0086339D" w:rsidP="0086339D">
      <w:pPr>
        <w:rPr>
          <w:lang w:val="es-ES_tradnl"/>
        </w:rPr>
      </w:pPr>
      <w:r w:rsidRPr="0056409E">
        <w:rPr>
          <w:lang w:val="es-ES_tradnl"/>
        </w:rPr>
        <w:t>Se han realizado mediciones utilizando un medidor de intensidad de campo de banda ancha instalado en una carreta dieléctrica desplazada por un operador situado lejos del emplazamiento de la antena. De esta forma se evita cualquier tipo de perturbación sobre los campos E/H.</w:t>
      </w:r>
    </w:p>
    <w:p w14:paraId="6AA590C1" w14:textId="77777777" w:rsidR="0086339D" w:rsidRPr="0056409E" w:rsidRDefault="0086339D" w:rsidP="0086339D">
      <w:pPr>
        <w:pStyle w:val="Heading4"/>
        <w:rPr>
          <w:lang w:val="es-ES_tradnl"/>
        </w:rPr>
      </w:pPr>
      <w:r w:rsidRPr="0056409E">
        <w:rPr>
          <w:lang w:val="es-ES_tradnl"/>
        </w:rPr>
        <w:t>2.2.2.1</w:t>
      </w:r>
      <w:r w:rsidRPr="0056409E">
        <w:rPr>
          <w:lang w:val="es-ES_tradnl"/>
        </w:rPr>
        <w:tab/>
        <w:t>Resultados de las mediciones</w:t>
      </w:r>
    </w:p>
    <w:p w14:paraId="6CAF2250" w14:textId="43AEADDD" w:rsidR="0086339D" w:rsidRPr="0056409E" w:rsidRDefault="0086339D" w:rsidP="0086339D">
      <w:pPr>
        <w:rPr>
          <w:lang w:val="es-ES_tradnl"/>
        </w:rPr>
      </w:pPr>
      <w:r w:rsidRPr="0056409E">
        <w:rPr>
          <w:lang w:val="es-ES_tradnl"/>
        </w:rPr>
        <w:t xml:space="preserve">Los valores medidos se representan en la </w:t>
      </w:r>
      <w:r w:rsidR="0042201F">
        <w:rPr>
          <w:lang w:val="es-ES_tradnl"/>
        </w:rPr>
        <w:t>Fig.</w:t>
      </w:r>
      <w:r w:rsidRPr="0056409E">
        <w:rPr>
          <w:lang w:val="es-ES_tradnl"/>
        </w:rPr>
        <w:t xml:space="preserve"> 33 (campo E) y en la </w:t>
      </w:r>
      <w:r w:rsidR="0042201F">
        <w:rPr>
          <w:lang w:val="es-ES_tradnl"/>
        </w:rPr>
        <w:t>Fig.</w:t>
      </w:r>
      <w:r w:rsidRPr="0056409E">
        <w:rPr>
          <w:lang w:val="es-ES_tradnl"/>
        </w:rPr>
        <w:t xml:space="preserve"> 34 (campo H). Las </w:t>
      </w:r>
      <w:r w:rsidR="0042201F">
        <w:rPr>
          <w:lang w:val="es-ES_tradnl"/>
        </w:rPr>
        <w:t>Fig</w:t>
      </w:r>
      <w:r w:rsidRPr="0056409E">
        <w:rPr>
          <w:lang w:val="es-ES_tradnl"/>
        </w:rPr>
        <w:t>s</w:t>
      </w:r>
      <w:r w:rsidR="0042201F">
        <w:rPr>
          <w:lang w:val="es-ES_tradnl"/>
        </w:rPr>
        <w:t>.</w:t>
      </w:r>
      <w:r w:rsidRPr="0056409E">
        <w:rPr>
          <w:lang w:val="es-ES_tradnl"/>
        </w:rPr>
        <w:t> 33 y 34 pueden compararse directamente con las Figs</w:t>
      </w:r>
      <w:r w:rsidR="0042201F">
        <w:rPr>
          <w:lang w:val="es-ES_tradnl"/>
        </w:rPr>
        <w:t>.</w:t>
      </w:r>
      <w:r w:rsidRPr="0056409E">
        <w:rPr>
          <w:lang w:val="es-ES_tradnl"/>
        </w:rPr>
        <w:t xml:space="preserve"> 28 y 29, respectivamente.</w:t>
      </w:r>
    </w:p>
    <w:p w14:paraId="15C44DFA" w14:textId="77777777" w:rsidR="0086339D" w:rsidRPr="0056409E" w:rsidRDefault="0086339D" w:rsidP="0086339D">
      <w:pPr>
        <w:pStyle w:val="FigureNo"/>
        <w:rPr>
          <w:lang w:val="es-ES_tradnl"/>
        </w:rPr>
      </w:pPr>
      <w:r w:rsidRPr="0056409E">
        <w:rPr>
          <w:lang w:val="es-ES_tradnl"/>
        </w:rPr>
        <w:lastRenderedPageBreak/>
        <w:t>FIGURA 33</w:t>
      </w:r>
    </w:p>
    <w:p w14:paraId="26F02D7D" w14:textId="77777777" w:rsidR="0086339D" w:rsidRPr="0056409E" w:rsidRDefault="0086339D" w:rsidP="0086339D">
      <w:pPr>
        <w:pStyle w:val="Figuretitle"/>
        <w:rPr>
          <w:caps/>
          <w:lang w:val="es-ES_tradnl"/>
        </w:rPr>
      </w:pPr>
      <w:r w:rsidRPr="0056409E">
        <w:rPr>
          <w:lang w:val="es-ES_tradnl"/>
        </w:rPr>
        <w:t>Intensidad del campo E medida en la zona cercana</w:t>
      </w:r>
    </w:p>
    <w:p w14:paraId="670DDAB1" w14:textId="0D6AB88E" w:rsidR="0086339D" w:rsidRPr="0056409E" w:rsidRDefault="00454C1B" w:rsidP="0086339D">
      <w:pPr>
        <w:pStyle w:val="Figure"/>
        <w:rPr>
          <w:lang w:val="es-ES_tradnl"/>
        </w:rPr>
      </w:pPr>
      <w:r w:rsidRPr="00454C1B">
        <w:rPr>
          <w:noProof/>
        </w:rPr>
        <w:drawing>
          <wp:inline distT="0" distB="0" distL="0" distR="0" wp14:anchorId="5C656428" wp14:editId="4DDF5FCA">
            <wp:extent cx="4531995" cy="41027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31995" cy="4102735"/>
                    </a:xfrm>
                    <a:prstGeom prst="rect">
                      <a:avLst/>
                    </a:prstGeom>
                    <a:noFill/>
                    <a:ln>
                      <a:noFill/>
                    </a:ln>
                  </pic:spPr>
                </pic:pic>
              </a:graphicData>
            </a:graphic>
          </wp:inline>
        </w:drawing>
      </w:r>
    </w:p>
    <w:p w14:paraId="630A31FE" w14:textId="77777777" w:rsidR="0086339D" w:rsidRPr="0056409E" w:rsidRDefault="0086339D" w:rsidP="0086339D">
      <w:pPr>
        <w:rPr>
          <w:lang w:val="es-ES_tradnl"/>
        </w:rPr>
      </w:pPr>
      <w:r w:rsidRPr="0056409E">
        <w:rPr>
          <w:lang w:val="es-ES_tradnl"/>
        </w:rPr>
        <w:t>En el eje horizontal se representa la distancia en metros desde la antena (barrido Y). La intensidad de las componentes del campo E se representa en V/m en el eje vertical. Las tres componentes x, y, z del campo E están presentes y la línea superior representa el valor total.</w:t>
      </w:r>
    </w:p>
    <w:p w14:paraId="192CC43A" w14:textId="77777777" w:rsidR="0086339D" w:rsidRPr="001F0089" w:rsidRDefault="0086339D" w:rsidP="0086339D">
      <w:pPr>
        <w:pStyle w:val="FigureNo"/>
        <w:rPr>
          <w:rFonts w:ascii="Times New Roman Bold" w:hAnsi="Times New Roman Bold"/>
          <w:b/>
          <w:lang w:val="es-ES_tradnl"/>
        </w:rPr>
      </w:pPr>
      <w:r w:rsidRPr="001F0089">
        <w:rPr>
          <w:lang w:val="es-ES_tradnl"/>
        </w:rPr>
        <w:t>FIGURA 34</w:t>
      </w:r>
    </w:p>
    <w:p w14:paraId="6570AE93" w14:textId="77777777" w:rsidR="0086339D" w:rsidRPr="0056409E" w:rsidRDefault="0086339D" w:rsidP="0086339D">
      <w:pPr>
        <w:pStyle w:val="Figuretitle"/>
        <w:rPr>
          <w:lang w:val="es-ES_tradnl"/>
        </w:rPr>
      </w:pPr>
      <w:r w:rsidRPr="001F0089">
        <w:rPr>
          <w:lang w:val="es-ES_tradnl"/>
        </w:rPr>
        <w:t>Intensidad del campo H medida en la zona cercana</w:t>
      </w:r>
    </w:p>
    <w:p w14:paraId="2EE61E83" w14:textId="640583A8" w:rsidR="0086339D" w:rsidRPr="0056409E" w:rsidRDefault="001F0089" w:rsidP="0086339D">
      <w:pPr>
        <w:pStyle w:val="Figure"/>
        <w:rPr>
          <w:lang w:val="es-ES_tradnl"/>
        </w:rPr>
      </w:pPr>
      <w:r w:rsidRPr="001F0089">
        <w:rPr>
          <w:noProof/>
        </w:rPr>
        <w:drawing>
          <wp:inline distT="0" distB="0" distL="0" distR="0" wp14:anchorId="3FD00B34" wp14:editId="786C0B96">
            <wp:extent cx="4691380" cy="28943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91380" cy="2894330"/>
                    </a:xfrm>
                    <a:prstGeom prst="rect">
                      <a:avLst/>
                    </a:prstGeom>
                    <a:noFill/>
                    <a:ln>
                      <a:noFill/>
                    </a:ln>
                  </pic:spPr>
                </pic:pic>
              </a:graphicData>
            </a:graphic>
          </wp:inline>
        </w:drawing>
      </w:r>
    </w:p>
    <w:p w14:paraId="0611F917" w14:textId="77777777" w:rsidR="0086339D" w:rsidRPr="0056409E" w:rsidRDefault="0086339D" w:rsidP="0086339D">
      <w:pPr>
        <w:rPr>
          <w:lang w:val="es-ES_tradnl"/>
        </w:rPr>
      </w:pPr>
      <w:r w:rsidRPr="0056409E">
        <w:rPr>
          <w:lang w:val="es-ES_tradnl"/>
        </w:rPr>
        <w:lastRenderedPageBreak/>
        <w:t>En el eje horizontal se representa la distancia en metros desde la antena (barrido Y). La intensidad de las componentes del campo H se representan en A/m en el eje vertical. Las tres componentes x, y, z del campo H están presentes y la línea superior representa el valor total.</w:t>
      </w:r>
    </w:p>
    <w:p w14:paraId="7A8DA1DF" w14:textId="77777777" w:rsidR="0086339D" w:rsidRPr="0056409E" w:rsidRDefault="0086339D" w:rsidP="0086339D">
      <w:pPr>
        <w:pStyle w:val="Heading2"/>
        <w:rPr>
          <w:lang w:val="es-ES_tradnl"/>
        </w:rPr>
      </w:pPr>
      <w:bookmarkStart w:id="643" w:name="_Toc65546022"/>
      <w:bookmarkStart w:id="644" w:name="_Toc65546204"/>
      <w:bookmarkStart w:id="645" w:name="_Toc65546343"/>
      <w:bookmarkStart w:id="646" w:name="_Toc86461552"/>
      <w:bookmarkStart w:id="647" w:name="_Toc162005938"/>
      <w:bookmarkStart w:id="648" w:name="_Toc162006264"/>
      <w:bookmarkStart w:id="649" w:name="_Toc162444610"/>
      <w:bookmarkStart w:id="650" w:name="_Toc162518220"/>
      <w:bookmarkStart w:id="651" w:name="_Toc162518743"/>
      <w:r w:rsidRPr="0056409E">
        <w:rPr>
          <w:lang w:val="es-ES_tradnl"/>
        </w:rPr>
        <w:t>2.3</w:t>
      </w:r>
      <w:r w:rsidRPr="0056409E">
        <w:rPr>
          <w:lang w:val="es-ES_tradnl"/>
        </w:rPr>
        <w:tab/>
        <w:t>Comparación entre mediciones y predicciones de la intensidad de campo en la zona cercana</w:t>
      </w:r>
      <w:bookmarkEnd w:id="643"/>
      <w:bookmarkEnd w:id="644"/>
      <w:bookmarkEnd w:id="645"/>
      <w:bookmarkEnd w:id="646"/>
      <w:bookmarkEnd w:id="647"/>
      <w:bookmarkEnd w:id="648"/>
      <w:bookmarkEnd w:id="649"/>
      <w:bookmarkEnd w:id="650"/>
      <w:bookmarkEnd w:id="651"/>
    </w:p>
    <w:p w14:paraId="2687E2E5" w14:textId="77777777" w:rsidR="0086339D" w:rsidRPr="0056409E" w:rsidRDefault="0086339D" w:rsidP="0086339D">
      <w:pPr>
        <w:pStyle w:val="Heading3"/>
        <w:rPr>
          <w:lang w:val="es-ES_tradnl"/>
        </w:rPr>
      </w:pPr>
      <w:bookmarkStart w:id="652" w:name="_Toc65546023"/>
      <w:bookmarkStart w:id="653" w:name="_Toc65546205"/>
      <w:bookmarkStart w:id="654" w:name="_Toc86461553"/>
      <w:bookmarkStart w:id="655" w:name="_Toc162005939"/>
      <w:bookmarkStart w:id="656" w:name="_Toc162006034"/>
      <w:bookmarkStart w:id="657" w:name="_Toc162006265"/>
      <w:bookmarkStart w:id="658" w:name="_Toc162008620"/>
      <w:bookmarkStart w:id="659" w:name="_Toc162443611"/>
      <w:bookmarkStart w:id="660" w:name="_Toc162443830"/>
      <w:bookmarkStart w:id="661" w:name="_Toc162444060"/>
      <w:bookmarkStart w:id="662" w:name="_Toc162444611"/>
      <w:r w:rsidRPr="0056409E">
        <w:rPr>
          <w:lang w:val="es-ES_tradnl"/>
        </w:rPr>
        <w:t>2.3.1</w:t>
      </w:r>
      <w:r w:rsidRPr="0056409E">
        <w:rPr>
          <w:lang w:val="es-ES_tradnl"/>
        </w:rPr>
        <w:tab/>
        <w:t>13 MHz</w:t>
      </w:r>
      <w:bookmarkEnd w:id="652"/>
      <w:bookmarkEnd w:id="653"/>
      <w:bookmarkEnd w:id="654"/>
      <w:bookmarkEnd w:id="655"/>
      <w:bookmarkEnd w:id="656"/>
      <w:bookmarkEnd w:id="657"/>
      <w:bookmarkEnd w:id="658"/>
      <w:bookmarkEnd w:id="659"/>
      <w:bookmarkEnd w:id="660"/>
      <w:bookmarkEnd w:id="661"/>
      <w:bookmarkEnd w:id="662"/>
    </w:p>
    <w:p w14:paraId="461840D6" w14:textId="77777777" w:rsidR="0086339D" w:rsidRPr="0056409E" w:rsidRDefault="0086339D" w:rsidP="0086339D">
      <w:pPr>
        <w:rPr>
          <w:lang w:val="es-ES_tradnl"/>
        </w:rPr>
      </w:pPr>
      <w:r w:rsidRPr="0056409E">
        <w:rPr>
          <w:lang w:val="es-ES_tradnl"/>
        </w:rPr>
        <w:t>A una distancia inferior a 40 m, en la predicción se han obtenido valores, tanto para el campo E como para el campo H, superiores a los medidos; los máximos valores de E y H se encontraron a distancias comprendidas entre 10 y 20 m desde la antena, tanto en los resultados de la simulación como en las mediciones.</w:t>
      </w:r>
    </w:p>
    <w:p w14:paraId="2B7C1CD2" w14:textId="77777777" w:rsidR="0086339D" w:rsidRPr="0056409E" w:rsidRDefault="0086339D" w:rsidP="0086339D">
      <w:pPr>
        <w:rPr>
          <w:lang w:val="es-ES_tradnl"/>
        </w:rPr>
      </w:pPr>
      <w:r w:rsidRPr="0056409E">
        <w:rPr>
          <w:lang w:val="es-ES_tradnl"/>
        </w:rPr>
        <w:t>En los valores previsto y medido hay un «mínimo» evidente a 40 m de la antena, más acusado en la predicción que en la medición.</w:t>
      </w:r>
    </w:p>
    <w:p w14:paraId="536A7E47" w14:textId="77777777" w:rsidR="0086339D" w:rsidRPr="0056409E" w:rsidRDefault="0086339D" w:rsidP="0086339D">
      <w:pPr>
        <w:rPr>
          <w:lang w:val="es-ES_tradnl"/>
        </w:rPr>
      </w:pPr>
      <w:r w:rsidRPr="0056409E">
        <w:rPr>
          <w:lang w:val="es-ES_tradnl"/>
        </w:rPr>
        <w:t>El segundo «máximo» alcanza su cresta, en ambos casos, a 75 m de la antena; en este caso los valores obtenidos en las simulaciones son inferiores a los valores obtenidos en las mediciones.</w:t>
      </w:r>
    </w:p>
    <w:p w14:paraId="377B4967" w14:textId="77777777" w:rsidR="0086339D" w:rsidRPr="0056409E" w:rsidRDefault="0086339D" w:rsidP="0086339D">
      <w:pPr>
        <w:rPr>
          <w:lang w:val="es-ES_tradnl"/>
        </w:rPr>
      </w:pPr>
      <w:r w:rsidRPr="0056409E">
        <w:rPr>
          <w:lang w:val="es-ES_tradnl"/>
        </w:rPr>
        <w:t>A grandes distancias, 250 m de la antena, todos los campos alcanzaron prácticamente los mismos valores en la predicción y en la medición.</w:t>
      </w:r>
    </w:p>
    <w:p w14:paraId="0FBBC592" w14:textId="77777777" w:rsidR="0086339D" w:rsidRPr="0056409E" w:rsidRDefault="0086339D" w:rsidP="0086339D">
      <w:pPr>
        <w:pStyle w:val="Heading3"/>
        <w:rPr>
          <w:lang w:val="es-ES_tradnl"/>
        </w:rPr>
      </w:pPr>
      <w:bookmarkStart w:id="663" w:name="_Toc65546024"/>
      <w:bookmarkStart w:id="664" w:name="_Toc65546206"/>
      <w:bookmarkStart w:id="665" w:name="_Toc86461554"/>
      <w:bookmarkStart w:id="666" w:name="_Toc162005940"/>
      <w:bookmarkStart w:id="667" w:name="_Toc162006035"/>
      <w:bookmarkStart w:id="668" w:name="_Toc162006266"/>
      <w:bookmarkStart w:id="669" w:name="_Toc162008621"/>
      <w:bookmarkStart w:id="670" w:name="_Toc162443612"/>
      <w:bookmarkStart w:id="671" w:name="_Toc162443831"/>
      <w:bookmarkStart w:id="672" w:name="_Toc162444061"/>
      <w:bookmarkStart w:id="673" w:name="_Toc162444612"/>
      <w:r w:rsidRPr="0056409E">
        <w:rPr>
          <w:lang w:val="es-ES_tradnl"/>
        </w:rPr>
        <w:t>2.3.2</w:t>
      </w:r>
      <w:r w:rsidRPr="0056409E">
        <w:rPr>
          <w:lang w:val="es-ES_tradnl"/>
        </w:rPr>
        <w:tab/>
        <w:t>18 MHz</w:t>
      </w:r>
      <w:bookmarkEnd w:id="663"/>
      <w:bookmarkEnd w:id="664"/>
      <w:bookmarkEnd w:id="665"/>
      <w:bookmarkEnd w:id="666"/>
      <w:bookmarkEnd w:id="667"/>
      <w:bookmarkEnd w:id="668"/>
      <w:bookmarkEnd w:id="669"/>
      <w:bookmarkEnd w:id="670"/>
      <w:bookmarkEnd w:id="671"/>
      <w:bookmarkEnd w:id="672"/>
      <w:bookmarkEnd w:id="673"/>
    </w:p>
    <w:p w14:paraId="31971AA7" w14:textId="77777777" w:rsidR="0086339D" w:rsidRPr="0056409E" w:rsidRDefault="0086339D" w:rsidP="0086339D">
      <w:pPr>
        <w:rPr>
          <w:lang w:val="es-ES_tradnl"/>
        </w:rPr>
      </w:pPr>
      <w:r w:rsidRPr="0056409E">
        <w:rPr>
          <w:lang w:val="es-ES_tradnl"/>
        </w:rPr>
        <w:t>A una distancia inferior a 40 m, en la predicción se obtuvieron valores, tanto para el campo E como para el campo H, superiores a los medidos; los máximos valores de E y H aparecieron a distancias comprendidas entre 10 y 20 m desde la antena, tanto en los resultados de la simulación como en las mediciones.</w:t>
      </w:r>
    </w:p>
    <w:p w14:paraId="0CE63D61" w14:textId="77777777" w:rsidR="0086339D" w:rsidRPr="0056409E" w:rsidRDefault="0086339D" w:rsidP="0086339D">
      <w:pPr>
        <w:rPr>
          <w:lang w:val="es-ES_tradnl"/>
        </w:rPr>
      </w:pPr>
      <w:r w:rsidRPr="0056409E">
        <w:rPr>
          <w:lang w:val="es-ES_tradnl"/>
        </w:rPr>
        <w:t>Un segundo «máximo» para los campos E y H se alcanza a 100 m, tanto en la predicción como en la medición, siendo menor el valor para el campo E medido. A una distancia superior a 60 m desde la antena el campo H toma el mismo valor tanto en la predicción como en la medición.</w:t>
      </w:r>
    </w:p>
    <w:p w14:paraId="77CD7B5D" w14:textId="69D461C0" w:rsidR="0086339D" w:rsidRPr="0056409E" w:rsidRDefault="0086339D" w:rsidP="0086339D">
      <w:pPr>
        <w:pStyle w:val="Heading1"/>
        <w:rPr>
          <w:lang w:val="es-ES_tradnl"/>
        </w:rPr>
      </w:pPr>
      <w:bookmarkStart w:id="674" w:name="_Toc65546025"/>
      <w:bookmarkStart w:id="675" w:name="_Toc65546207"/>
      <w:bookmarkStart w:id="676" w:name="_Toc65546344"/>
      <w:bookmarkStart w:id="677" w:name="_Toc86461555"/>
      <w:bookmarkStart w:id="678" w:name="_Toc162005941"/>
      <w:bookmarkStart w:id="679" w:name="_Toc162006267"/>
      <w:bookmarkStart w:id="680" w:name="_Toc162444613"/>
      <w:bookmarkStart w:id="681" w:name="_Toc162518221"/>
      <w:bookmarkStart w:id="682" w:name="_Toc162518744"/>
      <w:r w:rsidRPr="0056409E">
        <w:rPr>
          <w:lang w:val="es-ES_tradnl"/>
        </w:rPr>
        <w:t>3</w:t>
      </w:r>
      <w:r w:rsidRPr="0056409E">
        <w:rPr>
          <w:lang w:val="es-ES_tradnl"/>
        </w:rPr>
        <w:tab/>
        <w:t>Conclusiones</w:t>
      </w:r>
      <w:bookmarkEnd w:id="674"/>
      <w:bookmarkEnd w:id="675"/>
      <w:bookmarkEnd w:id="676"/>
      <w:bookmarkEnd w:id="677"/>
      <w:bookmarkEnd w:id="678"/>
      <w:bookmarkEnd w:id="679"/>
      <w:bookmarkEnd w:id="680"/>
      <w:bookmarkEnd w:id="681"/>
      <w:bookmarkEnd w:id="682"/>
    </w:p>
    <w:p w14:paraId="2102A9C8" w14:textId="77777777" w:rsidR="0086339D" w:rsidRPr="0056409E" w:rsidRDefault="0086339D" w:rsidP="0086339D">
      <w:pPr>
        <w:rPr>
          <w:lang w:val="es-ES_tradnl"/>
        </w:rPr>
      </w:pPr>
      <w:r w:rsidRPr="0056409E">
        <w:rPr>
          <w:lang w:val="es-ES_tradnl"/>
        </w:rPr>
        <w:t>La comparación entre los valores medidos y previstos de los campos E y H, tanto a 13 MHz como a 18 MHz, arroja resultados interesantes.</w:t>
      </w:r>
    </w:p>
    <w:p w14:paraId="7E380F08" w14:textId="440EB659" w:rsidR="0086339D" w:rsidRPr="0056409E" w:rsidRDefault="0086339D" w:rsidP="0086339D">
      <w:pPr>
        <w:rPr>
          <w:lang w:val="es-ES_tradnl"/>
        </w:rPr>
      </w:pPr>
      <w:r w:rsidRPr="0056409E">
        <w:rPr>
          <w:lang w:val="es-ES_tradnl"/>
        </w:rPr>
        <w:t>Los valores en general no coinciden plenamente, como era obvio esperar; sin embargo, no presentan diferencias importantes entre ellos si se comparan con la incertidumbre introducida por la instrumentación, la incertidumbre introducida por la planicidad de la superficie de la Tierra cerca de la antena (no tenida en cuenta en las simulaciones aunque sea evidente la fuerte dependencia de la intensidad de campo con la altura del punto de medición) y la sencillez impuesta por el modelo. Las diferencias son mayores, hasta el 50%, en las proximidades de la antena (el primer máximo aparece a unos 10 m) y disminuye con la distancia; a 250 m las diferencias son muy pequeñas.</w:t>
      </w:r>
    </w:p>
    <w:p w14:paraId="47A59AA5" w14:textId="77777777" w:rsidR="0086339D" w:rsidRPr="0056409E" w:rsidRDefault="0086339D" w:rsidP="0086339D">
      <w:pPr>
        <w:rPr>
          <w:lang w:val="es-ES_tradnl"/>
        </w:rPr>
      </w:pPr>
      <w:r w:rsidRPr="0056409E">
        <w:rPr>
          <w:lang w:val="es-ES_tradnl"/>
        </w:rPr>
        <w:t>Los motivos de esas diferencias deben buscarse en las dificultades de realizar mediciones de campo cercano, en la incertidumbre inherente introducida por la instrumentación, en la sencillez del modelo, en la presencia de algunos objetos cerca de la antena (estructuras metálicas, las dos celosías que suportan los dipolos y la red de adaptación) que no han sido tenidos en cuenta en el modelo, así como la red de adaptación y sus emisiones. Por último, el terreno ha sido modelado con sus valores eléctricos típicos.</w:t>
      </w:r>
    </w:p>
    <w:p w14:paraId="372A85C8" w14:textId="77777777" w:rsidR="0086339D" w:rsidRPr="0056409E" w:rsidRDefault="0086339D" w:rsidP="0086339D">
      <w:pPr>
        <w:rPr>
          <w:lang w:val="es-ES_tradnl"/>
        </w:rPr>
      </w:pPr>
      <w:r w:rsidRPr="0056409E">
        <w:rPr>
          <w:lang w:val="es-ES_tradnl"/>
        </w:rPr>
        <w:t>A fin de realizar predicciones relativas a los campos E y H utilizando un modelo, se recomienda lo siguiente:</w:t>
      </w:r>
    </w:p>
    <w:p w14:paraId="755B1B53" w14:textId="77777777" w:rsidR="0086339D" w:rsidRPr="0056409E" w:rsidRDefault="0086339D" w:rsidP="0086339D">
      <w:pPr>
        <w:rPr>
          <w:lang w:val="es-ES_tradnl"/>
        </w:rPr>
      </w:pPr>
      <w:r w:rsidRPr="0056409E">
        <w:rPr>
          <w:i/>
          <w:iCs/>
          <w:lang w:val="es-ES_tradnl"/>
        </w:rPr>
        <w:lastRenderedPageBreak/>
        <w:t>Modelo de antena</w:t>
      </w:r>
      <w:r w:rsidRPr="0056409E">
        <w:rPr>
          <w:lang w:val="es-ES_tradnl"/>
        </w:rPr>
        <w:t>: las dimensiones físicas de los elementos radiante y pasivo deben determinarse cuidadosamente así como la impedancia de entrada compleja del sistema. Para simplificar un sistema complejo, es decir un sistema de radiadores, puede ser conveniente sustituir la red de adaptación y alimentación por un número igual de generadores de tensión aplicados a la entrada de cada radiador. Si no se considera la red de adaptación, es necesario compensar la subsiguiente desadaptación entre generadores y radiadores introduciendo elementos de adaptación artificiales o redes sencillas, o ajustando la potencia asignada al transmisor. El resultado final es bastante insensible a la presencia de pequeñas desadaptaciones que no requieren modelado.</w:t>
      </w:r>
    </w:p>
    <w:p w14:paraId="43343EE8" w14:textId="77777777" w:rsidR="0086339D" w:rsidRPr="0056409E" w:rsidRDefault="0086339D" w:rsidP="003C2F75">
      <w:pPr>
        <w:rPr>
          <w:lang w:val="es-ES_tradnl"/>
        </w:rPr>
      </w:pPr>
      <w:r w:rsidRPr="0056409E">
        <w:rPr>
          <w:i/>
          <w:iCs/>
          <w:lang w:val="es-ES_tradnl"/>
        </w:rPr>
        <w:t>Subdivisión en segmentos</w:t>
      </w:r>
      <w:r w:rsidRPr="0056409E">
        <w:rPr>
          <w:lang w:val="es-ES_tradnl"/>
        </w:rPr>
        <w:t xml:space="preserve">: es suficiente representar un sistema de antenas de hilo con segmentos de longitud no superior a </w:t>
      </w:r>
      <w:r w:rsidRPr="0056409E">
        <w:rPr>
          <w:rFonts w:ascii="Symbol" w:hAnsi="Symbol"/>
          <w:lang w:val="es-ES_tradnl"/>
        </w:rPr>
        <w:t></w:t>
      </w:r>
      <w:r w:rsidRPr="0056409E">
        <w:rPr>
          <w:lang w:val="es-ES_tradnl"/>
        </w:rPr>
        <w:t>/20.</w:t>
      </w:r>
    </w:p>
    <w:p w14:paraId="465E1895" w14:textId="77777777" w:rsidR="0086339D" w:rsidRPr="0056409E" w:rsidRDefault="0086339D" w:rsidP="0086339D">
      <w:pPr>
        <w:rPr>
          <w:lang w:val="es-ES_tradnl"/>
        </w:rPr>
      </w:pPr>
      <w:r w:rsidRPr="0056409E">
        <w:rPr>
          <w:i/>
          <w:iCs/>
          <w:lang w:val="es-ES_tradnl"/>
        </w:rPr>
        <w:t>Modelo del terreno</w:t>
      </w:r>
      <w:r w:rsidRPr="0056409E">
        <w:rPr>
          <w:lang w:val="es-ES_tradnl"/>
        </w:rPr>
        <w:t>: es necesario proporcionar los valores exactos de la permitividad y la conductividad, especialmente en el caso del campo E con polarización horizontal.</w:t>
      </w:r>
    </w:p>
    <w:p w14:paraId="22E1DEDA" w14:textId="77777777" w:rsidR="0086339D" w:rsidRPr="0056409E" w:rsidRDefault="0086339D" w:rsidP="0086339D">
      <w:pPr>
        <w:rPr>
          <w:lang w:val="es-ES_tradnl"/>
        </w:rPr>
      </w:pPr>
      <w:r w:rsidRPr="0056409E">
        <w:rPr>
          <w:i/>
          <w:iCs/>
          <w:lang w:val="es-ES_tradnl"/>
        </w:rPr>
        <w:t>Potencia del transmisor</w:t>
      </w:r>
      <w:r w:rsidRPr="0056409E">
        <w:rPr>
          <w:lang w:val="es-ES_tradnl"/>
        </w:rPr>
        <w:t>: es importante tener en cuenta las pérdidas introducidas por las líneas de transmisión, la red de adaptación, la resistencia de las conexiones y las desadaptaciones de la carga. En algunos casos, conviene ajustar artificialmente el valor exacto de la potencia para tener en cuenta las diversas causas de las pérdidas sin complicar demasiado el modelo del sistema de antenas.</w:t>
      </w:r>
    </w:p>
    <w:p w14:paraId="4E2F190D" w14:textId="77777777" w:rsidR="0086339D" w:rsidRPr="0056409E" w:rsidRDefault="0086339D" w:rsidP="0086339D">
      <w:pPr>
        <w:rPr>
          <w:lang w:val="es-ES_tradnl"/>
        </w:rPr>
      </w:pPr>
      <w:r w:rsidRPr="0056409E">
        <w:rPr>
          <w:i/>
          <w:iCs/>
          <w:lang w:val="es-ES_tradnl"/>
        </w:rPr>
        <w:t>Altura de los puntos de medición sobre el nivel del suelo</w:t>
      </w:r>
      <w:r w:rsidRPr="0056409E">
        <w:rPr>
          <w:lang w:val="es-ES_tradnl"/>
        </w:rPr>
        <w:t>: en muchos casos, este parámetro es muy importante si se va a realizar una comparación entre mediciones y predicciones. De hecho, puede observarse en los valores de los campos una fuerte influencia de la altura y, si el terreno se modela como llano, pueden observarse grandes errores en la comparación con una medición. En todos los casos en que los radiadores se encuentran próximos al terreno y éste no es totalmente llano, los resultados de las predicciones deben considerarse con cierta prudencia.</w:t>
      </w:r>
    </w:p>
    <w:p w14:paraId="7FE0E8FA" w14:textId="77777777" w:rsidR="0086339D" w:rsidRPr="0056409E" w:rsidRDefault="0086339D" w:rsidP="0086339D">
      <w:pPr>
        <w:rPr>
          <w:lang w:val="es-ES_tradnl"/>
        </w:rPr>
      </w:pPr>
      <w:r w:rsidRPr="0056409E">
        <w:rPr>
          <w:i/>
          <w:iCs/>
          <w:lang w:val="es-ES_tradnl"/>
        </w:rPr>
        <w:t>Selección de código</w:t>
      </w:r>
      <w:r w:rsidRPr="0056409E">
        <w:rPr>
          <w:lang w:val="es-ES_tradnl"/>
        </w:rPr>
        <w:t>: la simulación basada en el método de momentos (MOM) parece útil y fácil de emplear en casos de antenas filiformes en las que se conocen perfectamente las características físicas y eléctricas. Es posible y bastante sencillo simplificar el modelo de acuerdo a un mínimo número de reglas sin perder precisión en los resultados.</w:t>
      </w:r>
    </w:p>
    <w:p w14:paraId="7256B62E" w14:textId="11DC00BB" w:rsidR="0086339D" w:rsidRPr="0056409E" w:rsidRDefault="0086339D" w:rsidP="00532C3F">
      <w:pPr>
        <w:pStyle w:val="AnnexNoTitle"/>
        <w:rPr>
          <w:lang w:val="es-ES_tradnl"/>
        </w:rPr>
      </w:pPr>
      <w:bookmarkStart w:id="683" w:name="_Toc65546345"/>
      <w:bookmarkStart w:id="684" w:name="_Toc86461556"/>
      <w:bookmarkStart w:id="685" w:name="_Toc162006268"/>
      <w:bookmarkStart w:id="686" w:name="_Toc162444614"/>
      <w:bookmarkStart w:id="687" w:name="_Toc162518222"/>
      <w:bookmarkStart w:id="688" w:name="_Toc162518745"/>
      <w:r w:rsidRPr="0056409E">
        <w:rPr>
          <w:lang w:val="es-ES_tradnl"/>
        </w:rPr>
        <w:t>Adjunto 3</w:t>
      </w:r>
      <w:r w:rsidRPr="0056409E">
        <w:rPr>
          <w:lang w:val="es-ES_tradnl"/>
        </w:rPr>
        <w:br/>
        <w:t>al Anexo 1</w:t>
      </w:r>
      <w:r w:rsidRPr="0056409E">
        <w:rPr>
          <w:lang w:val="es-ES_tradnl"/>
        </w:rPr>
        <w:br/>
      </w:r>
      <w:r w:rsidRPr="0056409E">
        <w:rPr>
          <w:lang w:val="es-ES_tradnl"/>
        </w:rPr>
        <w:br/>
        <w:t>Límites y niveles</w:t>
      </w:r>
      <w:bookmarkEnd w:id="683"/>
      <w:bookmarkEnd w:id="684"/>
      <w:r w:rsidRPr="0056409E">
        <w:rPr>
          <w:lang w:val="es-ES_tradnl"/>
        </w:rPr>
        <w:t xml:space="preserve"> internacionales</w:t>
      </w:r>
      <w:bookmarkEnd w:id="685"/>
      <w:bookmarkEnd w:id="686"/>
      <w:bookmarkEnd w:id="687"/>
      <w:bookmarkEnd w:id="688"/>
    </w:p>
    <w:p w14:paraId="0397EA31" w14:textId="77777777" w:rsidR="0086339D" w:rsidRPr="0056409E" w:rsidRDefault="0086339D" w:rsidP="0086339D">
      <w:pPr>
        <w:pStyle w:val="Normalaftertitle"/>
        <w:rPr>
          <w:lang w:val="es-ES_tradnl"/>
        </w:rPr>
      </w:pPr>
      <w:r w:rsidRPr="0056409E">
        <w:rPr>
          <w:lang w:val="es-ES_tradnl"/>
        </w:rPr>
        <w:t>Tal y como se menciona en la introducción, no existe una única norma mundial que establezca límites</w:t>
      </w:r>
      <w:r>
        <w:rPr>
          <w:lang w:val="es-ES_tradnl"/>
        </w:rPr>
        <w:t xml:space="preserve"> en esta esfera</w:t>
      </w:r>
      <w:r w:rsidRPr="0056409E">
        <w:rPr>
          <w:lang w:val="es-ES_tradnl"/>
        </w:rPr>
        <w:t>. Sin embargo, tanto las directrices de la ICNIRP como la norma del IEEE aplican un enfoque similar. Los límites se establecen en términos de restricciones básicas (como la tasa de absorción específica), que son difíciles de medir en la práctica; a continuación, se determinan niveles de referencia adicionales en términos de intensidades de campo, que pueden medirse con mayor facilidad y utilizarse como herramienta auxiliar para determinar el cumplimiento.</w:t>
      </w:r>
    </w:p>
    <w:p w14:paraId="7600076E" w14:textId="5A1B84BD" w:rsidR="0086339D" w:rsidRPr="0056409E" w:rsidRDefault="0086339D" w:rsidP="003C2F75">
      <w:pPr>
        <w:rPr>
          <w:lang w:val="es-ES_tradnl"/>
        </w:rPr>
      </w:pPr>
      <w:r w:rsidRPr="0056409E">
        <w:rPr>
          <w:lang w:val="es-ES_tradnl"/>
        </w:rPr>
        <w:t>El Apéndice I</w:t>
      </w:r>
      <w:r>
        <w:rPr>
          <w:lang w:val="es-ES_tradnl"/>
        </w:rPr>
        <w:t xml:space="preserve"> sobre l</w:t>
      </w:r>
      <w:r w:rsidRPr="000A242A">
        <w:rPr>
          <w:lang w:val="es-ES_tradnl"/>
        </w:rPr>
        <w:t>ímites de exposición</w:t>
      </w:r>
      <w:r w:rsidRPr="0056409E">
        <w:rPr>
          <w:lang w:val="es-ES_tradnl"/>
        </w:rPr>
        <w:t xml:space="preserve"> de la Recomendación UIT-T K.91,</w:t>
      </w:r>
      <w:r>
        <w:rPr>
          <w:lang w:val="es-ES_tradnl"/>
        </w:rPr>
        <w:t xml:space="preserve"> relativa a la o</w:t>
      </w:r>
      <w:r w:rsidRPr="000A242A">
        <w:rPr>
          <w:lang w:val="es-ES_tradnl"/>
        </w:rPr>
        <w:t>rientación para la valoración, la evaluación y el seguimiento de la exposición de las personas a los campos electromagnéticos de las radiofrecuencias</w:t>
      </w:r>
      <w:r w:rsidRPr="0056409E">
        <w:rPr>
          <w:lang w:val="es-ES_tradnl"/>
        </w:rPr>
        <w:t>, se basa en las directrices de la ICNIRP (2010 [2] y 2020</w:t>
      </w:r>
      <w:r w:rsidR="008A4795">
        <w:rPr>
          <w:lang w:val="es-ES_tradnl"/>
        </w:rPr>
        <w:t> </w:t>
      </w:r>
      <w:r w:rsidRPr="0056409E">
        <w:rPr>
          <w:lang w:val="es-ES_tradnl"/>
        </w:rPr>
        <w:t>[1]), la norma C95.1-2019 [3] del IEEE y el Informe de 2021 de la Cuestión 7/2 del UIT-D. En dicho Apéndice se especifican las directrices de la ICNIRP (2010 y 2020) en vigor, se desarrollan los cuadros y las figuras de las directrices de la ICNIRP (2020), se detalla la norma C95.1-2019 del IEEE y se explica el fenómeno de exposición simultánea a múltiples fuentes.</w:t>
      </w:r>
    </w:p>
    <w:p w14:paraId="7A29F88D" w14:textId="77777777" w:rsidR="0086339D" w:rsidRPr="0056409E" w:rsidRDefault="0086339D" w:rsidP="0086339D">
      <w:pPr>
        <w:pStyle w:val="FigureNo"/>
        <w:rPr>
          <w:rFonts w:eastAsia="Calibri"/>
          <w:lang w:val="es-ES_tradnl" w:bidi="he-IL"/>
        </w:rPr>
      </w:pPr>
      <w:r w:rsidRPr="0056409E">
        <w:rPr>
          <w:rFonts w:eastAsia="Calibri"/>
          <w:lang w:val="es-ES_tradnl" w:bidi="he-IL"/>
        </w:rPr>
        <w:lastRenderedPageBreak/>
        <w:t>FIGURA 35</w:t>
      </w:r>
    </w:p>
    <w:p w14:paraId="37312126" w14:textId="178C2F78" w:rsidR="0086339D" w:rsidRPr="00297000" w:rsidRDefault="0086339D" w:rsidP="0086339D">
      <w:pPr>
        <w:pStyle w:val="Figuretitle"/>
        <w:rPr>
          <w:bCs/>
          <w:sz w:val="22"/>
          <w:szCs w:val="22"/>
          <w:lang w:val="es-ES_tradnl"/>
        </w:rPr>
      </w:pPr>
      <w:r w:rsidRPr="0056409E">
        <w:rPr>
          <w:rFonts w:eastAsia="Calibri"/>
          <w:lang w:val="es-ES_tradnl" w:bidi="he-IL"/>
        </w:rPr>
        <w:t>Valores de densidad de potencia para exposiciones ocupacionales frente a exposiciones públicas generales</w:t>
      </w:r>
      <w:r w:rsidR="00297000">
        <w:rPr>
          <w:rFonts w:eastAsia="Calibri"/>
          <w:lang w:val="es-ES_tradnl" w:bidi="he-IL"/>
        </w:rPr>
        <w:br/>
      </w:r>
      <w:r w:rsidRPr="0056409E">
        <w:rPr>
          <w:rFonts w:eastAsia="Calibri"/>
          <w:lang w:val="es-ES_tradnl" w:bidi="he-IL"/>
        </w:rPr>
        <w:t>a 30 MHz-300 GHz del Cuadro 5</w:t>
      </w:r>
      <w:r w:rsidRPr="0056409E">
        <w:rPr>
          <w:lang w:val="es-ES_tradnl"/>
        </w:rPr>
        <w:t xml:space="preserve"> </w:t>
      </w:r>
      <w:r w:rsidRPr="0056409E">
        <w:rPr>
          <w:rFonts w:eastAsia="Calibri"/>
          <w:lang w:val="es-ES_tradnl" w:bidi="he-IL"/>
        </w:rPr>
        <w:t>de la ICNIRP (2020)</w:t>
      </w:r>
    </w:p>
    <w:p w14:paraId="72D1863E" w14:textId="36284B68" w:rsidR="0086339D" w:rsidRPr="0056409E" w:rsidRDefault="00333497" w:rsidP="0086339D">
      <w:pPr>
        <w:pStyle w:val="Figure"/>
        <w:rPr>
          <w:lang w:val="es-ES_tradnl"/>
        </w:rPr>
      </w:pPr>
      <w:r w:rsidRPr="00333497">
        <w:rPr>
          <w:noProof/>
        </w:rPr>
        <w:drawing>
          <wp:inline distT="0" distB="0" distL="0" distR="0" wp14:anchorId="22672D6A" wp14:editId="175F17FF">
            <wp:extent cx="5382895" cy="3093085"/>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82895" cy="3093085"/>
                    </a:xfrm>
                    <a:prstGeom prst="rect">
                      <a:avLst/>
                    </a:prstGeom>
                    <a:noFill/>
                    <a:ln>
                      <a:noFill/>
                    </a:ln>
                  </pic:spPr>
                </pic:pic>
              </a:graphicData>
            </a:graphic>
          </wp:inline>
        </w:drawing>
      </w:r>
    </w:p>
    <w:p w14:paraId="36ED4F0D" w14:textId="55F23AE7" w:rsidR="0086339D" w:rsidRDefault="0086339D" w:rsidP="0086339D">
      <w:pPr>
        <w:rPr>
          <w:lang w:val="es-ES_tradnl" w:bidi="he-IL"/>
        </w:rPr>
      </w:pPr>
      <w:r w:rsidRPr="0056409E">
        <w:rPr>
          <w:lang w:val="es-ES_tradnl"/>
        </w:rPr>
        <w:t>La anterior Fig</w:t>
      </w:r>
      <w:r w:rsidR="0042201F">
        <w:rPr>
          <w:lang w:val="es-ES_tradnl"/>
        </w:rPr>
        <w:t>.</w:t>
      </w:r>
      <w:r w:rsidRPr="0056409E">
        <w:rPr>
          <w:lang w:val="es-ES_tradnl"/>
        </w:rPr>
        <w:t xml:space="preserve"> 35 y la siguiente </w:t>
      </w:r>
      <w:r w:rsidR="0042201F">
        <w:rPr>
          <w:lang w:val="es-ES_tradnl"/>
        </w:rPr>
        <w:t>Fig.</w:t>
      </w:r>
      <w:r w:rsidRPr="0056409E">
        <w:rPr>
          <w:lang w:val="es-ES_tradnl"/>
        </w:rPr>
        <w:t xml:space="preserve"> 36</w:t>
      </w:r>
      <w:r w:rsidRPr="0056409E">
        <w:rPr>
          <w:vertAlign w:val="superscript"/>
          <w:lang w:val="es-ES_tradnl"/>
        </w:rPr>
        <w:footnoteReference w:id="3"/>
      </w:r>
      <w:r w:rsidRPr="0056409E">
        <w:rPr>
          <w:lang w:val="es-ES_tradnl"/>
        </w:rPr>
        <w:t xml:space="preserve"> (véase el Capítulo 9 de la referencia [4], revisada </w:t>
      </w:r>
      <w:r>
        <w:rPr>
          <w:lang w:val="es-ES_tradnl"/>
        </w:rPr>
        <w:t xml:space="preserve">en </w:t>
      </w:r>
      <w:r w:rsidRPr="0056409E">
        <w:rPr>
          <w:lang w:val="es-ES_tradnl"/>
        </w:rPr>
        <w:t xml:space="preserve">2021) ilustran las diferencias entre los niveles de intensidad de campo y de densidad de potencia de la ICNIRP (2020) relativos a la exposición ocupacional y a la exposición pública general, promediadas durante 30 minutos y en todo el cuerpo. La relación potencia-densidad de 5 </w:t>
      </w:r>
      <w:r>
        <w:rPr>
          <w:lang w:val="es-ES_tradnl"/>
        </w:rPr>
        <w:t>d</w:t>
      </w:r>
      <w:r w:rsidRPr="0056409E">
        <w:rPr>
          <w:lang w:val="es-ES_tradnl"/>
        </w:rPr>
        <w:t>el Cuadro</w:t>
      </w:r>
      <w:r w:rsidR="0042201F">
        <w:rPr>
          <w:lang w:val="es-ES_tradnl"/>
        </w:rPr>
        <w:t> </w:t>
      </w:r>
      <w:r w:rsidRPr="0056409E">
        <w:rPr>
          <w:lang w:val="es-ES_tradnl"/>
        </w:rPr>
        <w:t xml:space="preserve">5 de la ICNIRP (2020) (por ejemplo, de 30 </w:t>
      </w:r>
      <w:bookmarkStart w:id="689" w:name="_Hlk62506981"/>
      <w:r w:rsidRPr="0056409E">
        <w:rPr>
          <w:lang w:val="es-ES_tradnl"/>
        </w:rPr>
        <w:t>a</w:t>
      </w:r>
      <w:bookmarkEnd w:id="689"/>
      <w:r w:rsidRPr="0056409E">
        <w:rPr>
          <w:lang w:val="es-ES_tradnl"/>
        </w:rPr>
        <w:t xml:space="preserve"> 400 MHz, relación de 50/10 vatios) da como resultado una relación V/m de </w:t>
      </w:r>
      <w:r w:rsidRPr="0056409E">
        <w:rPr>
          <w:lang w:val="es-ES_tradnl" w:bidi="he-IL"/>
        </w:rPr>
        <w:t xml:space="preserve">61,0/27,7 = 2,2 </w:t>
      </w:r>
      <w:r w:rsidRPr="0056409E">
        <w:rPr>
          <w:b/>
          <w:bCs/>
          <w:color w:val="242729"/>
          <w:bdr w:val="none" w:sz="0" w:space="0" w:color="auto" w:frame="1"/>
          <w:shd w:val="clear" w:color="auto" w:fill="FFFFFF"/>
          <w:lang w:val="es-ES_tradnl"/>
        </w:rPr>
        <w:t>≈</w:t>
      </w:r>
      <w:r w:rsidRPr="0056409E">
        <w:rPr>
          <w:rFonts w:ascii="Symbol" w:hAnsi="Symbol" w:cs="Symbol"/>
          <w:sz w:val="23"/>
          <w:szCs w:val="23"/>
          <w:lang w:val="es-ES_tradnl" w:eastAsia="zh-CN"/>
        </w:rPr>
        <w:t></w:t>
      </w:r>
      <w:r w:rsidRPr="0056409E">
        <w:rPr>
          <w:rFonts w:ascii="Symbol" w:hAnsi="Symbol" w:cs="Symbol"/>
          <w:sz w:val="23"/>
          <w:szCs w:val="23"/>
          <w:lang w:val="es-ES_tradnl" w:eastAsia="zh-CN"/>
        </w:rPr>
        <w:t></w:t>
      </w:r>
      <w:r w:rsidRPr="0056409E">
        <w:rPr>
          <w:szCs w:val="24"/>
          <w:lang w:val="es-ES_tradnl" w:eastAsia="zh-CN"/>
        </w:rPr>
        <w:t>5</w:t>
      </w:r>
      <w:r w:rsidRPr="0056409E">
        <w:rPr>
          <w:lang w:val="es-ES_tradnl" w:bidi="he-IL"/>
        </w:rPr>
        <w:t>.</w:t>
      </w:r>
      <w:bookmarkStart w:id="690" w:name="_Ref49446725"/>
      <w:bookmarkStart w:id="691" w:name="_Toc63075982"/>
      <w:bookmarkStart w:id="692" w:name="_Toc63086287"/>
      <w:bookmarkStart w:id="693" w:name="_Toc65367834"/>
      <w:bookmarkStart w:id="694" w:name="_Toc64381712"/>
      <w:bookmarkStart w:id="695" w:name="_Toc70701583"/>
      <w:bookmarkStart w:id="696" w:name="_Hlk49954119"/>
    </w:p>
    <w:p w14:paraId="5F96384B" w14:textId="77777777" w:rsidR="00043ACA" w:rsidRDefault="00043ACA" w:rsidP="0086339D">
      <w:pPr>
        <w:rPr>
          <w:lang w:val="es-ES_tradnl" w:bidi="he-IL"/>
        </w:rPr>
      </w:pPr>
    </w:p>
    <w:p w14:paraId="43549634" w14:textId="77777777" w:rsidR="00043ACA" w:rsidRDefault="00043ACA" w:rsidP="0086339D">
      <w:pPr>
        <w:rPr>
          <w:lang w:val="es-ES_tradnl" w:bidi="he-IL"/>
        </w:rPr>
      </w:pPr>
    </w:p>
    <w:p w14:paraId="5844B634" w14:textId="77777777" w:rsidR="00043ACA" w:rsidRDefault="00043ACA" w:rsidP="0086339D">
      <w:pPr>
        <w:rPr>
          <w:lang w:val="es-ES_tradnl" w:bidi="he-IL"/>
        </w:rPr>
      </w:pPr>
    </w:p>
    <w:p w14:paraId="6120B977" w14:textId="77777777" w:rsidR="00043ACA" w:rsidRDefault="00043ACA" w:rsidP="0086339D">
      <w:pPr>
        <w:rPr>
          <w:lang w:val="es-ES_tradnl" w:bidi="he-IL"/>
        </w:rPr>
      </w:pPr>
    </w:p>
    <w:p w14:paraId="27FEB61C" w14:textId="77777777" w:rsidR="00043ACA" w:rsidRDefault="00043ACA" w:rsidP="0086339D">
      <w:pPr>
        <w:rPr>
          <w:lang w:val="es-ES_tradnl" w:bidi="he-IL"/>
        </w:rPr>
      </w:pPr>
    </w:p>
    <w:p w14:paraId="3C468068" w14:textId="77777777" w:rsidR="00043ACA" w:rsidRDefault="00043ACA" w:rsidP="0086339D">
      <w:pPr>
        <w:rPr>
          <w:lang w:val="es-ES_tradnl" w:bidi="he-IL"/>
        </w:rPr>
      </w:pPr>
    </w:p>
    <w:p w14:paraId="7D692573" w14:textId="77777777" w:rsidR="00043ACA" w:rsidRDefault="00043ACA" w:rsidP="0086339D">
      <w:pPr>
        <w:rPr>
          <w:lang w:val="es-ES_tradnl" w:bidi="he-IL"/>
        </w:rPr>
      </w:pPr>
    </w:p>
    <w:p w14:paraId="7D3FF1D4" w14:textId="77777777" w:rsidR="00043ACA" w:rsidRDefault="00043ACA" w:rsidP="0086339D">
      <w:pPr>
        <w:rPr>
          <w:lang w:val="es-ES_tradnl" w:bidi="he-IL"/>
        </w:rPr>
      </w:pPr>
    </w:p>
    <w:p w14:paraId="32D26E84" w14:textId="77777777" w:rsidR="00043ACA" w:rsidRDefault="00043ACA" w:rsidP="0086339D">
      <w:pPr>
        <w:rPr>
          <w:lang w:val="es-ES_tradnl" w:bidi="he-IL"/>
        </w:rPr>
      </w:pPr>
    </w:p>
    <w:p w14:paraId="3AB75654" w14:textId="77777777" w:rsidR="00043ACA" w:rsidRDefault="00043ACA" w:rsidP="0086339D">
      <w:pPr>
        <w:rPr>
          <w:lang w:val="es-ES_tradnl" w:bidi="he-IL"/>
        </w:rPr>
      </w:pPr>
    </w:p>
    <w:p w14:paraId="0173025B" w14:textId="77777777" w:rsidR="00043ACA" w:rsidRDefault="00043ACA" w:rsidP="0086339D">
      <w:pPr>
        <w:rPr>
          <w:lang w:val="es-ES_tradnl" w:bidi="he-IL"/>
        </w:rPr>
      </w:pPr>
    </w:p>
    <w:p w14:paraId="7D6090EC" w14:textId="77777777" w:rsidR="00043ACA" w:rsidRDefault="00043ACA" w:rsidP="0086339D">
      <w:pPr>
        <w:rPr>
          <w:lang w:val="es-ES_tradnl" w:bidi="he-IL"/>
        </w:rPr>
      </w:pPr>
    </w:p>
    <w:p w14:paraId="617AE963" w14:textId="77777777" w:rsidR="00043ACA" w:rsidRDefault="00043ACA" w:rsidP="0086339D">
      <w:pPr>
        <w:rPr>
          <w:lang w:val="es-ES_tradnl" w:bidi="he-IL"/>
        </w:rPr>
      </w:pPr>
    </w:p>
    <w:p w14:paraId="585FDF08" w14:textId="77777777" w:rsidR="00043ACA" w:rsidRPr="0056409E" w:rsidRDefault="00043ACA" w:rsidP="0086339D">
      <w:pPr>
        <w:rPr>
          <w:lang w:val="es-ES_tradnl" w:bidi="he-IL"/>
        </w:rPr>
      </w:pPr>
    </w:p>
    <w:p w14:paraId="48FE6A5B" w14:textId="77777777" w:rsidR="0086339D" w:rsidRPr="0056409E" w:rsidRDefault="0086339D" w:rsidP="0086339D">
      <w:pPr>
        <w:pStyle w:val="FigureNo"/>
        <w:rPr>
          <w:rFonts w:eastAsia="Calibri"/>
          <w:lang w:val="es-ES_tradnl" w:bidi="he-IL"/>
        </w:rPr>
      </w:pPr>
      <w:bookmarkStart w:id="697" w:name="_Hlk114716278"/>
      <w:bookmarkEnd w:id="690"/>
      <w:bookmarkEnd w:id="691"/>
      <w:bookmarkEnd w:id="692"/>
      <w:bookmarkEnd w:id="693"/>
      <w:bookmarkEnd w:id="694"/>
      <w:bookmarkEnd w:id="695"/>
      <w:bookmarkEnd w:id="696"/>
      <w:r w:rsidRPr="0056409E">
        <w:rPr>
          <w:rFonts w:eastAsia="Calibri"/>
          <w:lang w:val="es-ES_tradnl" w:bidi="he-IL"/>
        </w:rPr>
        <w:lastRenderedPageBreak/>
        <w:t>FIGURA 36</w:t>
      </w:r>
    </w:p>
    <w:p w14:paraId="63430D95" w14:textId="684638CB" w:rsidR="0086339D" w:rsidRPr="0056409E" w:rsidRDefault="0086339D" w:rsidP="0086339D">
      <w:pPr>
        <w:pStyle w:val="Figuretitle"/>
        <w:rPr>
          <w:lang w:val="es-ES_tradnl"/>
        </w:rPr>
      </w:pPr>
      <w:r w:rsidRPr="0056409E">
        <w:rPr>
          <w:lang w:val="es-ES_tradnl"/>
        </w:rPr>
        <w:t>Comparación de los valores de intensidad de campo para la exposición ocupacional y pública general del Cuadro 5 de la ICNIRP (2020), a 0,1 MHz-2</w:t>
      </w:r>
      <w:r w:rsidR="00297000">
        <w:rPr>
          <w:lang w:val="es-ES_tradnl"/>
        </w:rPr>
        <w:t> </w:t>
      </w:r>
      <w:r w:rsidRPr="0056409E">
        <w:rPr>
          <w:lang w:val="es-ES_tradnl"/>
        </w:rPr>
        <w:t>000</w:t>
      </w:r>
      <w:r w:rsidR="00297000">
        <w:rPr>
          <w:lang w:val="es-ES_tradnl"/>
        </w:rPr>
        <w:t> </w:t>
      </w:r>
      <w:r w:rsidRPr="0056409E">
        <w:rPr>
          <w:lang w:val="es-ES_tradnl"/>
        </w:rPr>
        <w:t>MHz, promediada durante 30 minutos y en todo el cuerpo</w:t>
      </w:r>
    </w:p>
    <w:bookmarkEnd w:id="697"/>
    <w:p w14:paraId="1E6CF5E2" w14:textId="44D8456B" w:rsidR="0086339D" w:rsidRPr="0056409E" w:rsidRDefault="001F0089" w:rsidP="0086339D">
      <w:pPr>
        <w:pStyle w:val="Figure"/>
        <w:rPr>
          <w:lang w:val="es-ES_tradnl"/>
        </w:rPr>
      </w:pPr>
      <w:r w:rsidRPr="001F0089">
        <w:rPr>
          <w:noProof/>
        </w:rPr>
        <w:drawing>
          <wp:inline distT="0" distB="0" distL="0" distR="0" wp14:anchorId="002E0411" wp14:editId="6C918A78">
            <wp:extent cx="5746750" cy="3092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46750" cy="3092450"/>
                    </a:xfrm>
                    <a:prstGeom prst="rect">
                      <a:avLst/>
                    </a:prstGeom>
                    <a:noFill/>
                    <a:ln>
                      <a:noFill/>
                    </a:ln>
                  </pic:spPr>
                </pic:pic>
              </a:graphicData>
            </a:graphic>
          </wp:inline>
        </w:drawing>
      </w:r>
    </w:p>
    <w:p w14:paraId="3DD9EAFB" w14:textId="16DA2BAC" w:rsidR="0086339D" w:rsidRDefault="0086339D" w:rsidP="00585AAC">
      <w:pPr>
        <w:pStyle w:val="Normalaftertitle"/>
        <w:rPr>
          <w:lang w:val="es-ES_tradnl" w:eastAsia="zh-CN"/>
        </w:rPr>
      </w:pPr>
      <w:r w:rsidRPr="0056409E">
        <w:rPr>
          <w:lang w:val="es-ES_tradnl" w:eastAsia="zh-CN"/>
        </w:rPr>
        <w:t>En abril de 2022, la ICNIRP publicó una nueva declaración,</w:t>
      </w:r>
      <w:r>
        <w:rPr>
          <w:lang w:val="es-ES_tradnl" w:eastAsia="zh-CN"/>
        </w:rPr>
        <w:t xml:space="preserve"> titulada</w:t>
      </w:r>
      <w:r w:rsidRPr="0056409E">
        <w:rPr>
          <w:lang w:val="es-ES_tradnl" w:eastAsia="zh-CN"/>
        </w:rPr>
        <w:t xml:space="preserve"> </w:t>
      </w:r>
      <w:r w:rsidR="00585AAC">
        <w:rPr>
          <w:lang w:val="es-ES_tradnl" w:eastAsia="zh-CN"/>
        </w:rPr>
        <w:t>«</w:t>
      </w:r>
      <w:r w:rsidRPr="003C2F75">
        <w:rPr>
          <w:lang w:val="es-ES_tradnl" w:eastAsia="zh-CN"/>
        </w:rPr>
        <w:t>A Description of ICNIRP's Independent, Best Practice System of Guidance on the Protection of People and the Environment from Exposure to Non Ionizing Radiation</w:t>
      </w:r>
      <w:r w:rsidR="00585AAC">
        <w:rPr>
          <w:lang w:val="es-ES_tradnl" w:eastAsia="zh-CN"/>
        </w:rPr>
        <w:t>»</w:t>
      </w:r>
      <w:r w:rsidRPr="0056409E">
        <w:rPr>
          <w:lang w:val="es-ES_tradnl" w:eastAsia="zh-CN"/>
        </w:rPr>
        <w:t>, en la que se describe el sistema de orientación independiente de la ICNIRP, basado en las mejores prácticas, para la protección de las personas y el medio ambiente frente a la exposición a radiaciones no ionizantes.</w:t>
      </w:r>
    </w:p>
    <w:p w14:paraId="3D057DBE" w14:textId="77777777" w:rsidR="00585AAC" w:rsidRDefault="00585AAC" w:rsidP="00585AAC">
      <w:pPr>
        <w:rPr>
          <w:lang w:val="es-ES_tradnl" w:eastAsia="zh-CN"/>
        </w:rPr>
      </w:pPr>
    </w:p>
    <w:p w14:paraId="520F4053" w14:textId="77777777" w:rsidR="00585AAC" w:rsidRPr="00585AAC" w:rsidRDefault="00585AAC" w:rsidP="00585AAC">
      <w:pPr>
        <w:rPr>
          <w:lang w:val="es-ES_tradnl" w:eastAsia="zh-CN"/>
        </w:rPr>
      </w:pPr>
    </w:p>
    <w:p w14:paraId="6C187533" w14:textId="77777777" w:rsidR="0086339D" w:rsidRPr="0056409E" w:rsidRDefault="0086339D" w:rsidP="00532C3F">
      <w:pPr>
        <w:pStyle w:val="AnnexNoTitle"/>
        <w:rPr>
          <w:lang w:val="es-ES_tradnl"/>
        </w:rPr>
      </w:pPr>
      <w:bookmarkStart w:id="698" w:name="_Toc129786059"/>
      <w:bookmarkStart w:id="699" w:name="_Toc133400713"/>
      <w:bookmarkStart w:id="700" w:name="_Toc162006269"/>
      <w:bookmarkStart w:id="701" w:name="_Toc162444615"/>
      <w:bookmarkStart w:id="702" w:name="_Toc162518223"/>
      <w:bookmarkStart w:id="703" w:name="_Toc162518746"/>
      <w:r w:rsidRPr="0056409E">
        <w:rPr>
          <w:lang w:val="es-ES_tradnl"/>
        </w:rPr>
        <w:t>Adjunto 4</w:t>
      </w:r>
      <w:bookmarkStart w:id="704" w:name="_Hlk102836795"/>
      <w:r w:rsidRPr="0056409E">
        <w:rPr>
          <w:lang w:val="es-ES_tradnl"/>
        </w:rPr>
        <w:br/>
        <w:t>al Anexo 1</w:t>
      </w:r>
      <w:bookmarkEnd w:id="704"/>
      <w:r w:rsidRPr="0056409E">
        <w:rPr>
          <w:lang w:val="es-ES_tradnl"/>
        </w:rPr>
        <w:br/>
      </w:r>
      <w:r w:rsidRPr="0056409E">
        <w:rPr>
          <w:lang w:val="es-ES_tradnl"/>
        </w:rPr>
        <w:br/>
      </w:r>
      <w:bookmarkEnd w:id="698"/>
      <w:bookmarkEnd w:id="699"/>
      <w:r w:rsidRPr="0056409E">
        <w:rPr>
          <w:lang w:val="es-ES_tradnl"/>
        </w:rPr>
        <w:t>Más información sobre la modulación</w:t>
      </w:r>
      <w:bookmarkEnd w:id="700"/>
      <w:bookmarkEnd w:id="701"/>
      <w:bookmarkEnd w:id="702"/>
      <w:bookmarkEnd w:id="703"/>
    </w:p>
    <w:p w14:paraId="01551374" w14:textId="77777777" w:rsidR="0086339D" w:rsidRPr="0056409E" w:rsidRDefault="0086339D" w:rsidP="0086339D">
      <w:pPr>
        <w:pStyle w:val="Heading1"/>
        <w:rPr>
          <w:lang w:val="es-ES_tradnl"/>
        </w:rPr>
      </w:pPr>
      <w:bookmarkStart w:id="705" w:name="_Toc133400714"/>
      <w:bookmarkStart w:id="706" w:name="_Toc162005942"/>
      <w:bookmarkStart w:id="707" w:name="_Toc162006270"/>
      <w:bookmarkStart w:id="708" w:name="_Toc162444616"/>
      <w:bookmarkStart w:id="709" w:name="_Toc162518224"/>
      <w:bookmarkStart w:id="710" w:name="_Toc162518747"/>
      <w:r w:rsidRPr="0056409E">
        <w:rPr>
          <w:lang w:val="es-ES_tradnl"/>
        </w:rPr>
        <w:t>1</w:t>
      </w:r>
      <w:r w:rsidRPr="0056409E">
        <w:rPr>
          <w:lang w:val="es-ES_tradnl"/>
        </w:rPr>
        <w:tab/>
      </w:r>
      <w:bookmarkEnd w:id="705"/>
      <w:r w:rsidRPr="0056409E">
        <w:rPr>
          <w:lang w:val="es-ES_tradnl"/>
        </w:rPr>
        <w:t>Características de las emisiones radioeléctricas</w:t>
      </w:r>
      <w:bookmarkEnd w:id="706"/>
      <w:bookmarkEnd w:id="707"/>
      <w:bookmarkEnd w:id="708"/>
      <w:bookmarkEnd w:id="709"/>
      <w:bookmarkEnd w:id="710"/>
    </w:p>
    <w:p w14:paraId="37D7E83D" w14:textId="727B674E" w:rsidR="0086339D" w:rsidRPr="00EC1391" w:rsidRDefault="0086339D" w:rsidP="0086339D">
      <w:pPr>
        <w:rPr>
          <w:lang w:val="es-ES_tradnl"/>
        </w:rPr>
      </w:pPr>
      <w:r w:rsidRPr="00EC1391">
        <w:rPr>
          <w:lang w:val="es-ES_tradnl"/>
        </w:rPr>
        <w:t>El Reglamento de Radiocomunicaciones (RR) clasifica las emisiones de los transmisores radio</w:t>
      </w:r>
      <w:r w:rsidRPr="00EC1391">
        <w:rPr>
          <w:lang w:val="es-ES_tradnl"/>
        </w:rPr>
        <w:softHyphen/>
        <w:t>eléctricos</w:t>
      </w:r>
      <w:r w:rsidRPr="0056409E">
        <w:rPr>
          <w:lang w:val="es-ES_tradnl"/>
        </w:rPr>
        <w:t xml:space="preserve"> en función de los anchos de banda requeridos y de las características básicas y opcionales de la transmisión. </w:t>
      </w:r>
      <w:r w:rsidRPr="00EC1391">
        <w:rPr>
          <w:lang w:val="es-ES_tradnl"/>
        </w:rPr>
        <w:t xml:space="preserve">La clasificación completa consta de nueve caracteres, </w:t>
      </w:r>
      <w:r w:rsidRPr="0056409E">
        <w:rPr>
          <w:lang w:val="es-ES_tradnl"/>
        </w:rPr>
        <w:t xml:space="preserve">pero sólo tres </w:t>
      </w:r>
      <w:r w:rsidRPr="00EC1391">
        <w:rPr>
          <w:lang w:val="es-ES_tradnl"/>
        </w:rPr>
        <w:t xml:space="preserve">características básicas revisten importancia a la hora de realizar las consideraciones de seguridad en RF. </w:t>
      </w:r>
      <w:r w:rsidRPr="0056409E">
        <w:rPr>
          <w:lang w:val="es-ES_tradnl"/>
        </w:rPr>
        <w:t xml:space="preserve">Dichas </w:t>
      </w:r>
      <w:r w:rsidRPr="00EC1391">
        <w:rPr>
          <w:lang w:val="es-ES_tradnl"/>
        </w:rPr>
        <w:t>características</w:t>
      </w:r>
      <w:r w:rsidRPr="0056409E">
        <w:rPr>
          <w:lang w:val="es-ES_tradnl"/>
        </w:rPr>
        <w:t xml:space="preserve"> s</w:t>
      </w:r>
      <w:r w:rsidRPr="00EC1391">
        <w:rPr>
          <w:lang w:val="es-ES_tradnl"/>
        </w:rPr>
        <w:t>on las siguientes:</w:t>
      </w:r>
    </w:p>
    <w:p w14:paraId="70F52E3F" w14:textId="4D740123" w:rsidR="0086339D" w:rsidRPr="00EC1391" w:rsidRDefault="0086339D" w:rsidP="003C2F75">
      <w:pPr>
        <w:pStyle w:val="enumlev1"/>
        <w:rPr>
          <w:lang w:val="es-ES_tradnl"/>
        </w:rPr>
      </w:pPr>
      <w:r w:rsidRPr="00EC1391">
        <w:rPr>
          <w:lang w:val="es-ES_tradnl"/>
        </w:rPr>
        <w:t>–</w:t>
      </w:r>
      <w:r w:rsidRPr="00EC1391">
        <w:rPr>
          <w:lang w:val="es-ES_tradnl"/>
        </w:rPr>
        <w:tab/>
      </w:r>
      <w:r w:rsidRPr="0056409E">
        <w:rPr>
          <w:lang w:val="es-ES_tradnl"/>
        </w:rPr>
        <w:t>t</w:t>
      </w:r>
      <w:r w:rsidRPr="00EC1391">
        <w:rPr>
          <w:lang w:val="es-ES_tradnl"/>
        </w:rPr>
        <w:t>ipo de modulación de la portadora principal</w:t>
      </w:r>
      <w:r w:rsidRPr="0056409E">
        <w:rPr>
          <w:lang w:val="es-ES_tradnl"/>
        </w:rPr>
        <w:tab/>
      </w:r>
      <w:r w:rsidRPr="0056409E">
        <w:rPr>
          <w:lang w:val="es-ES_tradnl"/>
        </w:rPr>
        <w:tab/>
      </w:r>
      <w:r w:rsidRPr="0056409E">
        <w:rPr>
          <w:lang w:val="es-ES_tradnl"/>
        </w:rPr>
        <w:tab/>
      </w:r>
      <w:r w:rsidRPr="0056409E">
        <w:rPr>
          <w:lang w:val="es-ES_tradnl"/>
        </w:rPr>
        <w:tab/>
      </w:r>
      <w:r w:rsidR="00585AAC">
        <w:rPr>
          <w:lang w:val="es-ES_tradnl"/>
        </w:rPr>
        <w:tab/>
      </w:r>
      <w:r w:rsidRPr="00EC1391">
        <w:rPr>
          <w:lang w:val="es-ES_tradnl"/>
        </w:rPr>
        <w:t>Carácter 5</w:t>
      </w:r>
    </w:p>
    <w:p w14:paraId="08FC1423" w14:textId="272455B4" w:rsidR="0086339D" w:rsidRPr="00EC1391" w:rsidRDefault="0086339D" w:rsidP="003C2F75">
      <w:pPr>
        <w:pStyle w:val="enumlev1"/>
        <w:rPr>
          <w:lang w:val="es-ES_tradnl"/>
        </w:rPr>
      </w:pPr>
      <w:r w:rsidRPr="00EC1391">
        <w:rPr>
          <w:lang w:val="es-ES_tradnl"/>
        </w:rPr>
        <w:t>–</w:t>
      </w:r>
      <w:r w:rsidRPr="00EC1391">
        <w:rPr>
          <w:lang w:val="es-ES_tradnl"/>
        </w:rPr>
        <w:tab/>
      </w:r>
      <w:r w:rsidRPr="0056409E">
        <w:rPr>
          <w:lang w:val="es-ES_tradnl"/>
        </w:rPr>
        <w:t>n</w:t>
      </w:r>
      <w:r w:rsidRPr="00EC1391">
        <w:rPr>
          <w:lang w:val="es-ES_tradnl"/>
        </w:rPr>
        <w:t>aturaleza de las señales que modulan a la portadora principal</w:t>
      </w:r>
      <w:r w:rsidRPr="0056409E">
        <w:rPr>
          <w:lang w:val="es-ES_tradnl"/>
        </w:rPr>
        <w:tab/>
      </w:r>
      <w:r w:rsidRPr="0056409E">
        <w:rPr>
          <w:lang w:val="es-ES_tradnl"/>
        </w:rPr>
        <w:tab/>
      </w:r>
      <w:r w:rsidR="00585AAC">
        <w:rPr>
          <w:lang w:val="es-ES_tradnl"/>
        </w:rPr>
        <w:tab/>
      </w:r>
      <w:r w:rsidRPr="00EC1391">
        <w:rPr>
          <w:lang w:val="es-ES_tradnl"/>
        </w:rPr>
        <w:t>Carácter 6</w:t>
      </w:r>
    </w:p>
    <w:p w14:paraId="499D2FE5" w14:textId="06ED91BC" w:rsidR="0086339D" w:rsidRPr="00EC1391" w:rsidRDefault="0086339D" w:rsidP="003C2F75">
      <w:pPr>
        <w:pStyle w:val="enumlev1"/>
        <w:rPr>
          <w:lang w:val="es-ES_tradnl"/>
        </w:rPr>
      </w:pPr>
      <w:r w:rsidRPr="00EC1391">
        <w:rPr>
          <w:lang w:val="es-ES_tradnl"/>
        </w:rPr>
        <w:t>–</w:t>
      </w:r>
      <w:r w:rsidRPr="00EC1391">
        <w:rPr>
          <w:lang w:val="es-ES_tradnl"/>
        </w:rPr>
        <w:tab/>
      </w:r>
      <w:r w:rsidRPr="0056409E">
        <w:rPr>
          <w:lang w:val="es-ES_tradnl"/>
        </w:rPr>
        <w:t>t</w:t>
      </w:r>
      <w:r w:rsidRPr="00EC1391">
        <w:rPr>
          <w:lang w:val="es-ES_tradnl"/>
        </w:rPr>
        <w:t>ipo de información que se va a transmitir</w:t>
      </w:r>
      <w:r w:rsidRPr="00EC1391">
        <w:rPr>
          <w:lang w:val="es-ES_tradnl"/>
        </w:rPr>
        <w:tab/>
      </w:r>
      <w:r w:rsidRPr="0056409E">
        <w:rPr>
          <w:lang w:val="es-ES_tradnl"/>
        </w:rPr>
        <w:tab/>
      </w:r>
      <w:r w:rsidRPr="0056409E">
        <w:rPr>
          <w:lang w:val="es-ES_tradnl"/>
        </w:rPr>
        <w:tab/>
      </w:r>
      <w:r w:rsidRPr="0056409E">
        <w:rPr>
          <w:lang w:val="es-ES_tradnl"/>
        </w:rPr>
        <w:tab/>
      </w:r>
      <w:r w:rsidRPr="0056409E">
        <w:rPr>
          <w:lang w:val="es-ES_tradnl"/>
        </w:rPr>
        <w:tab/>
      </w:r>
      <w:r w:rsidR="00585AAC">
        <w:rPr>
          <w:lang w:val="es-ES_tradnl"/>
        </w:rPr>
        <w:tab/>
      </w:r>
      <w:r w:rsidRPr="00EC1391">
        <w:rPr>
          <w:lang w:val="es-ES_tradnl"/>
        </w:rPr>
        <w:t>Carácter 7</w:t>
      </w:r>
    </w:p>
    <w:p w14:paraId="2E435256" w14:textId="77777777" w:rsidR="0086339D" w:rsidRPr="0056409E" w:rsidRDefault="0086339D" w:rsidP="0086339D">
      <w:pPr>
        <w:rPr>
          <w:lang w:val="es-ES_tradnl"/>
        </w:rPr>
      </w:pPr>
      <w:r w:rsidRPr="00EC1391">
        <w:rPr>
          <w:lang w:val="es-ES_tradnl"/>
        </w:rPr>
        <w:t xml:space="preserve">En el Cuadro 2, basado en la información que aparece en el RR, </w:t>
      </w:r>
      <w:r w:rsidRPr="0056409E">
        <w:rPr>
          <w:lang w:val="es-ES_tradnl"/>
        </w:rPr>
        <w:t>se enumeran los distintos caracteres utilizados.</w:t>
      </w:r>
    </w:p>
    <w:p w14:paraId="67BA8787" w14:textId="77777777" w:rsidR="0086339D" w:rsidRPr="0056409E" w:rsidRDefault="0086339D" w:rsidP="0086339D">
      <w:pPr>
        <w:pStyle w:val="TableNo"/>
        <w:rPr>
          <w:lang w:val="es-ES_tradnl"/>
        </w:rPr>
      </w:pPr>
      <w:r w:rsidRPr="0056409E">
        <w:rPr>
          <w:lang w:val="es-ES_tradnl"/>
        </w:rPr>
        <w:lastRenderedPageBreak/>
        <w:t>CUADRO  2</w:t>
      </w:r>
    </w:p>
    <w:p w14:paraId="79EE4186" w14:textId="5AD6DBFD" w:rsidR="0086339D" w:rsidRPr="0056409E" w:rsidRDefault="0086339D" w:rsidP="0086339D">
      <w:pPr>
        <w:pStyle w:val="Tabletitle"/>
        <w:rPr>
          <w:lang w:val="es-ES_tradnl"/>
        </w:rPr>
      </w:pPr>
      <w:r w:rsidRPr="0056409E">
        <w:rPr>
          <w:lang w:val="es-ES_tradnl"/>
        </w:rPr>
        <w:t>Caracteres, pertinentes para la radiodifusión, utilizados para definir</w:t>
      </w:r>
      <w:r w:rsidR="00D27CBE">
        <w:rPr>
          <w:lang w:val="es-ES_tradnl"/>
        </w:rPr>
        <w:br/>
      </w:r>
      <w:r w:rsidRPr="0056409E">
        <w:rPr>
          <w:lang w:val="es-ES_tradnl"/>
        </w:rPr>
        <w:t>la clase de emisión,</w:t>
      </w:r>
      <w:r w:rsidR="00D27CBE">
        <w:rPr>
          <w:lang w:val="es-ES_tradnl"/>
        </w:rPr>
        <w:t xml:space="preserve"> </w:t>
      </w:r>
      <w:r w:rsidRPr="0056409E">
        <w:rPr>
          <w:lang w:val="es-ES_tradnl"/>
        </w:rPr>
        <w:t>conforme a la información incluida en el RR</w:t>
      </w:r>
    </w:p>
    <w:tbl>
      <w:tblPr>
        <w:tblW w:w="9639" w:type="dxa"/>
        <w:jc w:val="center"/>
        <w:tblLayout w:type="fixed"/>
        <w:tblCellMar>
          <w:left w:w="60" w:type="dxa"/>
          <w:right w:w="60" w:type="dxa"/>
        </w:tblCellMar>
        <w:tblLook w:val="0000" w:firstRow="0" w:lastRow="0" w:firstColumn="0" w:lastColumn="0" w:noHBand="0" w:noVBand="0"/>
      </w:tblPr>
      <w:tblGrid>
        <w:gridCol w:w="365"/>
        <w:gridCol w:w="2849"/>
        <w:gridCol w:w="364"/>
        <w:gridCol w:w="2849"/>
        <w:gridCol w:w="357"/>
        <w:gridCol w:w="2855"/>
      </w:tblGrid>
      <w:tr w:rsidR="0086339D" w:rsidRPr="004170F5" w14:paraId="26306AED" w14:textId="77777777" w:rsidTr="00F25AD4">
        <w:trPr>
          <w:tblHeader/>
          <w:jc w:val="center"/>
        </w:trPr>
        <w:tc>
          <w:tcPr>
            <w:tcW w:w="3214" w:type="dxa"/>
            <w:gridSpan w:val="2"/>
            <w:tcBorders>
              <w:top w:val="single" w:sz="2" w:space="0" w:color="auto"/>
              <w:left w:val="single" w:sz="2" w:space="0" w:color="auto"/>
              <w:bottom w:val="single" w:sz="2" w:space="0" w:color="auto"/>
              <w:right w:val="single" w:sz="2" w:space="0" w:color="auto"/>
            </w:tcBorders>
          </w:tcPr>
          <w:p w14:paraId="445498B5" w14:textId="77777777" w:rsidR="0086339D" w:rsidRPr="00111E49" w:rsidRDefault="0086339D" w:rsidP="003C2F75">
            <w:pPr>
              <w:pStyle w:val="Tablehead"/>
              <w:rPr>
                <w:lang w:val="es-ES"/>
              </w:rPr>
            </w:pPr>
            <w:r w:rsidRPr="00111E49">
              <w:rPr>
                <w:lang w:val="es-ES"/>
              </w:rPr>
              <w:t>Carácter 5</w:t>
            </w:r>
            <w:r w:rsidRPr="00111E49">
              <w:rPr>
                <w:lang w:val="es-ES"/>
              </w:rPr>
              <w:br/>
              <w:t>Tipo de modulación de la portadora principal</w:t>
            </w:r>
          </w:p>
        </w:tc>
        <w:tc>
          <w:tcPr>
            <w:tcW w:w="3213" w:type="dxa"/>
            <w:gridSpan w:val="2"/>
            <w:tcBorders>
              <w:top w:val="single" w:sz="2" w:space="0" w:color="auto"/>
              <w:left w:val="single" w:sz="2" w:space="0" w:color="auto"/>
              <w:bottom w:val="single" w:sz="2" w:space="0" w:color="auto"/>
              <w:right w:val="single" w:sz="2" w:space="0" w:color="auto"/>
            </w:tcBorders>
          </w:tcPr>
          <w:p w14:paraId="7C73284C" w14:textId="77777777" w:rsidR="0086339D" w:rsidRPr="00111E49" w:rsidRDefault="0086339D" w:rsidP="003C2F75">
            <w:pPr>
              <w:pStyle w:val="Tablehead"/>
              <w:rPr>
                <w:lang w:val="es-ES"/>
              </w:rPr>
            </w:pPr>
            <w:r w:rsidRPr="00111E49">
              <w:rPr>
                <w:lang w:val="es-ES"/>
              </w:rPr>
              <w:t>Carácter 6</w:t>
            </w:r>
            <w:r w:rsidRPr="00111E49">
              <w:rPr>
                <w:lang w:val="es-ES"/>
              </w:rPr>
              <w:br/>
              <w:t>Naturaleza de la(s) señal(es) que modula(n) a la portadora principal</w:t>
            </w:r>
          </w:p>
        </w:tc>
        <w:tc>
          <w:tcPr>
            <w:tcW w:w="3212" w:type="dxa"/>
            <w:gridSpan w:val="2"/>
            <w:tcBorders>
              <w:top w:val="single" w:sz="2" w:space="0" w:color="auto"/>
              <w:left w:val="single" w:sz="2" w:space="0" w:color="auto"/>
              <w:bottom w:val="single" w:sz="2" w:space="0" w:color="auto"/>
              <w:right w:val="single" w:sz="2" w:space="0" w:color="auto"/>
            </w:tcBorders>
          </w:tcPr>
          <w:p w14:paraId="68DDF5ED" w14:textId="4E8E103C" w:rsidR="0086339D" w:rsidRPr="00111E49" w:rsidRDefault="0086339D" w:rsidP="003C2F75">
            <w:pPr>
              <w:pStyle w:val="Tablehead"/>
              <w:rPr>
                <w:lang w:val="es-ES"/>
              </w:rPr>
            </w:pPr>
            <w:r w:rsidRPr="00111E49">
              <w:rPr>
                <w:lang w:val="es-ES"/>
              </w:rPr>
              <w:t>Carácter 7</w:t>
            </w:r>
            <w:r w:rsidRPr="00111E49">
              <w:rPr>
                <w:lang w:val="es-ES"/>
              </w:rPr>
              <w:br/>
              <w:t xml:space="preserve">Tipo de información que </w:t>
            </w:r>
            <w:r w:rsidR="00F25AD4">
              <w:rPr>
                <w:lang w:val="es-ES"/>
              </w:rPr>
              <w:br/>
            </w:r>
            <w:r w:rsidRPr="00111E49">
              <w:rPr>
                <w:lang w:val="es-ES"/>
              </w:rPr>
              <w:t>se va a transmitir</w:t>
            </w:r>
          </w:p>
        </w:tc>
      </w:tr>
      <w:tr w:rsidR="0086339D" w:rsidRPr="004170F5" w14:paraId="294684D5" w14:textId="77777777" w:rsidTr="00F25AD4">
        <w:trPr>
          <w:jc w:val="center"/>
        </w:trPr>
        <w:tc>
          <w:tcPr>
            <w:tcW w:w="365" w:type="dxa"/>
            <w:tcBorders>
              <w:top w:val="single" w:sz="2" w:space="0" w:color="auto"/>
              <w:left w:val="single" w:sz="2" w:space="0" w:color="auto"/>
              <w:bottom w:val="single" w:sz="2" w:space="0" w:color="auto"/>
              <w:right w:val="single" w:sz="2" w:space="0" w:color="auto"/>
            </w:tcBorders>
          </w:tcPr>
          <w:p w14:paraId="2A82DA2B" w14:textId="77777777" w:rsidR="0086339D" w:rsidRPr="003C2F75" w:rsidRDefault="0086339D" w:rsidP="003C2F75">
            <w:pPr>
              <w:pStyle w:val="Tabletext"/>
            </w:pPr>
            <w:r w:rsidRPr="003C2F75">
              <w:t>A</w:t>
            </w:r>
          </w:p>
        </w:tc>
        <w:tc>
          <w:tcPr>
            <w:tcW w:w="2849" w:type="dxa"/>
            <w:tcBorders>
              <w:top w:val="single" w:sz="2" w:space="0" w:color="auto"/>
              <w:left w:val="single" w:sz="2" w:space="0" w:color="auto"/>
              <w:bottom w:val="single" w:sz="2" w:space="0" w:color="auto"/>
              <w:right w:val="single" w:sz="2" w:space="0" w:color="auto"/>
            </w:tcBorders>
          </w:tcPr>
          <w:p w14:paraId="78F875D0" w14:textId="77777777" w:rsidR="0086339D" w:rsidRPr="00111E49" w:rsidRDefault="0086339D" w:rsidP="00D27CBE">
            <w:pPr>
              <w:pStyle w:val="Tabletext"/>
              <w:jc w:val="left"/>
              <w:rPr>
                <w:lang w:val="es-ES"/>
              </w:rPr>
            </w:pPr>
            <w:r w:rsidRPr="00111E49">
              <w:rPr>
                <w:lang w:val="es-ES"/>
              </w:rPr>
              <w:t>Modulación de amplitud: doble banda lateral</w:t>
            </w:r>
          </w:p>
        </w:tc>
        <w:tc>
          <w:tcPr>
            <w:tcW w:w="364" w:type="dxa"/>
            <w:tcBorders>
              <w:top w:val="single" w:sz="2" w:space="0" w:color="auto"/>
              <w:left w:val="single" w:sz="2" w:space="0" w:color="auto"/>
              <w:bottom w:val="single" w:sz="2" w:space="0" w:color="auto"/>
              <w:right w:val="single" w:sz="2" w:space="0" w:color="auto"/>
            </w:tcBorders>
          </w:tcPr>
          <w:p w14:paraId="6ECCB6BA" w14:textId="77777777" w:rsidR="0086339D" w:rsidRPr="003C2F75" w:rsidRDefault="0086339D" w:rsidP="003C2F75">
            <w:pPr>
              <w:pStyle w:val="Tabletext"/>
            </w:pPr>
            <w:r w:rsidRPr="003C2F75">
              <w:t>1</w:t>
            </w:r>
          </w:p>
        </w:tc>
        <w:tc>
          <w:tcPr>
            <w:tcW w:w="2849" w:type="dxa"/>
            <w:tcBorders>
              <w:top w:val="single" w:sz="2" w:space="0" w:color="auto"/>
              <w:left w:val="single" w:sz="2" w:space="0" w:color="auto"/>
              <w:bottom w:val="single" w:sz="2" w:space="0" w:color="auto"/>
              <w:right w:val="single" w:sz="2" w:space="0" w:color="auto"/>
            </w:tcBorders>
          </w:tcPr>
          <w:p w14:paraId="3E8AFBAD" w14:textId="77777777" w:rsidR="0086339D" w:rsidRPr="00111E49" w:rsidRDefault="0086339D" w:rsidP="00D27CBE">
            <w:pPr>
              <w:pStyle w:val="Tabletext"/>
              <w:jc w:val="left"/>
              <w:rPr>
                <w:lang w:val="es-ES"/>
              </w:rPr>
            </w:pPr>
            <w:r w:rsidRPr="00111E49">
              <w:rPr>
                <w:lang w:val="es-ES"/>
              </w:rPr>
              <w:t>Un único canal con información analógica</w:t>
            </w:r>
          </w:p>
        </w:tc>
        <w:tc>
          <w:tcPr>
            <w:tcW w:w="357" w:type="dxa"/>
            <w:tcBorders>
              <w:top w:val="single" w:sz="2" w:space="0" w:color="auto"/>
              <w:left w:val="single" w:sz="2" w:space="0" w:color="auto"/>
              <w:bottom w:val="single" w:sz="2" w:space="0" w:color="auto"/>
              <w:right w:val="single" w:sz="2" w:space="0" w:color="auto"/>
            </w:tcBorders>
          </w:tcPr>
          <w:p w14:paraId="74E5EA4B" w14:textId="77777777" w:rsidR="0086339D" w:rsidRPr="003C2F75" w:rsidRDefault="0086339D" w:rsidP="003C2F75">
            <w:pPr>
              <w:pStyle w:val="Tabletext"/>
            </w:pPr>
            <w:r w:rsidRPr="003C2F75">
              <w:t>E</w:t>
            </w:r>
          </w:p>
        </w:tc>
        <w:tc>
          <w:tcPr>
            <w:tcW w:w="2855" w:type="dxa"/>
            <w:tcBorders>
              <w:top w:val="single" w:sz="2" w:space="0" w:color="auto"/>
              <w:left w:val="single" w:sz="2" w:space="0" w:color="auto"/>
              <w:bottom w:val="single" w:sz="2" w:space="0" w:color="auto"/>
              <w:right w:val="single" w:sz="2" w:space="0" w:color="auto"/>
            </w:tcBorders>
          </w:tcPr>
          <w:p w14:paraId="335A4645" w14:textId="77777777" w:rsidR="0086339D" w:rsidRPr="00111E49" w:rsidRDefault="0086339D" w:rsidP="00D27CBE">
            <w:pPr>
              <w:pStyle w:val="Tabletext"/>
              <w:jc w:val="center"/>
              <w:rPr>
                <w:lang w:val="es-ES"/>
              </w:rPr>
            </w:pPr>
            <w:r w:rsidRPr="00111E49">
              <w:rPr>
                <w:lang w:val="es-ES"/>
              </w:rPr>
              <w:t>Telefonía, incluida la radiodifusión sonora</w:t>
            </w:r>
          </w:p>
        </w:tc>
      </w:tr>
      <w:tr w:rsidR="0086339D" w:rsidRPr="0056409E" w14:paraId="1A75BD46" w14:textId="77777777" w:rsidTr="00F25AD4">
        <w:trPr>
          <w:jc w:val="center"/>
        </w:trPr>
        <w:tc>
          <w:tcPr>
            <w:tcW w:w="365" w:type="dxa"/>
            <w:tcBorders>
              <w:top w:val="single" w:sz="2" w:space="0" w:color="auto"/>
              <w:left w:val="single" w:sz="2" w:space="0" w:color="auto"/>
              <w:bottom w:val="single" w:sz="2" w:space="0" w:color="auto"/>
              <w:right w:val="single" w:sz="2" w:space="0" w:color="auto"/>
            </w:tcBorders>
          </w:tcPr>
          <w:p w14:paraId="1162A8F6" w14:textId="77777777" w:rsidR="0086339D" w:rsidRPr="003C2F75" w:rsidRDefault="0086339D" w:rsidP="003C2F75">
            <w:pPr>
              <w:pStyle w:val="Tabletext"/>
            </w:pPr>
            <w:r w:rsidRPr="003C2F75">
              <w:t>R</w:t>
            </w:r>
          </w:p>
        </w:tc>
        <w:tc>
          <w:tcPr>
            <w:tcW w:w="2849" w:type="dxa"/>
            <w:tcBorders>
              <w:top w:val="single" w:sz="2" w:space="0" w:color="auto"/>
              <w:left w:val="single" w:sz="2" w:space="0" w:color="auto"/>
              <w:bottom w:val="single" w:sz="2" w:space="0" w:color="auto"/>
              <w:right w:val="single" w:sz="2" w:space="0" w:color="auto"/>
            </w:tcBorders>
          </w:tcPr>
          <w:p w14:paraId="10F8A715" w14:textId="77777777" w:rsidR="0086339D" w:rsidRPr="00111E49" w:rsidRDefault="0086339D" w:rsidP="00D27CBE">
            <w:pPr>
              <w:pStyle w:val="Tabletext"/>
              <w:jc w:val="left"/>
              <w:rPr>
                <w:lang w:val="es-ES"/>
              </w:rPr>
            </w:pPr>
            <w:r w:rsidRPr="00111E49">
              <w:rPr>
                <w:lang w:val="es-ES"/>
              </w:rPr>
              <w:t>Modulación de amplitud: banda lateral única, portadora de nivel reducido o variable</w:t>
            </w:r>
          </w:p>
        </w:tc>
        <w:tc>
          <w:tcPr>
            <w:tcW w:w="364" w:type="dxa"/>
            <w:tcBorders>
              <w:top w:val="single" w:sz="2" w:space="0" w:color="auto"/>
              <w:left w:val="single" w:sz="2" w:space="0" w:color="auto"/>
              <w:bottom w:val="single" w:sz="2" w:space="0" w:color="auto"/>
              <w:right w:val="single" w:sz="2" w:space="0" w:color="auto"/>
            </w:tcBorders>
          </w:tcPr>
          <w:p w14:paraId="2E2E8F92" w14:textId="77777777" w:rsidR="0086339D" w:rsidRPr="003C2F75" w:rsidRDefault="0086339D" w:rsidP="003C2F75">
            <w:pPr>
              <w:pStyle w:val="Tabletext"/>
            </w:pPr>
            <w:r w:rsidRPr="003C2F75">
              <w:t>7</w:t>
            </w:r>
          </w:p>
        </w:tc>
        <w:tc>
          <w:tcPr>
            <w:tcW w:w="2849" w:type="dxa"/>
            <w:tcBorders>
              <w:top w:val="single" w:sz="2" w:space="0" w:color="auto"/>
              <w:left w:val="single" w:sz="2" w:space="0" w:color="auto"/>
              <w:bottom w:val="single" w:sz="2" w:space="0" w:color="auto"/>
              <w:right w:val="single" w:sz="2" w:space="0" w:color="auto"/>
            </w:tcBorders>
          </w:tcPr>
          <w:p w14:paraId="4B469DB1" w14:textId="77777777" w:rsidR="0086339D" w:rsidRPr="00111E49" w:rsidRDefault="0086339D" w:rsidP="00D27CBE">
            <w:pPr>
              <w:pStyle w:val="Tabletext"/>
              <w:jc w:val="left"/>
              <w:rPr>
                <w:lang w:val="es-ES"/>
              </w:rPr>
            </w:pPr>
            <w:r w:rsidRPr="00111E49">
              <w:rPr>
                <w:lang w:val="es-ES"/>
              </w:rPr>
              <w:t>Dos o más canales con información cuantizada o digital</w:t>
            </w:r>
          </w:p>
        </w:tc>
        <w:tc>
          <w:tcPr>
            <w:tcW w:w="357" w:type="dxa"/>
            <w:tcBorders>
              <w:top w:val="single" w:sz="2" w:space="0" w:color="auto"/>
              <w:left w:val="single" w:sz="2" w:space="0" w:color="auto"/>
              <w:bottom w:val="single" w:sz="2" w:space="0" w:color="auto"/>
              <w:right w:val="single" w:sz="2" w:space="0" w:color="auto"/>
            </w:tcBorders>
          </w:tcPr>
          <w:p w14:paraId="6F1C7E58" w14:textId="77777777" w:rsidR="0086339D" w:rsidRPr="003C2F75" w:rsidRDefault="0086339D" w:rsidP="003C2F75">
            <w:pPr>
              <w:pStyle w:val="Tabletext"/>
            </w:pPr>
            <w:r w:rsidRPr="003C2F75">
              <w:t>F</w:t>
            </w:r>
          </w:p>
        </w:tc>
        <w:tc>
          <w:tcPr>
            <w:tcW w:w="2855" w:type="dxa"/>
            <w:tcBorders>
              <w:top w:val="single" w:sz="2" w:space="0" w:color="auto"/>
              <w:left w:val="single" w:sz="2" w:space="0" w:color="auto"/>
              <w:bottom w:val="single" w:sz="2" w:space="0" w:color="auto"/>
              <w:right w:val="single" w:sz="2" w:space="0" w:color="auto"/>
            </w:tcBorders>
          </w:tcPr>
          <w:p w14:paraId="3327D727" w14:textId="77777777" w:rsidR="0086339D" w:rsidRPr="003C2F75" w:rsidRDefault="0086339D" w:rsidP="00D27CBE">
            <w:pPr>
              <w:pStyle w:val="Tabletext"/>
              <w:jc w:val="center"/>
            </w:pPr>
            <w:r w:rsidRPr="003C2F75">
              <w:t>Televisión (vídeo)</w:t>
            </w:r>
          </w:p>
        </w:tc>
      </w:tr>
      <w:tr w:rsidR="0086339D" w:rsidRPr="004170F5" w14:paraId="2001CE2F" w14:textId="77777777" w:rsidTr="00F25AD4">
        <w:trPr>
          <w:jc w:val="center"/>
        </w:trPr>
        <w:tc>
          <w:tcPr>
            <w:tcW w:w="365" w:type="dxa"/>
            <w:tcBorders>
              <w:top w:val="single" w:sz="2" w:space="0" w:color="auto"/>
              <w:left w:val="single" w:sz="2" w:space="0" w:color="auto"/>
              <w:bottom w:val="single" w:sz="2" w:space="0" w:color="auto"/>
              <w:right w:val="single" w:sz="2" w:space="0" w:color="auto"/>
            </w:tcBorders>
          </w:tcPr>
          <w:p w14:paraId="31EAF28F" w14:textId="77777777" w:rsidR="0086339D" w:rsidRPr="003C2F75" w:rsidRDefault="0086339D" w:rsidP="003C2F75">
            <w:pPr>
              <w:pStyle w:val="Tabletext"/>
            </w:pPr>
            <w:r w:rsidRPr="003C2F75">
              <w:t>J</w:t>
            </w:r>
          </w:p>
        </w:tc>
        <w:tc>
          <w:tcPr>
            <w:tcW w:w="2849" w:type="dxa"/>
            <w:tcBorders>
              <w:top w:val="single" w:sz="2" w:space="0" w:color="auto"/>
              <w:left w:val="single" w:sz="2" w:space="0" w:color="auto"/>
              <w:bottom w:val="single" w:sz="2" w:space="0" w:color="auto"/>
              <w:right w:val="single" w:sz="2" w:space="0" w:color="auto"/>
            </w:tcBorders>
          </w:tcPr>
          <w:p w14:paraId="1D682068" w14:textId="7904812D" w:rsidR="0086339D" w:rsidRPr="00111E49" w:rsidRDefault="0086339D" w:rsidP="00D27CBE">
            <w:pPr>
              <w:pStyle w:val="Tabletext"/>
              <w:jc w:val="left"/>
              <w:rPr>
                <w:lang w:val="es-ES"/>
              </w:rPr>
            </w:pPr>
            <w:r w:rsidRPr="00111E49">
              <w:rPr>
                <w:lang w:val="es-ES"/>
              </w:rPr>
              <w:t>Modulación de amplitud: banda lateral única, portadora suprimida</w:t>
            </w:r>
          </w:p>
        </w:tc>
        <w:tc>
          <w:tcPr>
            <w:tcW w:w="364" w:type="dxa"/>
            <w:tcBorders>
              <w:top w:val="single" w:sz="2" w:space="0" w:color="auto"/>
              <w:left w:val="single" w:sz="2" w:space="0" w:color="auto"/>
              <w:bottom w:val="single" w:sz="2" w:space="0" w:color="auto"/>
              <w:right w:val="single" w:sz="2" w:space="0" w:color="auto"/>
            </w:tcBorders>
          </w:tcPr>
          <w:p w14:paraId="3EB0020F" w14:textId="77777777" w:rsidR="0086339D" w:rsidRPr="003C2F75" w:rsidRDefault="0086339D" w:rsidP="003C2F75">
            <w:pPr>
              <w:pStyle w:val="Tabletext"/>
            </w:pPr>
            <w:r w:rsidRPr="003C2F75">
              <w:t>9</w:t>
            </w:r>
          </w:p>
        </w:tc>
        <w:tc>
          <w:tcPr>
            <w:tcW w:w="2849" w:type="dxa"/>
            <w:tcBorders>
              <w:top w:val="single" w:sz="2" w:space="0" w:color="auto"/>
              <w:left w:val="single" w:sz="2" w:space="0" w:color="auto"/>
              <w:bottom w:val="single" w:sz="2" w:space="0" w:color="auto"/>
              <w:right w:val="single" w:sz="2" w:space="0" w:color="auto"/>
            </w:tcBorders>
          </w:tcPr>
          <w:p w14:paraId="014BCFD8" w14:textId="77777777" w:rsidR="0086339D" w:rsidRPr="00111E49" w:rsidRDefault="0086339D" w:rsidP="00D27CBE">
            <w:pPr>
              <w:pStyle w:val="Tabletext"/>
              <w:jc w:val="left"/>
              <w:rPr>
                <w:lang w:val="es-ES"/>
              </w:rPr>
            </w:pPr>
            <w:r w:rsidRPr="00111E49">
              <w:rPr>
                <w:lang w:val="es-ES"/>
              </w:rPr>
              <w:t>Dos o más canales con una mezcla de canales analógicos y digitales</w:t>
            </w:r>
          </w:p>
        </w:tc>
        <w:tc>
          <w:tcPr>
            <w:tcW w:w="357" w:type="dxa"/>
            <w:tcBorders>
              <w:top w:val="single" w:sz="2" w:space="0" w:color="auto"/>
              <w:left w:val="single" w:sz="2" w:space="0" w:color="auto"/>
              <w:bottom w:val="single" w:sz="2" w:space="0" w:color="auto"/>
              <w:right w:val="single" w:sz="2" w:space="0" w:color="auto"/>
            </w:tcBorders>
          </w:tcPr>
          <w:p w14:paraId="54715581" w14:textId="77777777" w:rsidR="0086339D" w:rsidRPr="00111E49" w:rsidRDefault="0086339D" w:rsidP="003C2F75">
            <w:pPr>
              <w:pStyle w:val="Tabletext"/>
              <w:rPr>
                <w:lang w:val="es-ES"/>
              </w:rPr>
            </w:pPr>
          </w:p>
        </w:tc>
        <w:tc>
          <w:tcPr>
            <w:tcW w:w="2855" w:type="dxa"/>
            <w:tcBorders>
              <w:top w:val="single" w:sz="2" w:space="0" w:color="auto"/>
              <w:left w:val="single" w:sz="2" w:space="0" w:color="auto"/>
              <w:bottom w:val="single" w:sz="2" w:space="0" w:color="auto"/>
              <w:right w:val="single" w:sz="2" w:space="0" w:color="auto"/>
            </w:tcBorders>
          </w:tcPr>
          <w:p w14:paraId="1AEA0D02" w14:textId="77777777" w:rsidR="0086339D" w:rsidRPr="00111E49" w:rsidRDefault="0086339D" w:rsidP="00D27CBE">
            <w:pPr>
              <w:pStyle w:val="Tabletext"/>
              <w:jc w:val="left"/>
              <w:rPr>
                <w:lang w:val="es-ES"/>
              </w:rPr>
            </w:pPr>
          </w:p>
        </w:tc>
      </w:tr>
      <w:tr w:rsidR="0086339D" w:rsidRPr="004170F5" w14:paraId="345B6D33" w14:textId="77777777" w:rsidTr="00F25AD4">
        <w:trPr>
          <w:jc w:val="center"/>
        </w:trPr>
        <w:tc>
          <w:tcPr>
            <w:tcW w:w="365" w:type="dxa"/>
            <w:tcBorders>
              <w:top w:val="single" w:sz="2" w:space="0" w:color="auto"/>
              <w:left w:val="single" w:sz="2" w:space="0" w:color="auto"/>
              <w:bottom w:val="single" w:sz="2" w:space="0" w:color="auto"/>
              <w:right w:val="single" w:sz="2" w:space="0" w:color="auto"/>
            </w:tcBorders>
          </w:tcPr>
          <w:p w14:paraId="004FAD5B" w14:textId="77777777" w:rsidR="0086339D" w:rsidRPr="003C2F75" w:rsidRDefault="0086339D" w:rsidP="003C2F75">
            <w:pPr>
              <w:pStyle w:val="Tabletext"/>
            </w:pPr>
            <w:r w:rsidRPr="003C2F75">
              <w:t>C</w:t>
            </w:r>
          </w:p>
        </w:tc>
        <w:tc>
          <w:tcPr>
            <w:tcW w:w="2849" w:type="dxa"/>
            <w:tcBorders>
              <w:top w:val="single" w:sz="2" w:space="0" w:color="auto"/>
              <w:left w:val="single" w:sz="2" w:space="0" w:color="auto"/>
              <w:bottom w:val="single" w:sz="2" w:space="0" w:color="auto"/>
              <w:right w:val="single" w:sz="2" w:space="0" w:color="auto"/>
            </w:tcBorders>
          </w:tcPr>
          <w:p w14:paraId="0BBA2C17" w14:textId="77777777" w:rsidR="0086339D" w:rsidRPr="00111E49" w:rsidRDefault="0086339D" w:rsidP="00D27CBE">
            <w:pPr>
              <w:pStyle w:val="Tabletext"/>
              <w:jc w:val="left"/>
              <w:rPr>
                <w:lang w:val="es-ES"/>
              </w:rPr>
            </w:pPr>
            <w:r w:rsidRPr="00111E49">
              <w:rPr>
                <w:lang w:val="es-ES"/>
              </w:rPr>
              <w:t>Modulación de amplitud: banda lateral residual</w:t>
            </w:r>
          </w:p>
        </w:tc>
        <w:tc>
          <w:tcPr>
            <w:tcW w:w="364" w:type="dxa"/>
            <w:tcBorders>
              <w:top w:val="single" w:sz="2" w:space="0" w:color="auto"/>
              <w:left w:val="single" w:sz="2" w:space="0" w:color="auto"/>
              <w:bottom w:val="single" w:sz="2" w:space="0" w:color="auto"/>
              <w:right w:val="single" w:sz="2" w:space="0" w:color="auto"/>
            </w:tcBorders>
          </w:tcPr>
          <w:p w14:paraId="003A3265" w14:textId="77777777" w:rsidR="0086339D" w:rsidRPr="00111E49" w:rsidRDefault="0086339D" w:rsidP="003C2F75">
            <w:pPr>
              <w:pStyle w:val="Tabletext"/>
              <w:rPr>
                <w:lang w:val="es-ES"/>
              </w:rPr>
            </w:pPr>
          </w:p>
        </w:tc>
        <w:tc>
          <w:tcPr>
            <w:tcW w:w="2849" w:type="dxa"/>
            <w:tcBorders>
              <w:top w:val="single" w:sz="2" w:space="0" w:color="auto"/>
              <w:left w:val="single" w:sz="2" w:space="0" w:color="auto"/>
              <w:bottom w:val="single" w:sz="2" w:space="0" w:color="auto"/>
              <w:right w:val="single" w:sz="2" w:space="0" w:color="auto"/>
            </w:tcBorders>
          </w:tcPr>
          <w:p w14:paraId="53AC0BD9" w14:textId="77777777" w:rsidR="0086339D" w:rsidRPr="00111E49" w:rsidRDefault="0086339D" w:rsidP="00D27CBE">
            <w:pPr>
              <w:pStyle w:val="Tabletext"/>
              <w:jc w:val="left"/>
              <w:rPr>
                <w:lang w:val="es-ES"/>
              </w:rPr>
            </w:pPr>
          </w:p>
        </w:tc>
        <w:tc>
          <w:tcPr>
            <w:tcW w:w="357" w:type="dxa"/>
            <w:tcBorders>
              <w:top w:val="single" w:sz="2" w:space="0" w:color="auto"/>
              <w:left w:val="single" w:sz="2" w:space="0" w:color="auto"/>
              <w:bottom w:val="single" w:sz="2" w:space="0" w:color="auto"/>
              <w:right w:val="single" w:sz="2" w:space="0" w:color="auto"/>
            </w:tcBorders>
          </w:tcPr>
          <w:p w14:paraId="0A4F5324" w14:textId="77777777" w:rsidR="0086339D" w:rsidRPr="00111E49" w:rsidRDefault="0086339D" w:rsidP="003C2F75">
            <w:pPr>
              <w:pStyle w:val="Tabletext"/>
              <w:rPr>
                <w:lang w:val="es-ES"/>
              </w:rPr>
            </w:pPr>
          </w:p>
        </w:tc>
        <w:tc>
          <w:tcPr>
            <w:tcW w:w="2855" w:type="dxa"/>
            <w:tcBorders>
              <w:top w:val="single" w:sz="2" w:space="0" w:color="auto"/>
              <w:left w:val="single" w:sz="2" w:space="0" w:color="auto"/>
              <w:bottom w:val="single" w:sz="2" w:space="0" w:color="auto"/>
              <w:right w:val="single" w:sz="2" w:space="0" w:color="auto"/>
            </w:tcBorders>
          </w:tcPr>
          <w:p w14:paraId="203535BE" w14:textId="77777777" w:rsidR="0086339D" w:rsidRPr="00111E49" w:rsidRDefault="0086339D" w:rsidP="00D27CBE">
            <w:pPr>
              <w:pStyle w:val="Tabletext"/>
              <w:jc w:val="left"/>
              <w:rPr>
                <w:lang w:val="es-ES"/>
              </w:rPr>
            </w:pPr>
          </w:p>
        </w:tc>
      </w:tr>
      <w:tr w:rsidR="0086339D" w:rsidRPr="0056409E" w14:paraId="5E453EF9" w14:textId="77777777" w:rsidTr="00F25AD4">
        <w:trPr>
          <w:jc w:val="center"/>
        </w:trPr>
        <w:tc>
          <w:tcPr>
            <w:tcW w:w="365" w:type="dxa"/>
            <w:tcBorders>
              <w:top w:val="single" w:sz="2" w:space="0" w:color="auto"/>
              <w:left w:val="single" w:sz="2" w:space="0" w:color="auto"/>
              <w:bottom w:val="single" w:sz="2" w:space="0" w:color="auto"/>
              <w:right w:val="single" w:sz="2" w:space="0" w:color="auto"/>
            </w:tcBorders>
          </w:tcPr>
          <w:p w14:paraId="327919B1" w14:textId="77777777" w:rsidR="0086339D" w:rsidRPr="003C2F75" w:rsidRDefault="0086339D" w:rsidP="003C2F75">
            <w:pPr>
              <w:pStyle w:val="Tabletext"/>
            </w:pPr>
            <w:r w:rsidRPr="003C2F75">
              <w:t>X</w:t>
            </w:r>
          </w:p>
        </w:tc>
        <w:tc>
          <w:tcPr>
            <w:tcW w:w="2849" w:type="dxa"/>
            <w:tcBorders>
              <w:top w:val="single" w:sz="2" w:space="0" w:color="auto"/>
              <w:left w:val="single" w:sz="2" w:space="0" w:color="auto"/>
              <w:bottom w:val="single" w:sz="2" w:space="0" w:color="auto"/>
              <w:right w:val="single" w:sz="2" w:space="0" w:color="auto"/>
            </w:tcBorders>
          </w:tcPr>
          <w:p w14:paraId="6ADB5ECF" w14:textId="77777777" w:rsidR="0086339D" w:rsidRPr="003C2F75" w:rsidRDefault="0086339D" w:rsidP="00D27CBE">
            <w:pPr>
              <w:pStyle w:val="Tabletext"/>
              <w:jc w:val="left"/>
            </w:pPr>
            <w:r w:rsidRPr="003C2F75">
              <w:t>Casos no previstos</w:t>
            </w:r>
          </w:p>
        </w:tc>
        <w:tc>
          <w:tcPr>
            <w:tcW w:w="364" w:type="dxa"/>
            <w:tcBorders>
              <w:top w:val="single" w:sz="2" w:space="0" w:color="auto"/>
              <w:left w:val="single" w:sz="2" w:space="0" w:color="auto"/>
              <w:bottom w:val="single" w:sz="2" w:space="0" w:color="auto"/>
              <w:right w:val="single" w:sz="2" w:space="0" w:color="auto"/>
            </w:tcBorders>
          </w:tcPr>
          <w:p w14:paraId="7CD11E49" w14:textId="77777777" w:rsidR="0086339D" w:rsidRPr="003C2F75" w:rsidRDefault="0086339D" w:rsidP="003C2F75">
            <w:pPr>
              <w:pStyle w:val="Tabletext"/>
            </w:pPr>
          </w:p>
        </w:tc>
        <w:tc>
          <w:tcPr>
            <w:tcW w:w="2849" w:type="dxa"/>
            <w:tcBorders>
              <w:top w:val="single" w:sz="2" w:space="0" w:color="auto"/>
              <w:left w:val="single" w:sz="2" w:space="0" w:color="auto"/>
              <w:bottom w:val="single" w:sz="2" w:space="0" w:color="auto"/>
              <w:right w:val="single" w:sz="2" w:space="0" w:color="auto"/>
            </w:tcBorders>
          </w:tcPr>
          <w:p w14:paraId="7D83D6B8" w14:textId="77777777" w:rsidR="0086339D" w:rsidRPr="003C2F75" w:rsidRDefault="0086339D" w:rsidP="00D27CBE">
            <w:pPr>
              <w:pStyle w:val="Tabletext"/>
              <w:jc w:val="left"/>
            </w:pPr>
          </w:p>
        </w:tc>
        <w:tc>
          <w:tcPr>
            <w:tcW w:w="357" w:type="dxa"/>
            <w:tcBorders>
              <w:top w:val="single" w:sz="2" w:space="0" w:color="auto"/>
              <w:left w:val="single" w:sz="2" w:space="0" w:color="auto"/>
              <w:bottom w:val="single" w:sz="2" w:space="0" w:color="auto"/>
              <w:right w:val="single" w:sz="2" w:space="0" w:color="auto"/>
            </w:tcBorders>
          </w:tcPr>
          <w:p w14:paraId="45D148F4" w14:textId="77777777" w:rsidR="0086339D" w:rsidRPr="003C2F75" w:rsidRDefault="0086339D" w:rsidP="003C2F75">
            <w:pPr>
              <w:pStyle w:val="Tabletext"/>
            </w:pPr>
          </w:p>
        </w:tc>
        <w:tc>
          <w:tcPr>
            <w:tcW w:w="2855" w:type="dxa"/>
            <w:tcBorders>
              <w:top w:val="single" w:sz="2" w:space="0" w:color="auto"/>
              <w:left w:val="single" w:sz="2" w:space="0" w:color="auto"/>
              <w:bottom w:val="single" w:sz="2" w:space="0" w:color="auto"/>
              <w:right w:val="single" w:sz="2" w:space="0" w:color="auto"/>
            </w:tcBorders>
          </w:tcPr>
          <w:p w14:paraId="08E89914" w14:textId="77777777" w:rsidR="0086339D" w:rsidRPr="003C2F75" w:rsidRDefault="0086339D" w:rsidP="00D27CBE">
            <w:pPr>
              <w:pStyle w:val="Tabletext"/>
              <w:jc w:val="left"/>
            </w:pPr>
          </w:p>
        </w:tc>
      </w:tr>
    </w:tbl>
    <w:p w14:paraId="218DC4D4" w14:textId="77777777" w:rsidR="0086339D" w:rsidRPr="0056409E" w:rsidRDefault="0086339D" w:rsidP="0086339D">
      <w:pPr>
        <w:pStyle w:val="Tablefin"/>
        <w:rPr>
          <w:lang w:val="es-ES_tradnl"/>
        </w:rPr>
      </w:pPr>
    </w:p>
    <w:p w14:paraId="554D6A96" w14:textId="77777777" w:rsidR="0086339D" w:rsidRPr="0056409E" w:rsidRDefault="0086339D" w:rsidP="0086339D">
      <w:pPr>
        <w:rPr>
          <w:lang w:val="es-ES_tradnl"/>
        </w:rPr>
      </w:pPr>
      <w:r w:rsidRPr="0056409E">
        <w:rPr>
          <w:lang w:val="es-ES_tradnl"/>
        </w:rPr>
        <w:t>En el Cuadro 3 se detallan las clases de emisión más comunes para el servicio de radiodifusión.</w:t>
      </w:r>
    </w:p>
    <w:p w14:paraId="15FEE4A5" w14:textId="77777777" w:rsidR="0086339D" w:rsidRPr="0056409E" w:rsidRDefault="0086339D" w:rsidP="0086339D">
      <w:pPr>
        <w:pStyle w:val="TableNo"/>
        <w:rPr>
          <w:lang w:val="es-ES_tradnl"/>
        </w:rPr>
      </w:pPr>
      <w:r w:rsidRPr="0056409E">
        <w:rPr>
          <w:lang w:val="es-ES_tradnl"/>
        </w:rPr>
        <w:t>CUADRO  3</w:t>
      </w:r>
    </w:p>
    <w:p w14:paraId="6E9653D9" w14:textId="77777777" w:rsidR="0086339D" w:rsidRPr="0056409E" w:rsidRDefault="0086339D" w:rsidP="0086339D">
      <w:pPr>
        <w:pStyle w:val="Tabletitle"/>
        <w:rPr>
          <w:lang w:val="es-ES_tradnl"/>
        </w:rPr>
      </w:pPr>
      <w:r w:rsidRPr="0056409E">
        <w:rPr>
          <w:lang w:val="es-ES_tradnl"/>
        </w:rPr>
        <w:t>Clases de emisión más comunes para el servicio de radiodifusión</w:t>
      </w:r>
    </w:p>
    <w:tbl>
      <w:tblPr>
        <w:tblStyle w:val="TableGrid"/>
        <w:tblW w:w="9639" w:type="dxa"/>
        <w:jc w:val="center"/>
        <w:tblLook w:val="04A0" w:firstRow="1" w:lastRow="0" w:firstColumn="1" w:lastColumn="0" w:noHBand="0" w:noVBand="1"/>
      </w:tblPr>
      <w:tblGrid>
        <w:gridCol w:w="3886"/>
        <w:gridCol w:w="3483"/>
        <w:gridCol w:w="2270"/>
      </w:tblGrid>
      <w:tr w:rsidR="0086339D" w:rsidRPr="003C2F75" w14:paraId="26C0B8FA" w14:textId="77777777" w:rsidTr="00F25AD4">
        <w:trPr>
          <w:jc w:val="center"/>
        </w:trPr>
        <w:tc>
          <w:tcPr>
            <w:tcW w:w="3397" w:type="dxa"/>
          </w:tcPr>
          <w:p w14:paraId="181B97BB" w14:textId="77777777" w:rsidR="0086339D" w:rsidRPr="003C2F75" w:rsidRDefault="0086339D" w:rsidP="003C2F75">
            <w:pPr>
              <w:pStyle w:val="Tablehead"/>
              <w:rPr>
                <w:rFonts w:ascii="Times New Roman" w:hAnsi="Times New Roman" w:cs="Times New Roman"/>
              </w:rPr>
            </w:pPr>
            <w:r w:rsidRPr="003C2F75">
              <w:rPr>
                <w:rFonts w:ascii="Times New Roman" w:hAnsi="Times New Roman" w:cs="Times New Roman"/>
              </w:rPr>
              <w:t>Sistema de radiodifusión</w:t>
            </w:r>
          </w:p>
        </w:tc>
        <w:tc>
          <w:tcPr>
            <w:tcW w:w="3402" w:type="dxa"/>
          </w:tcPr>
          <w:p w14:paraId="7598A9FC" w14:textId="77777777" w:rsidR="0086339D" w:rsidRPr="003C2F75" w:rsidRDefault="0086339D" w:rsidP="003C2F75">
            <w:pPr>
              <w:pStyle w:val="Tablehead"/>
              <w:rPr>
                <w:rFonts w:ascii="Times New Roman" w:hAnsi="Times New Roman" w:cs="Times New Roman"/>
              </w:rPr>
            </w:pPr>
            <w:r w:rsidRPr="003C2F75">
              <w:rPr>
                <w:rFonts w:ascii="Times New Roman" w:hAnsi="Times New Roman" w:cs="Times New Roman"/>
              </w:rPr>
              <w:t>Descripción de la emisión</w:t>
            </w:r>
          </w:p>
        </w:tc>
        <w:tc>
          <w:tcPr>
            <w:tcW w:w="2217" w:type="dxa"/>
          </w:tcPr>
          <w:p w14:paraId="7CBE2C91" w14:textId="77777777" w:rsidR="0086339D" w:rsidRPr="003C2F75" w:rsidRDefault="0086339D" w:rsidP="003C2F75">
            <w:pPr>
              <w:pStyle w:val="Tablehead"/>
              <w:rPr>
                <w:rFonts w:ascii="Times New Roman" w:hAnsi="Times New Roman" w:cs="Times New Roman"/>
              </w:rPr>
            </w:pPr>
            <w:r w:rsidRPr="003C2F75">
              <w:rPr>
                <w:rFonts w:ascii="Times New Roman" w:hAnsi="Times New Roman" w:cs="Times New Roman"/>
              </w:rPr>
              <w:t>Clase de emisión</w:t>
            </w:r>
          </w:p>
        </w:tc>
      </w:tr>
      <w:tr w:rsidR="0086339D" w:rsidRPr="003C2F75" w14:paraId="6EC201FF" w14:textId="77777777" w:rsidTr="00F25AD4">
        <w:trPr>
          <w:jc w:val="center"/>
        </w:trPr>
        <w:tc>
          <w:tcPr>
            <w:tcW w:w="3397" w:type="dxa"/>
          </w:tcPr>
          <w:p w14:paraId="4A8523DD" w14:textId="77777777" w:rsidR="0086339D" w:rsidRPr="003C2F75" w:rsidRDefault="0086339D" w:rsidP="00D27CBE">
            <w:pPr>
              <w:pStyle w:val="Tabletext"/>
              <w:jc w:val="left"/>
              <w:rPr>
                <w:rFonts w:ascii="Times New Roman" w:hAnsi="Times New Roman" w:cs="Times New Roman"/>
                <w:lang w:val="es-ES_tradnl"/>
              </w:rPr>
            </w:pPr>
            <w:r w:rsidRPr="003C2F75">
              <w:rPr>
                <w:rFonts w:ascii="Times New Roman" w:hAnsi="Times New Roman" w:cs="Times New Roman"/>
                <w:lang w:val="es-ES_tradnl"/>
              </w:rPr>
              <w:t>Imágenes de televisión analógica</w:t>
            </w:r>
          </w:p>
        </w:tc>
        <w:tc>
          <w:tcPr>
            <w:tcW w:w="3402" w:type="dxa"/>
          </w:tcPr>
          <w:p w14:paraId="70BDB557" w14:textId="77777777" w:rsidR="0086339D" w:rsidRPr="003C2F75" w:rsidRDefault="0086339D" w:rsidP="00892296">
            <w:pPr>
              <w:pStyle w:val="Tabletext"/>
              <w:jc w:val="center"/>
              <w:rPr>
                <w:rFonts w:ascii="Times New Roman" w:hAnsi="Times New Roman" w:cs="Times New Roman"/>
                <w:lang w:val="es-ES_tradnl"/>
              </w:rPr>
            </w:pPr>
            <w:r w:rsidRPr="003C2F75">
              <w:rPr>
                <w:rFonts w:ascii="Times New Roman" w:hAnsi="Times New Roman" w:cs="Times New Roman"/>
                <w:lang w:val="es-ES_tradnl"/>
              </w:rPr>
              <w:t>VSB</w:t>
            </w:r>
          </w:p>
        </w:tc>
        <w:tc>
          <w:tcPr>
            <w:tcW w:w="2217" w:type="dxa"/>
          </w:tcPr>
          <w:p w14:paraId="38E2C590" w14:textId="77777777" w:rsidR="0086339D" w:rsidRPr="003C2F75" w:rsidRDefault="0086339D" w:rsidP="00892296">
            <w:pPr>
              <w:pStyle w:val="Tabletext"/>
              <w:jc w:val="center"/>
              <w:rPr>
                <w:rFonts w:ascii="Times New Roman" w:hAnsi="Times New Roman" w:cs="Times New Roman"/>
                <w:lang w:val="es-ES_tradnl"/>
              </w:rPr>
            </w:pPr>
            <w:r w:rsidRPr="003C2F75">
              <w:rPr>
                <w:rFonts w:ascii="Times New Roman" w:hAnsi="Times New Roman" w:cs="Times New Roman"/>
                <w:lang w:val="es-ES_tradnl"/>
              </w:rPr>
              <w:t>C3F</w:t>
            </w:r>
          </w:p>
        </w:tc>
      </w:tr>
      <w:tr w:rsidR="0086339D" w:rsidRPr="003C2F75" w14:paraId="369E468F" w14:textId="77777777" w:rsidTr="00F25AD4">
        <w:trPr>
          <w:jc w:val="center"/>
        </w:trPr>
        <w:tc>
          <w:tcPr>
            <w:tcW w:w="3397" w:type="dxa"/>
          </w:tcPr>
          <w:p w14:paraId="23D387ED" w14:textId="77777777" w:rsidR="0086339D" w:rsidRPr="003C2F75" w:rsidRDefault="0086339D" w:rsidP="00D27CBE">
            <w:pPr>
              <w:pStyle w:val="Tabletext"/>
              <w:jc w:val="left"/>
              <w:rPr>
                <w:rFonts w:ascii="Times New Roman" w:hAnsi="Times New Roman" w:cs="Times New Roman"/>
                <w:lang w:val="es-ES_tradnl"/>
              </w:rPr>
            </w:pPr>
            <w:r w:rsidRPr="003C2F75">
              <w:rPr>
                <w:rFonts w:ascii="Times New Roman" w:hAnsi="Times New Roman" w:cs="Times New Roman"/>
                <w:lang w:val="es-ES_tradnl"/>
              </w:rPr>
              <w:t>Sonido de televisión analógica</w:t>
            </w:r>
          </w:p>
        </w:tc>
        <w:tc>
          <w:tcPr>
            <w:tcW w:w="3402" w:type="dxa"/>
          </w:tcPr>
          <w:p w14:paraId="05126558" w14:textId="77777777" w:rsidR="0086339D" w:rsidRPr="003C2F75" w:rsidRDefault="0086339D" w:rsidP="00892296">
            <w:pPr>
              <w:pStyle w:val="Tabletext"/>
              <w:jc w:val="center"/>
              <w:rPr>
                <w:rFonts w:ascii="Times New Roman" w:hAnsi="Times New Roman" w:cs="Times New Roman"/>
                <w:lang w:val="es-ES_tradnl"/>
              </w:rPr>
            </w:pPr>
            <w:r w:rsidRPr="003C2F75">
              <w:rPr>
                <w:rFonts w:ascii="Times New Roman" w:hAnsi="Times New Roman" w:cs="Times New Roman"/>
                <w:lang w:val="es-ES_tradnl"/>
              </w:rPr>
              <w:t>Sonido FM o AM</w:t>
            </w:r>
          </w:p>
        </w:tc>
        <w:tc>
          <w:tcPr>
            <w:tcW w:w="2217" w:type="dxa"/>
          </w:tcPr>
          <w:p w14:paraId="2DC69712" w14:textId="77777777" w:rsidR="0086339D" w:rsidRPr="003C2F75" w:rsidRDefault="0086339D" w:rsidP="00892296">
            <w:pPr>
              <w:pStyle w:val="Tabletext"/>
              <w:jc w:val="center"/>
              <w:rPr>
                <w:rFonts w:ascii="Times New Roman" w:hAnsi="Times New Roman" w:cs="Times New Roman"/>
                <w:lang w:val="es-ES_tradnl"/>
              </w:rPr>
            </w:pPr>
            <w:r w:rsidRPr="003C2F75">
              <w:rPr>
                <w:rFonts w:ascii="Times New Roman" w:hAnsi="Times New Roman" w:cs="Times New Roman"/>
                <w:lang w:val="es-ES_tradnl"/>
              </w:rPr>
              <w:t>F3E o A3E</w:t>
            </w:r>
          </w:p>
        </w:tc>
      </w:tr>
      <w:tr w:rsidR="0086339D" w:rsidRPr="003C2F75" w14:paraId="50B12024" w14:textId="77777777" w:rsidTr="00F25AD4">
        <w:trPr>
          <w:jc w:val="center"/>
        </w:trPr>
        <w:tc>
          <w:tcPr>
            <w:tcW w:w="3397" w:type="dxa"/>
          </w:tcPr>
          <w:p w14:paraId="7105BE8D" w14:textId="77777777" w:rsidR="0086339D" w:rsidRPr="003C2F75" w:rsidRDefault="0086339D" w:rsidP="00D27CBE">
            <w:pPr>
              <w:pStyle w:val="Tabletext"/>
              <w:jc w:val="left"/>
              <w:rPr>
                <w:rFonts w:ascii="Times New Roman" w:hAnsi="Times New Roman" w:cs="Times New Roman"/>
                <w:lang w:val="es-ES_tradnl"/>
              </w:rPr>
            </w:pPr>
            <w:r w:rsidRPr="003C2F75">
              <w:rPr>
                <w:rFonts w:ascii="Times New Roman" w:hAnsi="Times New Roman" w:cs="Times New Roman"/>
                <w:lang w:val="es-ES_tradnl"/>
              </w:rPr>
              <w:t>ATSC</w:t>
            </w:r>
          </w:p>
        </w:tc>
        <w:tc>
          <w:tcPr>
            <w:tcW w:w="3402" w:type="dxa"/>
          </w:tcPr>
          <w:p w14:paraId="046C28ED" w14:textId="77777777" w:rsidR="0086339D" w:rsidRPr="003C2F75" w:rsidRDefault="0086339D" w:rsidP="00892296">
            <w:pPr>
              <w:pStyle w:val="Tabletext"/>
              <w:jc w:val="center"/>
              <w:rPr>
                <w:rFonts w:ascii="Times New Roman" w:hAnsi="Times New Roman" w:cs="Times New Roman"/>
                <w:lang w:val="es-ES_tradnl"/>
              </w:rPr>
            </w:pPr>
            <w:r w:rsidRPr="003C2F75">
              <w:rPr>
                <w:rFonts w:ascii="Times New Roman" w:hAnsi="Times New Roman" w:cs="Times New Roman"/>
                <w:lang w:val="es-ES_tradnl"/>
              </w:rPr>
              <w:t>VSB</w:t>
            </w:r>
          </w:p>
        </w:tc>
        <w:tc>
          <w:tcPr>
            <w:tcW w:w="2217" w:type="dxa"/>
          </w:tcPr>
          <w:p w14:paraId="446ACFC2" w14:textId="77777777" w:rsidR="0086339D" w:rsidRPr="003C2F75" w:rsidRDefault="0086339D" w:rsidP="00892296">
            <w:pPr>
              <w:pStyle w:val="Tabletext"/>
              <w:jc w:val="center"/>
              <w:rPr>
                <w:rFonts w:ascii="Times New Roman" w:hAnsi="Times New Roman" w:cs="Times New Roman"/>
                <w:lang w:val="es-ES_tradnl"/>
              </w:rPr>
            </w:pPr>
            <w:r w:rsidRPr="003C2F75">
              <w:rPr>
                <w:rFonts w:ascii="Times New Roman" w:hAnsi="Times New Roman" w:cs="Times New Roman"/>
                <w:lang w:val="es-ES_tradnl"/>
              </w:rPr>
              <w:t>C7W</w:t>
            </w:r>
          </w:p>
        </w:tc>
      </w:tr>
      <w:tr w:rsidR="0086339D" w:rsidRPr="003C2F75" w14:paraId="3811B7E3" w14:textId="77777777" w:rsidTr="00F25AD4">
        <w:trPr>
          <w:jc w:val="center"/>
        </w:trPr>
        <w:tc>
          <w:tcPr>
            <w:tcW w:w="3397" w:type="dxa"/>
          </w:tcPr>
          <w:p w14:paraId="362AD6AD" w14:textId="77777777" w:rsidR="0086339D" w:rsidRPr="003C2F75" w:rsidRDefault="0086339D" w:rsidP="00D27CBE">
            <w:pPr>
              <w:pStyle w:val="Tabletext"/>
              <w:jc w:val="left"/>
              <w:rPr>
                <w:rFonts w:ascii="Times New Roman" w:hAnsi="Times New Roman" w:cs="Times New Roman"/>
                <w:lang w:val="es-ES_tradnl"/>
              </w:rPr>
            </w:pPr>
            <w:r w:rsidRPr="003C2F75">
              <w:rPr>
                <w:rFonts w:ascii="Times New Roman" w:hAnsi="Times New Roman" w:cs="Times New Roman"/>
                <w:lang w:val="es-ES_tradnl"/>
              </w:rPr>
              <w:t>DVB-T/T2/H</w:t>
            </w:r>
          </w:p>
        </w:tc>
        <w:tc>
          <w:tcPr>
            <w:tcW w:w="3402" w:type="dxa"/>
          </w:tcPr>
          <w:p w14:paraId="247A7D45" w14:textId="77777777" w:rsidR="0086339D" w:rsidRPr="003C2F75" w:rsidRDefault="0086339D" w:rsidP="00892296">
            <w:pPr>
              <w:pStyle w:val="Tabletext"/>
              <w:jc w:val="center"/>
              <w:rPr>
                <w:rFonts w:ascii="Times New Roman" w:hAnsi="Times New Roman" w:cs="Times New Roman"/>
                <w:lang w:val="es-ES_tradnl"/>
              </w:rPr>
            </w:pPr>
            <w:r w:rsidRPr="003C2F75">
              <w:rPr>
                <w:rFonts w:ascii="Times New Roman" w:hAnsi="Times New Roman" w:cs="Times New Roman"/>
                <w:lang w:val="es-ES_tradnl"/>
              </w:rPr>
              <w:t>COFDM</w:t>
            </w:r>
          </w:p>
        </w:tc>
        <w:tc>
          <w:tcPr>
            <w:tcW w:w="2217" w:type="dxa"/>
          </w:tcPr>
          <w:p w14:paraId="0A24926B" w14:textId="77777777" w:rsidR="0086339D" w:rsidRPr="003C2F75" w:rsidRDefault="0086339D" w:rsidP="00892296">
            <w:pPr>
              <w:pStyle w:val="Tabletext"/>
              <w:jc w:val="center"/>
              <w:rPr>
                <w:rFonts w:ascii="Times New Roman" w:hAnsi="Times New Roman" w:cs="Times New Roman"/>
                <w:lang w:val="es-ES_tradnl"/>
              </w:rPr>
            </w:pPr>
            <w:r w:rsidRPr="003C2F75">
              <w:rPr>
                <w:rFonts w:ascii="Times New Roman" w:hAnsi="Times New Roman" w:cs="Times New Roman"/>
                <w:lang w:val="es-ES_tradnl"/>
              </w:rPr>
              <w:t>X7F</w:t>
            </w:r>
          </w:p>
        </w:tc>
      </w:tr>
      <w:tr w:rsidR="0086339D" w:rsidRPr="003C2F75" w14:paraId="5E02AE24" w14:textId="77777777" w:rsidTr="00F25AD4">
        <w:trPr>
          <w:jc w:val="center"/>
        </w:trPr>
        <w:tc>
          <w:tcPr>
            <w:tcW w:w="3397" w:type="dxa"/>
          </w:tcPr>
          <w:p w14:paraId="1AC84EF7" w14:textId="77777777" w:rsidR="0086339D" w:rsidRPr="003C2F75" w:rsidRDefault="0086339D" w:rsidP="00D27CBE">
            <w:pPr>
              <w:pStyle w:val="Tabletext"/>
              <w:jc w:val="left"/>
              <w:rPr>
                <w:rFonts w:ascii="Times New Roman" w:hAnsi="Times New Roman" w:cs="Times New Roman"/>
                <w:lang w:val="es-ES_tradnl"/>
              </w:rPr>
            </w:pPr>
            <w:r w:rsidRPr="003C2F75">
              <w:rPr>
                <w:rFonts w:ascii="Times New Roman" w:hAnsi="Times New Roman" w:cs="Times New Roman"/>
                <w:lang w:val="es-ES_tradnl"/>
              </w:rPr>
              <w:t>ISDB-T</w:t>
            </w:r>
          </w:p>
        </w:tc>
        <w:tc>
          <w:tcPr>
            <w:tcW w:w="3402" w:type="dxa"/>
          </w:tcPr>
          <w:p w14:paraId="118A28DC" w14:textId="77777777" w:rsidR="0086339D" w:rsidRPr="003C2F75" w:rsidRDefault="0086339D" w:rsidP="00892296">
            <w:pPr>
              <w:pStyle w:val="Tabletext"/>
              <w:jc w:val="center"/>
              <w:rPr>
                <w:rFonts w:ascii="Times New Roman" w:hAnsi="Times New Roman" w:cs="Times New Roman"/>
                <w:lang w:val="es-ES_tradnl"/>
              </w:rPr>
            </w:pPr>
            <w:r w:rsidRPr="003C2F75">
              <w:rPr>
                <w:rFonts w:ascii="Times New Roman" w:hAnsi="Times New Roman" w:cs="Times New Roman"/>
                <w:lang w:val="es-ES_tradnl"/>
              </w:rPr>
              <w:t>SOFDM</w:t>
            </w:r>
          </w:p>
        </w:tc>
        <w:tc>
          <w:tcPr>
            <w:tcW w:w="2217" w:type="dxa"/>
          </w:tcPr>
          <w:p w14:paraId="7C4E2C33" w14:textId="77777777" w:rsidR="0086339D" w:rsidRPr="003C2F75" w:rsidRDefault="0086339D" w:rsidP="00892296">
            <w:pPr>
              <w:pStyle w:val="Tabletext"/>
              <w:jc w:val="center"/>
              <w:rPr>
                <w:rFonts w:ascii="Times New Roman" w:hAnsi="Times New Roman" w:cs="Times New Roman"/>
                <w:lang w:val="es-ES_tradnl"/>
              </w:rPr>
            </w:pPr>
            <w:r w:rsidRPr="003C2F75">
              <w:rPr>
                <w:rFonts w:ascii="Times New Roman" w:hAnsi="Times New Roman" w:cs="Times New Roman"/>
                <w:lang w:val="es-ES_tradnl"/>
              </w:rPr>
              <w:t>X7F</w:t>
            </w:r>
          </w:p>
        </w:tc>
      </w:tr>
      <w:tr w:rsidR="0086339D" w:rsidRPr="003C2F75" w14:paraId="1513FBD3" w14:textId="77777777" w:rsidTr="00F25AD4">
        <w:trPr>
          <w:jc w:val="center"/>
        </w:trPr>
        <w:tc>
          <w:tcPr>
            <w:tcW w:w="3397" w:type="dxa"/>
          </w:tcPr>
          <w:p w14:paraId="27DF809C" w14:textId="77777777" w:rsidR="0086339D" w:rsidRPr="003C2F75" w:rsidRDefault="0086339D" w:rsidP="00D27CBE">
            <w:pPr>
              <w:pStyle w:val="Tabletext"/>
              <w:jc w:val="left"/>
              <w:rPr>
                <w:rFonts w:ascii="Times New Roman" w:hAnsi="Times New Roman" w:cs="Times New Roman"/>
                <w:lang w:val="es-ES_tradnl"/>
              </w:rPr>
            </w:pPr>
            <w:r w:rsidRPr="003C2F75">
              <w:rPr>
                <w:rFonts w:ascii="Times New Roman" w:hAnsi="Times New Roman" w:cs="Times New Roman"/>
                <w:lang w:val="es-ES_tradnl"/>
              </w:rPr>
              <w:t>ISDB-T (sistema multimedios «F»)</w:t>
            </w:r>
          </w:p>
        </w:tc>
        <w:tc>
          <w:tcPr>
            <w:tcW w:w="3402" w:type="dxa"/>
          </w:tcPr>
          <w:p w14:paraId="445598DE" w14:textId="77777777" w:rsidR="0086339D" w:rsidRPr="003C2F75" w:rsidRDefault="0086339D" w:rsidP="00892296">
            <w:pPr>
              <w:pStyle w:val="Tabletext"/>
              <w:jc w:val="center"/>
              <w:rPr>
                <w:rFonts w:ascii="Times New Roman" w:hAnsi="Times New Roman" w:cs="Times New Roman"/>
                <w:lang w:val="es-ES_tradnl"/>
              </w:rPr>
            </w:pPr>
            <w:r w:rsidRPr="003C2F75">
              <w:rPr>
                <w:rFonts w:ascii="Times New Roman" w:hAnsi="Times New Roman" w:cs="Times New Roman"/>
                <w:lang w:val="es-ES_tradnl"/>
              </w:rPr>
              <w:t>OFDM</w:t>
            </w:r>
          </w:p>
        </w:tc>
        <w:tc>
          <w:tcPr>
            <w:tcW w:w="2217" w:type="dxa"/>
          </w:tcPr>
          <w:p w14:paraId="22D65F55" w14:textId="77777777" w:rsidR="0086339D" w:rsidRPr="003C2F75" w:rsidRDefault="0086339D" w:rsidP="00892296">
            <w:pPr>
              <w:pStyle w:val="Tabletext"/>
              <w:jc w:val="center"/>
              <w:rPr>
                <w:rFonts w:ascii="Times New Roman" w:hAnsi="Times New Roman" w:cs="Times New Roman"/>
                <w:lang w:val="es-ES_tradnl"/>
              </w:rPr>
            </w:pPr>
            <w:r w:rsidRPr="003C2F75">
              <w:rPr>
                <w:rFonts w:ascii="Times New Roman" w:hAnsi="Times New Roman" w:cs="Times New Roman"/>
                <w:lang w:val="es-ES_tradnl"/>
              </w:rPr>
              <w:t>X7W</w:t>
            </w:r>
          </w:p>
        </w:tc>
      </w:tr>
      <w:tr w:rsidR="0086339D" w:rsidRPr="003C2F75" w14:paraId="6A66A9AF" w14:textId="77777777" w:rsidTr="00F25AD4">
        <w:trPr>
          <w:jc w:val="center"/>
        </w:trPr>
        <w:tc>
          <w:tcPr>
            <w:tcW w:w="3397" w:type="dxa"/>
          </w:tcPr>
          <w:p w14:paraId="3AB08D1E" w14:textId="77777777" w:rsidR="0086339D" w:rsidRPr="003C2F75" w:rsidRDefault="0086339D" w:rsidP="00D27CBE">
            <w:pPr>
              <w:pStyle w:val="Tabletext"/>
              <w:jc w:val="left"/>
              <w:rPr>
                <w:rFonts w:ascii="Times New Roman" w:hAnsi="Times New Roman" w:cs="Times New Roman"/>
                <w:lang w:val="es-ES_tradnl"/>
              </w:rPr>
            </w:pPr>
            <w:r w:rsidRPr="003C2F75">
              <w:rPr>
                <w:rFonts w:ascii="Times New Roman" w:hAnsi="Times New Roman" w:cs="Times New Roman"/>
                <w:lang w:val="es-ES_tradnl"/>
              </w:rPr>
              <w:t>T-DMB</w:t>
            </w:r>
          </w:p>
        </w:tc>
        <w:tc>
          <w:tcPr>
            <w:tcW w:w="3402" w:type="dxa"/>
          </w:tcPr>
          <w:p w14:paraId="22228BF8" w14:textId="77777777" w:rsidR="0086339D" w:rsidRPr="003C2F75" w:rsidRDefault="0086339D" w:rsidP="00892296">
            <w:pPr>
              <w:pStyle w:val="Tabletext"/>
              <w:jc w:val="center"/>
              <w:rPr>
                <w:rFonts w:ascii="Times New Roman" w:hAnsi="Times New Roman" w:cs="Times New Roman"/>
                <w:lang w:val="es-ES_tradnl"/>
              </w:rPr>
            </w:pPr>
            <w:r w:rsidRPr="003C2F75">
              <w:rPr>
                <w:rFonts w:ascii="Times New Roman" w:hAnsi="Times New Roman" w:cs="Times New Roman"/>
                <w:lang w:val="es-ES_tradnl"/>
              </w:rPr>
              <w:t>COFDM</w:t>
            </w:r>
          </w:p>
        </w:tc>
        <w:tc>
          <w:tcPr>
            <w:tcW w:w="2217" w:type="dxa"/>
          </w:tcPr>
          <w:p w14:paraId="22607B4B" w14:textId="77777777" w:rsidR="0086339D" w:rsidRPr="003C2F75" w:rsidRDefault="0086339D" w:rsidP="00892296">
            <w:pPr>
              <w:pStyle w:val="Tabletext"/>
              <w:jc w:val="center"/>
              <w:rPr>
                <w:rFonts w:ascii="Times New Roman" w:hAnsi="Times New Roman" w:cs="Times New Roman"/>
                <w:lang w:val="es-ES_tradnl"/>
              </w:rPr>
            </w:pPr>
            <w:r w:rsidRPr="003C2F75">
              <w:rPr>
                <w:rFonts w:ascii="Times New Roman" w:hAnsi="Times New Roman" w:cs="Times New Roman"/>
                <w:lang w:val="es-ES_tradnl"/>
              </w:rPr>
              <w:t>X7W</w:t>
            </w:r>
          </w:p>
        </w:tc>
      </w:tr>
      <w:tr w:rsidR="0086339D" w:rsidRPr="003C2F75" w14:paraId="6595C78C" w14:textId="77777777" w:rsidTr="00F25AD4">
        <w:trPr>
          <w:jc w:val="center"/>
        </w:trPr>
        <w:tc>
          <w:tcPr>
            <w:tcW w:w="3397" w:type="dxa"/>
          </w:tcPr>
          <w:p w14:paraId="7F889CAD" w14:textId="77777777" w:rsidR="0086339D" w:rsidRPr="003C2F75" w:rsidRDefault="0086339D" w:rsidP="00D27CBE">
            <w:pPr>
              <w:pStyle w:val="Tabletext"/>
              <w:jc w:val="left"/>
              <w:rPr>
                <w:rFonts w:ascii="Times New Roman" w:hAnsi="Times New Roman" w:cs="Times New Roman"/>
                <w:lang w:val="es-ES_tradnl"/>
              </w:rPr>
            </w:pPr>
            <w:r w:rsidRPr="003C2F75">
              <w:rPr>
                <w:rFonts w:ascii="Times New Roman" w:hAnsi="Times New Roman" w:cs="Times New Roman"/>
                <w:lang w:val="es-ES_tradnl"/>
              </w:rPr>
              <w:t>T-DAB</w:t>
            </w:r>
          </w:p>
        </w:tc>
        <w:tc>
          <w:tcPr>
            <w:tcW w:w="3402" w:type="dxa"/>
          </w:tcPr>
          <w:p w14:paraId="36EF8D96" w14:textId="77777777" w:rsidR="0086339D" w:rsidRPr="003C2F75" w:rsidRDefault="0086339D" w:rsidP="00892296">
            <w:pPr>
              <w:pStyle w:val="Tabletext"/>
              <w:jc w:val="center"/>
              <w:rPr>
                <w:rFonts w:ascii="Times New Roman" w:hAnsi="Times New Roman" w:cs="Times New Roman"/>
                <w:lang w:val="es-ES_tradnl"/>
              </w:rPr>
            </w:pPr>
            <w:r w:rsidRPr="003C2F75">
              <w:rPr>
                <w:rFonts w:ascii="Times New Roman" w:hAnsi="Times New Roman" w:cs="Times New Roman"/>
                <w:lang w:val="es-ES_tradnl"/>
              </w:rPr>
              <w:t>COFDM</w:t>
            </w:r>
          </w:p>
        </w:tc>
        <w:tc>
          <w:tcPr>
            <w:tcW w:w="2217" w:type="dxa"/>
          </w:tcPr>
          <w:p w14:paraId="1F178D55" w14:textId="77777777" w:rsidR="0086339D" w:rsidRPr="003C2F75" w:rsidRDefault="0086339D" w:rsidP="00892296">
            <w:pPr>
              <w:pStyle w:val="Tabletext"/>
              <w:jc w:val="center"/>
              <w:rPr>
                <w:rFonts w:ascii="Times New Roman" w:hAnsi="Times New Roman" w:cs="Times New Roman"/>
                <w:lang w:val="es-ES_tradnl"/>
              </w:rPr>
            </w:pPr>
            <w:r w:rsidRPr="003C2F75">
              <w:rPr>
                <w:rFonts w:ascii="Times New Roman" w:hAnsi="Times New Roman" w:cs="Times New Roman"/>
                <w:lang w:val="es-ES_tradnl"/>
              </w:rPr>
              <w:t>X7E</w:t>
            </w:r>
          </w:p>
        </w:tc>
      </w:tr>
      <w:tr w:rsidR="0086339D" w:rsidRPr="003C2F75" w14:paraId="16BA38B3" w14:textId="77777777" w:rsidTr="00F25AD4">
        <w:trPr>
          <w:jc w:val="center"/>
        </w:trPr>
        <w:tc>
          <w:tcPr>
            <w:tcW w:w="3397" w:type="dxa"/>
          </w:tcPr>
          <w:p w14:paraId="3E15459D" w14:textId="77777777" w:rsidR="0086339D" w:rsidRPr="003C2F75" w:rsidRDefault="0086339D" w:rsidP="00D27CBE">
            <w:pPr>
              <w:pStyle w:val="Tabletext"/>
              <w:jc w:val="left"/>
              <w:rPr>
                <w:rFonts w:ascii="Times New Roman" w:hAnsi="Times New Roman" w:cs="Times New Roman"/>
                <w:lang w:val="es-ES_tradnl"/>
              </w:rPr>
            </w:pPr>
            <w:r w:rsidRPr="003C2F75">
              <w:rPr>
                <w:rFonts w:ascii="Times New Roman" w:hAnsi="Times New Roman" w:cs="Times New Roman"/>
                <w:lang w:val="es-ES_tradnl"/>
              </w:rPr>
              <w:t>DRM</w:t>
            </w:r>
          </w:p>
        </w:tc>
        <w:tc>
          <w:tcPr>
            <w:tcW w:w="3402" w:type="dxa"/>
          </w:tcPr>
          <w:p w14:paraId="511C6642" w14:textId="77777777" w:rsidR="0086339D" w:rsidRPr="003C2F75" w:rsidRDefault="0086339D" w:rsidP="00892296">
            <w:pPr>
              <w:pStyle w:val="Tabletext"/>
              <w:jc w:val="center"/>
              <w:rPr>
                <w:rFonts w:ascii="Times New Roman" w:hAnsi="Times New Roman" w:cs="Times New Roman"/>
                <w:lang w:val="es-ES_tradnl"/>
              </w:rPr>
            </w:pPr>
            <w:r w:rsidRPr="003C2F75">
              <w:rPr>
                <w:rFonts w:ascii="Times New Roman" w:hAnsi="Times New Roman" w:cs="Times New Roman"/>
                <w:lang w:val="es-ES_tradnl"/>
              </w:rPr>
              <w:t>COFDM</w:t>
            </w:r>
          </w:p>
        </w:tc>
        <w:tc>
          <w:tcPr>
            <w:tcW w:w="2217" w:type="dxa"/>
          </w:tcPr>
          <w:p w14:paraId="498BE418" w14:textId="77777777" w:rsidR="0086339D" w:rsidRPr="003C2F75" w:rsidRDefault="0086339D" w:rsidP="00892296">
            <w:pPr>
              <w:pStyle w:val="Tabletext"/>
              <w:jc w:val="center"/>
              <w:rPr>
                <w:rFonts w:ascii="Times New Roman" w:hAnsi="Times New Roman" w:cs="Times New Roman"/>
                <w:lang w:val="es-ES_tradnl"/>
              </w:rPr>
            </w:pPr>
            <w:r w:rsidRPr="003C2F75">
              <w:rPr>
                <w:rFonts w:ascii="Times New Roman" w:hAnsi="Times New Roman" w:cs="Times New Roman"/>
                <w:lang w:val="es-ES_tradnl"/>
              </w:rPr>
              <w:t>X7E</w:t>
            </w:r>
          </w:p>
        </w:tc>
      </w:tr>
      <w:tr w:rsidR="0086339D" w:rsidRPr="003C2F75" w14:paraId="57EFDACB" w14:textId="77777777" w:rsidTr="00F25AD4">
        <w:trPr>
          <w:jc w:val="center"/>
        </w:trPr>
        <w:tc>
          <w:tcPr>
            <w:tcW w:w="3397" w:type="dxa"/>
          </w:tcPr>
          <w:p w14:paraId="011DE58D" w14:textId="77777777" w:rsidR="0086339D" w:rsidRPr="003C2F75" w:rsidRDefault="0086339D" w:rsidP="00D27CBE">
            <w:pPr>
              <w:pStyle w:val="Tabletext"/>
              <w:jc w:val="left"/>
              <w:rPr>
                <w:rFonts w:ascii="Times New Roman" w:hAnsi="Times New Roman" w:cs="Times New Roman"/>
                <w:lang w:val="es-ES_tradnl"/>
              </w:rPr>
            </w:pPr>
            <w:r w:rsidRPr="003C2F75">
              <w:rPr>
                <w:rFonts w:ascii="Times New Roman" w:hAnsi="Times New Roman" w:cs="Times New Roman"/>
                <w:lang w:val="es-ES_tradnl"/>
              </w:rPr>
              <w:t>Radiodifusión sonora en ondas decamétricas/hectométricas/kilométricas</w:t>
            </w:r>
          </w:p>
        </w:tc>
        <w:tc>
          <w:tcPr>
            <w:tcW w:w="3402" w:type="dxa"/>
          </w:tcPr>
          <w:p w14:paraId="72FC0060" w14:textId="77777777" w:rsidR="0086339D" w:rsidRPr="003C2F75" w:rsidRDefault="0086339D" w:rsidP="00892296">
            <w:pPr>
              <w:pStyle w:val="Tabletext"/>
              <w:jc w:val="center"/>
              <w:rPr>
                <w:rFonts w:ascii="Times New Roman" w:hAnsi="Times New Roman" w:cs="Times New Roman"/>
                <w:lang w:val="es-ES_tradnl"/>
              </w:rPr>
            </w:pPr>
            <w:r w:rsidRPr="003C2F75">
              <w:rPr>
                <w:rFonts w:ascii="Times New Roman" w:hAnsi="Times New Roman" w:cs="Times New Roman"/>
                <w:lang w:val="es-ES_tradnl"/>
              </w:rPr>
              <w:t>AM</w:t>
            </w:r>
          </w:p>
        </w:tc>
        <w:tc>
          <w:tcPr>
            <w:tcW w:w="2217" w:type="dxa"/>
          </w:tcPr>
          <w:p w14:paraId="48A75EE2" w14:textId="77777777" w:rsidR="0086339D" w:rsidRPr="003C2F75" w:rsidRDefault="0086339D" w:rsidP="00892296">
            <w:pPr>
              <w:pStyle w:val="Tabletext"/>
              <w:jc w:val="center"/>
              <w:rPr>
                <w:rFonts w:ascii="Times New Roman" w:hAnsi="Times New Roman" w:cs="Times New Roman"/>
                <w:lang w:val="es-ES_tradnl"/>
              </w:rPr>
            </w:pPr>
            <w:r w:rsidRPr="003C2F75">
              <w:rPr>
                <w:rFonts w:ascii="Times New Roman" w:hAnsi="Times New Roman" w:cs="Times New Roman"/>
                <w:lang w:val="es-ES_tradnl"/>
              </w:rPr>
              <w:t>A3E / A8E</w:t>
            </w:r>
          </w:p>
        </w:tc>
      </w:tr>
      <w:tr w:rsidR="0086339D" w:rsidRPr="003C2F75" w14:paraId="25B121F5" w14:textId="77777777" w:rsidTr="00F25AD4">
        <w:trPr>
          <w:jc w:val="center"/>
        </w:trPr>
        <w:tc>
          <w:tcPr>
            <w:tcW w:w="3397" w:type="dxa"/>
          </w:tcPr>
          <w:p w14:paraId="27A97DA8" w14:textId="77777777" w:rsidR="0086339D" w:rsidRPr="003C2F75" w:rsidRDefault="0086339D" w:rsidP="00D27CBE">
            <w:pPr>
              <w:pStyle w:val="Tabletext"/>
              <w:jc w:val="left"/>
              <w:rPr>
                <w:rFonts w:ascii="Times New Roman" w:hAnsi="Times New Roman" w:cs="Times New Roman"/>
                <w:lang w:val="es-ES_tradnl"/>
              </w:rPr>
            </w:pPr>
            <w:r w:rsidRPr="003C2F75">
              <w:rPr>
                <w:rFonts w:ascii="Times New Roman" w:hAnsi="Times New Roman" w:cs="Times New Roman"/>
                <w:lang w:val="es-ES_tradnl"/>
              </w:rPr>
              <w:t>Radiodifusión Sonora en FM</w:t>
            </w:r>
          </w:p>
        </w:tc>
        <w:tc>
          <w:tcPr>
            <w:tcW w:w="3402" w:type="dxa"/>
          </w:tcPr>
          <w:p w14:paraId="2C465CB1" w14:textId="77777777" w:rsidR="0086339D" w:rsidRPr="003C2F75" w:rsidRDefault="0086339D" w:rsidP="00892296">
            <w:pPr>
              <w:pStyle w:val="Tabletext"/>
              <w:jc w:val="center"/>
              <w:rPr>
                <w:rFonts w:ascii="Times New Roman" w:hAnsi="Times New Roman" w:cs="Times New Roman"/>
                <w:lang w:val="es-ES_tradnl"/>
              </w:rPr>
            </w:pPr>
            <w:r w:rsidRPr="003C2F75">
              <w:rPr>
                <w:rFonts w:ascii="Times New Roman" w:hAnsi="Times New Roman" w:cs="Times New Roman"/>
                <w:lang w:val="es-ES_tradnl"/>
              </w:rPr>
              <w:t>FM</w:t>
            </w:r>
          </w:p>
        </w:tc>
        <w:tc>
          <w:tcPr>
            <w:tcW w:w="2217" w:type="dxa"/>
          </w:tcPr>
          <w:p w14:paraId="225EB0CB" w14:textId="77777777" w:rsidR="0086339D" w:rsidRPr="003C2F75" w:rsidRDefault="0086339D" w:rsidP="00892296">
            <w:pPr>
              <w:pStyle w:val="Tabletext"/>
              <w:jc w:val="center"/>
              <w:rPr>
                <w:rFonts w:ascii="Times New Roman" w:hAnsi="Times New Roman" w:cs="Times New Roman"/>
                <w:lang w:val="es-ES_tradnl"/>
              </w:rPr>
            </w:pPr>
            <w:r w:rsidRPr="003C2F75">
              <w:rPr>
                <w:rFonts w:ascii="Times New Roman" w:hAnsi="Times New Roman" w:cs="Times New Roman"/>
                <w:lang w:val="es-ES_tradnl"/>
              </w:rPr>
              <w:t>F3E / F8E</w:t>
            </w:r>
          </w:p>
        </w:tc>
      </w:tr>
    </w:tbl>
    <w:p w14:paraId="17706F0D" w14:textId="77777777" w:rsidR="0086339D" w:rsidRPr="0056409E" w:rsidRDefault="0086339D" w:rsidP="0086339D">
      <w:pPr>
        <w:pStyle w:val="Tablefin"/>
        <w:rPr>
          <w:lang w:val="es-ES_tradnl"/>
        </w:rPr>
      </w:pPr>
    </w:p>
    <w:p w14:paraId="4F60FE4B" w14:textId="77777777" w:rsidR="0086339D" w:rsidRPr="0056409E" w:rsidRDefault="0086339D" w:rsidP="0086339D">
      <w:pPr>
        <w:pStyle w:val="Heading1"/>
        <w:rPr>
          <w:lang w:val="es-ES_tradnl"/>
        </w:rPr>
      </w:pPr>
      <w:bookmarkStart w:id="711" w:name="_Toc162005943"/>
      <w:bookmarkStart w:id="712" w:name="_Toc162006271"/>
      <w:bookmarkStart w:id="713" w:name="_Toc162444617"/>
      <w:bookmarkStart w:id="714" w:name="_Toc133400715"/>
      <w:bookmarkStart w:id="715" w:name="_Toc162518225"/>
      <w:bookmarkStart w:id="716" w:name="_Toc162518748"/>
      <w:r w:rsidRPr="0056409E">
        <w:rPr>
          <w:lang w:val="es-ES_tradnl"/>
        </w:rPr>
        <w:t>2</w:t>
      </w:r>
      <w:r w:rsidRPr="0056409E">
        <w:rPr>
          <w:lang w:val="es-ES_tradnl"/>
        </w:rPr>
        <w:tab/>
        <w:t>Potencia del transmisor e intensidad de campo expresados en términos del tipo de modulación</w:t>
      </w:r>
      <w:bookmarkEnd w:id="711"/>
      <w:bookmarkEnd w:id="712"/>
      <w:bookmarkEnd w:id="713"/>
      <w:bookmarkEnd w:id="715"/>
      <w:bookmarkEnd w:id="716"/>
    </w:p>
    <w:p w14:paraId="57086267" w14:textId="77777777" w:rsidR="0086339D" w:rsidRPr="0056409E" w:rsidRDefault="0086339D" w:rsidP="0086339D">
      <w:pPr>
        <w:rPr>
          <w:lang w:val="es-ES_tradnl"/>
        </w:rPr>
      </w:pPr>
      <w:r w:rsidRPr="004164C6">
        <w:rPr>
          <w:lang w:val="es-ES_tradnl"/>
        </w:rPr>
        <w:t xml:space="preserve">La información sobre la potencia del transmisor suministrada a la antena y sobre el tipo de modulación puede obtenerse </w:t>
      </w:r>
      <w:r w:rsidRPr="0056409E">
        <w:rPr>
          <w:lang w:val="es-ES_tradnl"/>
        </w:rPr>
        <w:t>del</w:t>
      </w:r>
      <w:r w:rsidRPr="004164C6">
        <w:rPr>
          <w:lang w:val="es-ES_tradnl"/>
        </w:rPr>
        <w:t xml:space="preserve"> organismo de transmisión responsable del funciona</w:t>
      </w:r>
      <w:r w:rsidRPr="004164C6">
        <w:rPr>
          <w:lang w:val="es-ES_tradnl"/>
        </w:rPr>
        <w:softHyphen/>
        <w:t xml:space="preserve">miento de los equipos en un emplazamiento en particular. Es importante saber si la potencia del transmisor se expresa con relación </w:t>
      </w:r>
      <w:r w:rsidRPr="004164C6">
        <w:rPr>
          <w:lang w:val="es-ES_tradnl"/>
        </w:rPr>
        <w:lastRenderedPageBreak/>
        <w:t xml:space="preserve">a la potencia </w:t>
      </w:r>
      <w:r w:rsidRPr="0056409E">
        <w:rPr>
          <w:lang w:val="es-ES_tradnl"/>
        </w:rPr>
        <w:t xml:space="preserve">de la </w:t>
      </w:r>
      <w:r w:rsidRPr="004164C6">
        <w:rPr>
          <w:lang w:val="es-ES_tradnl"/>
        </w:rPr>
        <w:t>portadora</w:t>
      </w:r>
      <w:r w:rsidRPr="0056409E">
        <w:rPr>
          <w:lang w:val="es-ES_tradnl"/>
        </w:rPr>
        <w:t>,</w:t>
      </w:r>
      <w:r w:rsidRPr="004164C6">
        <w:rPr>
          <w:lang w:val="es-ES_tradnl"/>
        </w:rPr>
        <w:t xml:space="preserve"> </w:t>
      </w:r>
      <w:r w:rsidRPr="0056409E">
        <w:rPr>
          <w:i/>
          <w:iCs/>
          <w:lang w:val="es-ES_tradnl"/>
        </w:rPr>
        <w:t>P</w:t>
      </w:r>
      <w:r w:rsidRPr="0056409E">
        <w:rPr>
          <w:i/>
          <w:vertAlign w:val="subscript"/>
          <w:lang w:val="es-ES_tradnl"/>
        </w:rPr>
        <w:t>c</w:t>
      </w:r>
      <w:r w:rsidRPr="0056409E">
        <w:rPr>
          <w:lang w:val="es-ES_tradnl"/>
        </w:rPr>
        <w:t>,</w:t>
      </w:r>
      <w:r w:rsidRPr="004164C6">
        <w:rPr>
          <w:lang w:val="es-ES_tradnl"/>
        </w:rPr>
        <w:t xml:space="preserve"> a la potencia media, </w:t>
      </w:r>
      <w:r w:rsidRPr="0056409E">
        <w:rPr>
          <w:i/>
          <w:lang w:val="es-ES_tradnl"/>
        </w:rPr>
        <w:t>P</w:t>
      </w:r>
      <w:r w:rsidRPr="0056409E">
        <w:rPr>
          <w:i/>
          <w:vertAlign w:val="subscript"/>
          <w:lang w:val="es-ES_tradnl"/>
        </w:rPr>
        <w:t>m</w:t>
      </w:r>
      <w:r w:rsidRPr="0056409E">
        <w:rPr>
          <w:lang w:val="es-ES_tradnl"/>
        </w:rPr>
        <w:t xml:space="preserve">, </w:t>
      </w:r>
      <w:r w:rsidRPr="004164C6">
        <w:rPr>
          <w:lang w:val="es-ES_tradnl"/>
        </w:rPr>
        <w:t xml:space="preserve">o a la potencia de cresta, </w:t>
      </w:r>
      <w:r w:rsidRPr="0056409E">
        <w:rPr>
          <w:i/>
          <w:lang w:val="es-ES_tradnl"/>
        </w:rPr>
        <w:t>P</w:t>
      </w:r>
      <w:r w:rsidRPr="0056409E">
        <w:rPr>
          <w:i/>
          <w:iCs/>
          <w:vertAlign w:val="subscript"/>
          <w:lang w:val="es-ES_tradnl"/>
        </w:rPr>
        <w:t>p</w:t>
      </w:r>
      <w:r w:rsidRPr="0056409E">
        <w:rPr>
          <w:lang w:val="es-ES_tradnl"/>
        </w:rPr>
        <w:t xml:space="preserve">, </w:t>
      </w:r>
      <w:r w:rsidRPr="004164C6">
        <w:rPr>
          <w:lang w:val="es-ES_tradnl"/>
        </w:rPr>
        <w:t xml:space="preserve">de forma que los valores medidos o calculados puedan compararse con precisión con los niveles </w:t>
      </w:r>
      <w:r w:rsidRPr="0056409E">
        <w:rPr>
          <w:lang w:val="es-ES_tradnl"/>
        </w:rPr>
        <w:t>de referencia</w:t>
      </w:r>
      <w:r w:rsidRPr="004164C6">
        <w:rPr>
          <w:lang w:val="es-ES_tradnl"/>
        </w:rPr>
        <w:t>.</w:t>
      </w:r>
      <w:bookmarkEnd w:id="714"/>
    </w:p>
    <w:p w14:paraId="77B3FD7B" w14:textId="77777777" w:rsidR="0086339D" w:rsidRPr="0056409E" w:rsidRDefault="0086339D" w:rsidP="003C2F75">
      <w:pPr>
        <w:rPr>
          <w:lang w:val="es-ES_tradnl"/>
        </w:rPr>
      </w:pPr>
      <w:r w:rsidRPr="0056409E">
        <w:rPr>
          <w:lang w:val="es-ES_tradnl"/>
        </w:rPr>
        <w:t>A título de ejemplo, se ha considerado un transmisor de radiodifusión sonora en ondas hecto</w:t>
      </w:r>
      <w:r w:rsidRPr="0056409E">
        <w:rPr>
          <w:lang w:val="es-ES_tradnl"/>
        </w:rPr>
        <w:softHyphen/>
        <w:t>métricas (es decir, un tipo de emisión A3E). Se supone que los cálculos o mediciones tienen en cuenta únicamente la potencia de portadora, no obstante, los niveles de referencia también toman en consideración las componentes de modulación (en términos de potencia del transmisor, lo que corresponde a la potencia media). Además, se supone que sólo se utilizan valores eficaces.</w:t>
      </w:r>
    </w:p>
    <w:p w14:paraId="4F103F62" w14:textId="77777777" w:rsidR="0086339D" w:rsidRPr="0056409E" w:rsidRDefault="0086339D" w:rsidP="003C2F75">
      <w:pPr>
        <w:rPr>
          <w:lang w:val="es-ES_tradnl"/>
        </w:rPr>
      </w:pPr>
      <w:r w:rsidRPr="0056409E">
        <w:rPr>
          <w:lang w:val="es-ES_tradnl"/>
        </w:rPr>
        <w:t>Para comparar los valores calculados o medidos con los niveles de referencia, debe realizarse una de las siguientes transformaciones:</w:t>
      </w:r>
    </w:p>
    <w:p w14:paraId="3D5C7B6D" w14:textId="77777777" w:rsidR="0086339D" w:rsidRPr="00111E49" w:rsidRDefault="0086339D" w:rsidP="003C2F75">
      <w:pPr>
        <w:pStyle w:val="enumlev1"/>
        <w:rPr>
          <w:lang w:val="es-ES"/>
        </w:rPr>
      </w:pPr>
      <w:r w:rsidRPr="0056409E">
        <w:rPr>
          <w:lang w:val="es-ES_tradnl"/>
        </w:rPr>
        <w:t>–</w:t>
      </w:r>
      <w:r w:rsidRPr="0056409E">
        <w:rPr>
          <w:lang w:val="es-ES_tradnl"/>
        </w:rPr>
        <w:tab/>
        <w:t xml:space="preserve">los valores </w:t>
      </w:r>
      <w:r w:rsidRPr="00111E49">
        <w:rPr>
          <w:lang w:val="es-ES"/>
        </w:rPr>
        <w:t>calculados o medidos deben modificarse para incluir las componentes de modulación, o</w:t>
      </w:r>
    </w:p>
    <w:p w14:paraId="1FF7E2DC" w14:textId="77777777" w:rsidR="0086339D" w:rsidRPr="0056409E" w:rsidRDefault="0086339D" w:rsidP="003C2F75">
      <w:pPr>
        <w:pStyle w:val="enumlev1"/>
        <w:rPr>
          <w:lang w:val="es-ES_tradnl"/>
        </w:rPr>
      </w:pPr>
      <w:r w:rsidRPr="00111E49">
        <w:rPr>
          <w:lang w:val="es-ES"/>
        </w:rPr>
        <w:t>–</w:t>
      </w:r>
      <w:r w:rsidRPr="00111E49">
        <w:rPr>
          <w:lang w:val="es-ES"/>
        </w:rPr>
        <w:tab/>
        <w:t>los niveles obtenidos</w:t>
      </w:r>
      <w:r w:rsidRPr="0056409E">
        <w:rPr>
          <w:lang w:val="es-ES_tradnl"/>
        </w:rPr>
        <w:t xml:space="preserve"> deben modificarse de tal manera que se correspondan con los valores de potencia de la portadora únicamente, es decir, sin componentes de modulación.</w:t>
      </w:r>
    </w:p>
    <w:p w14:paraId="03C6D8BC" w14:textId="77777777" w:rsidR="0086339D" w:rsidRPr="0056409E" w:rsidRDefault="0086339D" w:rsidP="003C2F75">
      <w:pPr>
        <w:rPr>
          <w:lang w:val="es-ES_tradnl"/>
        </w:rPr>
      </w:pPr>
      <w:r w:rsidRPr="0056409E">
        <w:rPr>
          <w:lang w:val="es-ES_tradnl"/>
        </w:rPr>
        <w:t xml:space="preserve">En el Cuadro 4 se indican los factores de multiplicación que relacionan un tipo de notación de potencia con otro (estas distintas notaciones para la potencia se definen en el RR). En el caso de una transmisión A3E, indicada como A*E en el Cuadro 4, puede observarse que la potencia media, </w:t>
      </w:r>
      <w:r w:rsidRPr="0056409E">
        <w:rPr>
          <w:i/>
          <w:iCs/>
          <w:lang w:val="es-ES_tradnl"/>
        </w:rPr>
        <w:t>P</w:t>
      </w:r>
      <w:r w:rsidRPr="0056409E">
        <w:rPr>
          <w:i/>
          <w:iCs/>
          <w:vertAlign w:val="subscript"/>
          <w:lang w:val="es-ES_tradnl"/>
        </w:rPr>
        <w:t>m</w:t>
      </w:r>
      <w:r w:rsidRPr="0056409E">
        <w:rPr>
          <w:lang w:val="es-ES_tradnl"/>
        </w:rPr>
        <w:t xml:space="preserve">, es 1,5 veces la potencia de portadora, </w:t>
      </w:r>
      <w:r w:rsidRPr="0056409E">
        <w:rPr>
          <w:i/>
          <w:iCs/>
          <w:lang w:val="es-ES_tradnl"/>
        </w:rPr>
        <w:t>P</w:t>
      </w:r>
      <w:r w:rsidRPr="0056409E">
        <w:rPr>
          <w:i/>
          <w:iCs/>
          <w:vertAlign w:val="subscript"/>
          <w:lang w:val="es-ES_tradnl"/>
        </w:rPr>
        <w:t>c</w:t>
      </w:r>
      <w:r w:rsidRPr="0056409E">
        <w:rPr>
          <w:lang w:val="es-ES_tradnl"/>
        </w:rPr>
        <w:t>.</w:t>
      </w:r>
    </w:p>
    <w:p w14:paraId="7E754A5B" w14:textId="77777777" w:rsidR="0086339D" w:rsidRPr="0056409E" w:rsidRDefault="0086339D" w:rsidP="003C2F75">
      <w:pPr>
        <w:rPr>
          <w:lang w:val="es-ES_tradnl"/>
        </w:rPr>
      </w:pPr>
      <w:r w:rsidRPr="0056409E">
        <w:rPr>
          <w:iCs/>
          <w:lang w:val="es-ES_tradnl"/>
        </w:rPr>
        <w:t>En el cuadro 4 se asume una profundidad de modulación del 100%. En la práctica, la profundidad de modulación de los transmisores de radiodifusión suele ser inferior. De nuevo, tomando el ejemplo de una transmisión A3E pero con una profundidad de modulación</w:t>
      </w:r>
      <w:r w:rsidRPr="0056409E">
        <w:rPr>
          <w:i/>
          <w:iCs/>
          <w:lang w:val="es-ES_tradnl"/>
        </w:rPr>
        <w:t xml:space="preserve"> m</w:t>
      </w:r>
      <w:r w:rsidRPr="0056409E">
        <w:rPr>
          <w:lang w:val="es-ES_tradnl"/>
        </w:rPr>
        <w:t xml:space="preserve">, donde </w:t>
      </w:r>
      <w:r w:rsidRPr="0056409E">
        <w:rPr>
          <w:i/>
          <w:iCs/>
          <w:lang w:val="es-ES_tradnl"/>
        </w:rPr>
        <w:t>m</w:t>
      </w:r>
      <w:r w:rsidRPr="0056409E">
        <w:rPr>
          <w:iCs/>
          <w:lang w:val="es-ES_tradnl"/>
        </w:rPr>
        <w:t xml:space="preserve"> = 1 representa el 100%, la potencia de cresta equivaldrá a </w:t>
      </w:r>
      <w:r w:rsidRPr="0056409E">
        <w:rPr>
          <w:lang w:val="es-ES_tradnl"/>
        </w:rPr>
        <w:t>(1 + </w:t>
      </w:r>
      <w:r w:rsidRPr="0056409E">
        <w:rPr>
          <w:i/>
          <w:iCs/>
          <w:lang w:val="es-ES_tradnl"/>
        </w:rPr>
        <w:t>m</w:t>
      </w:r>
      <w:r w:rsidRPr="0056409E">
        <w:rPr>
          <w:lang w:val="es-ES_tradnl"/>
        </w:rPr>
        <w:t>)</w:t>
      </w:r>
      <w:r w:rsidRPr="0056409E">
        <w:rPr>
          <w:vertAlign w:val="superscript"/>
          <w:lang w:val="es-ES_tradnl"/>
        </w:rPr>
        <w:t>2</w:t>
      </w:r>
      <w:r w:rsidRPr="0056409E">
        <w:rPr>
          <w:i/>
          <w:iCs/>
          <w:lang w:val="es-ES_tradnl"/>
        </w:rPr>
        <w:t>P</w:t>
      </w:r>
      <w:r w:rsidRPr="0056409E">
        <w:rPr>
          <w:i/>
          <w:iCs/>
          <w:vertAlign w:val="subscript"/>
          <w:lang w:val="es-ES_tradnl"/>
        </w:rPr>
        <w:t>c</w:t>
      </w:r>
      <w:r w:rsidRPr="0056409E">
        <w:rPr>
          <w:i/>
          <w:iCs/>
          <w:lang w:val="es-ES_tradnl"/>
        </w:rPr>
        <w:t xml:space="preserve"> </w:t>
      </w:r>
      <w:r w:rsidRPr="0056409E">
        <w:rPr>
          <w:iCs/>
          <w:lang w:val="es-ES_tradnl"/>
        </w:rPr>
        <w:t>y la potencia media a</w:t>
      </w:r>
      <w:r w:rsidRPr="0056409E">
        <w:rPr>
          <w:lang w:val="es-ES_tradnl"/>
        </w:rPr>
        <w:t xml:space="preserve"> [1 + 2(</w:t>
      </w:r>
      <w:r w:rsidRPr="0056409E">
        <w:rPr>
          <w:i/>
          <w:iCs/>
          <w:lang w:val="es-ES_tradnl"/>
        </w:rPr>
        <w:t>m</w:t>
      </w:r>
      <w:r w:rsidRPr="0056409E">
        <w:rPr>
          <w:lang w:val="es-ES_tradnl"/>
        </w:rPr>
        <w:t>/2)</w:t>
      </w:r>
      <w:r w:rsidRPr="0056409E">
        <w:rPr>
          <w:vertAlign w:val="superscript"/>
          <w:lang w:val="es-ES_tradnl"/>
        </w:rPr>
        <w:t>2</w:t>
      </w:r>
      <w:r w:rsidRPr="0056409E">
        <w:rPr>
          <w:lang w:val="es-ES_tradnl"/>
        </w:rPr>
        <w:t>]</w:t>
      </w:r>
      <w:r w:rsidRPr="0056409E">
        <w:rPr>
          <w:i/>
          <w:iCs/>
          <w:lang w:val="es-ES_tradnl"/>
        </w:rPr>
        <w:t>P</w:t>
      </w:r>
      <w:r w:rsidRPr="0056409E">
        <w:rPr>
          <w:i/>
          <w:iCs/>
          <w:vertAlign w:val="subscript"/>
          <w:lang w:val="es-ES_tradnl"/>
        </w:rPr>
        <w:t>c</w:t>
      </w:r>
      <w:r w:rsidRPr="0056409E">
        <w:rPr>
          <w:lang w:val="es-ES_tradnl"/>
        </w:rPr>
        <w:t>.</w:t>
      </w:r>
    </w:p>
    <w:p w14:paraId="74B28FBF" w14:textId="0EB0E0A5" w:rsidR="0086339D" w:rsidRPr="0056409E" w:rsidRDefault="0086339D" w:rsidP="0086339D">
      <w:pPr>
        <w:rPr>
          <w:lang w:val="es-ES_tradnl"/>
        </w:rPr>
      </w:pPr>
      <w:r w:rsidRPr="0056409E">
        <w:rPr>
          <w:iCs/>
          <w:lang w:val="es-ES_tradnl"/>
        </w:rPr>
        <w:t xml:space="preserve">Nota: los valores anteriores hacen referencia a potencias, por lo que, cuando se trate de intensidades de campo, debe utilizarse la raíz cuadrada de los factores de conversión indicados en el Cuadro 4. Así, </w:t>
      </w:r>
      <w:r w:rsidRPr="0056409E">
        <w:rPr>
          <w:lang w:val="es-ES_tradnl"/>
        </w:rPr>
        <w:t xml:space="preserve">en el ejemplo anterior de radiodifusión AM, el valor eficaz de la intensidad de campo de la portadora debe multiplicarse por </w:t>
      </w:r>
      <m:oMath>
        <m:rad>
          <m:radPr>
            <m:degHide m:val="1"/>
            <m:ctrlPr>
              <w:rPr>
                <w:rFonts w:ascii="Cambria Math" w:hAnsi="Cambria Math"/>
                <w:i/>
              </w:rPr>
            </m:ctrlPr>
          </m:radPr>
          <m:deg/>
          <m:e>
            <m:r>
              <w:rPr>
                <w:rFonts w:ascii="Cambria Math" w:hAnsi="Cambria Math"/>
                <w:lang w:val="es-ES"/>
              </w:rPr>
              <m:t>1.5</m:t>
            </m:r>
            <m:r>
              <w:rPr>
                <w:rFonts w:ascii="Cambria Math" w:hAnsi="Cambria Math"/>
                <w:lang w:val="es-ES"/>
              </w:rPr>
              <m:t xml:space="preserve"> </m:t>
            </m:r>
          </m:e>
        </m:rad>
      </m:oMath>
      <w:r w:rsidRPr="0056409E">
        <w:rPr>
          <w:lang w:val="es-ES_tradnl"/>
        </w:rPr>
        <w:t xml:space="preserve">para obtener el valor eficaz de la intensidad de campo que incluye las componentes de modulación. </w:t>
      </w:r>
      <w:r w:rsidRPr="0056409E">
        <w:rPr>
          <w:iCs/>
          <w:lang w:val="es-ES_tradnl"/>
        </w:rPr>
        <w:t xml:space="preserve">A la inversa, el nivel </w:t>
      </w:r>
      <w:r w:rsidRPr="0056409E">
        <w:rPr>
          <w:lang w:val="es-ES_tradnl"/>
        </w:rPr>
        <w:t xml:space="preserve">obtenido </w:t>
      </w:r>
      <w:r w:rsidRPr="0056409E">
        <w:rPr>
          <w:iCs/>
          <w:lang w:val="es-ES_tradnl"/>
        </w:rPr>
        <w:t xml:space="preserve">(incluidas las componentes de modulación) debe dividirse por </w:t>
      </w:r>
      <m:oMath>
        <m:rad>
          <m:radPr>
            <m:degHide m:val="1"/>
            <m:ctrlPr>
              <w:rPr>
                <w:rFonts w:ascii="Cambria Math" w:hAnsi="Cambria Math"/>
                <w:i/>
              </w:rPr>
            </m:ctrlPr>
          </m:radPr>
          <m:deg/>
          <m:e>
            <m:r>
              <w:rPr>
                <w:rFonts w:ascii="Cambria Math" w:hAnsi="Cambria Math"/>
              </w:rPr>
              <m:t>1.5</m:t>
            </m:r>
          </m:e>
        </m:rad>
      </m:oMath>
      <w:r w:rsidRPr="0056409E">
        <w:rPr>
          <w:iCs/>
          <w:lang w:val="es-ES_tradnl"/>
        </w:rPr>
        <w:t xml:space="preserve"> para </w:t>
      </w:r>
      <w:r w:rsidRPr="0056409E">
        <w:rPr>
          <w:lang w:val="es-ES_tradnl"/>
        </w:rPr>
        <w:t>determinar el nivel obtenido equivalente sólo para la portadora.</w:t>
      </w:r>
    </w:p>
    <w:p w14:paraId="01419AFC" w14:textId="77777777" w:rsidR="0086339D" w:rsidRPr="0056409E" w:rsidRDefault="0086339D" w:rsidP="0086339D">
      <w:pPr>
        <w:rPr>
          <w:lang w:val="es-ES_tradnl"/>
        </w:rPr>
      </w:pPr>
      <w:r w:rsidRPr="0056409E">
        <w:rPr>
          <w:iCs/>
          <w:lang w:val="es-ES_tradnl"/>
        </w:rPr>
        <w:t xml:space="preserve">El valor eficaz de la intensidad de campo en el campo lejano puede calcularse a partir de la potencia conocida, utilizando la ecuación (7); el tipo adecuado de potencia que debe utilizarse </w:t>
      </w:r>
      <w:r w:rsidRPr="0056409E">
        <w:rPr>
          <w:lang w:val="es-ES_tradnl"/>
        </w:rPr>
        <w:t xml:space="preserve">(es decir, </w:t>
      </w:r>
      <w:r w:rsidRPr="0056409E">
        <w:rPr>
          <w:i/>
          <w:lang w:val="es-ES_tradnl"/>
        </w:rPr>
        <w:t>P</w:t>
      </w:r>
      <w:r w:rsidRPr="0056409E">
        <w:rPr>
          <w:i/>
          <w:iCs/>
          <w:vertAlign w:val="subscript"/>
          <w:lang w:val="es-ES_tradnl"/>
        </w:rPr>
        <w:t>m</w:t>
      </w:r>
      <w:r w:rsidRPr="0056409E">
        <w:rPr>
          <w:lang w:val="es-ES_tradnl"/>
        </w:rPr>
        <w:t xml:space="preserve">, o </w:t>
      </w:r>
      <w:r w:rsidRPr="0056409E">
        <w:rPr>
          <w:i/>
          <w:lang w:val="es-ES_tradnl"/>
        </w:rPr>
        <w:t>P</w:t>
      </w:r>
      <w:r w:rsidRPr="0056409E">
        <w:rPr>
          <w:i/>
          <w:iCs/>
          <w:vertAlign w:val="subscript"/>
          <w:lang w:val="es-ES_tradnl"/>
        </w:rPr>
        <w:t>p</w:t>
      </w:r>
      <w:r w:rsidRPr="0056409E">
        <w:rPr>
          <w:lang w:val="es-ES_tradnl"/>
        </w:rPr>
        <w:t xml:space="preserve">) </w:t>
      </w:r>
      <w:r w:rsidRPr="0056409E">
        <w:rPr>
          <w:iCs/>
          <w:lang w:val="es-ES_tradnl"/>
        </w:rPr>
        <w:t>se indica en el Cuadro 5.</w:t>
      </w:r>
    </w:p>
    <w:p w14:paraId="4CE36E1E" w14:textId="77777777" w:rsidR="0086339D" w:rsidRPr="0056409E" w:rsidRDefault="0086339D" w:rsidP="0086339D">
      <w:pPr>
        <w:pStyle w:val="TableNo"/>
        <w:rPr>
          <w:lang w:val="es-ES_tradnl"/>
        </w:rPr>
      </w:pPr>
      <w:r w:rsidRPr="0056409E">
        <w:rPr>
          <w:lang w:val="es-ES_tradnl"/>
        </w:rPr>
        <w:t>CUADRO  4</w:t>
      </w:r>
    </w:p>
    <w:p w14:paraId="4C04540F" w14:textId="77777777" w:rsidR="0086339D" w:rsidRPr="0056409E" w:rsidRDefault="0086339D" w:rsidP="0086339D">
      <w:pPr>
        <w:pStyle w:val="Tabletitle"/>
        <w:rPr>
          <w:lang w:val="es-ES_tradnl"/>
        </w:rPr>
      </w:pPr>
      <w:r w:rsidRPr="0056409E">
        <w:rPr>
          <w:lang w:val="es-ES_tradnl"/>
        </w:rPr>
        <w:t>Relación entre las potencias de portadora, media, de cresta y máxima instantánea</w:t>
      </w:r>
      <w:r w:rsidRPr="0056409E">
        <w:rPr>
          <w:lang w:val="es-ES_tradnl"/>
        </w:rPr>
        <w:br/>
        <w:t>para distintas clases de emisión (valores relativos al caso más desfavorable)</w:t>
      </w:r>
    </w:p>
    <w:tbl>
      <w:tblPr>
        <w:tblW w:w="9639" w:type="dxa"/>
        <w:tblInd w:w="-3" w:type="dxa"/>
        <w:tblCellMar>
          <w:left w:w="60" w:type="dxa"/>
          <w:right w:w="60" w:type="dxa"/>
        </w:tblCellMar>
        <w:tblLook w:val="0000" w:firstRow="0" w:lastRow="0" w:firstColumn="0" w:lastColumn="0" w:noHBand="0" w:noVBand="0"/>
      </w:tblPr>
      <w:tblGrid>
        <w:gridCol w:w="2127"/>
        <w:gridCol w:w="980"/>
        <w:gridCol w:w="818"/>
        <w:gridCol w:w="817"/>
        <w:gridCol w:w="815"/>
        <w:gridCol w:w="817"/>
        <w:gridCol w:w="821"/>
        <w:gridCol w:w="817"/>
        <w:gridCol w:w="817"/>
        <w:gridCol w:w="810"/>
      </w:tblGrid>
      <w:tr w:rsidR="0086339D" w:rsidRPr="0056409E" w14:paraId="43CCF4F6" w14:textId="77777777" w:rsidTr="00F25AD4">
        <w:tc>
          <w:tcPr>
            <w:tcW w:w="1103" w:type="pct"/>
            <w:tcBorders>
              <w:top w:val="single" w:sz="2" w:space="0" w:color="auto"/>
              <w:left w:val="single" w:sz="2" w:space="0" w:color="auto"/>
              <w:bottom w:val="single" w:sz="2" w:space="0" w:color="auto"/>
              <w:right w:val="single" w:sz="2" w:space="0" w:color="auto"/>
            </w:tcBorders>
            <w:vAlign w:val="center"/>
          </w:tcPr>
          <w:p w14:paraId="5D199C9D" w14:textId="77777777" w:rsidR="0086339D" w:rsidRPr="0056409E" w:rsidRDefault="0086339D" w:rsidP="00892296">
            <w:pPr>
              <w:pStyle w:val="Tablehead"/>
              <w:rPr>
                <w:b w:val="0"/>
                <w:lang w:val="es-ES_tradnl"/>
              </w:rPr>
            </w:pPr>
            <w:r w:rsidRPr="0056409E">
              <w:rPr>
                <w:lang w:val="es-ES_tradnl"/>
              </w:rPr>
              <w:t>Clase de emisión</w:t>
            </w:r>
            <w:r w:rsidRPr="0056409E">
              <w:rPr>
                <w:lang w:val="es-ES_tradnl"/>
              </w:rPr>
              <w:br/>
              <w:t>(características básicas)</w:t>
            </w:r>
            <w:r w:rsidRPr="0056409E">
              <w:rPr>
                <w:b w:val="0"/>
                <w:bCs/>
                <w:vertAlign w:val="superscript"/>
                <w:lang w:val="es-ES_tradnl"/>
              </w:rPr>
              <w:t>(1), (2)</w:t>
            </w:r>
          </w:p>
        </w:tc>
        <w:tc>
          <w:tcPr>
            <w:tcW w:w="3897" w:type="pct"/>
            <w:gridSpan w:val="9"/>
            <w:tcBorders>
              <w:top w:val="single" w:sz="2" w:space="0" w:color="auto"/>
              <w:left w:val="single" w:sz="2" w:space="0" w:color="auto"/>
              <w:bottom w:val="single" w:sz="2" w:space="0" w:color="auto"/>
              <w:right w:val="single" w:sz="2" w:space="0" w:color="auto"/>
            </w:tcBorders>
            <w:vAlign w:val="center"/>
          </w:tcPr>
          <w:p w14:paraId="3A9A12B8" w14:textId="2A9AB9A6" w:rsidR="0086339D" w:rsidRPr="0056409E" w:rsidRDefault="0086339D" w:rsidP="00892296">
            <w:pPr>
              <w:pStyle w:val="Tablehead"/>
              <w:rPr>
                <w:lang w:val="es-ES_tradnl"/>
              </w:rPr>
            </w:pPr>
            <w:r w:rsidRPr="0056409E">
              <w:rPr>
                <w:lang w:val="es-ES_tradnl"/>
              </w:rPr>
              <w:t>Tipo de potencia conocida</w:t>
            </w:r>
          </w:p>
        </w:tc>
      </w:tr>
      <w:tr w:rsidR="0086339D" w:rsidRPr="0056409E" w14:paraId="4009B60A" w14:textId="77777777" w:rsidTr="00F25AD4">
        <w:trPr>
          <w:cantSplit/>
        </w:trPr>
        <w:tc>
          <w:tcPr>
            <w:tcW w:w="1103" w:type="pct"/>
            <w:vMerge w:val="restart"/>
            <w:tcBorders>
              <w:top w:val="single" w:sz="2" w:space="0" w:color="auto"/>
              <w:left w:val="single" w:sz="2" w:space="0" w:color="auto"/>
              <w:right w:val="single" w:sz="2" w:space="0" w:color="auto"/>
            </w:tcBorders>
          </w:tcPr>
          <w:p w14:paraId="28DE4C39" w14:textId="77777777" w:rsidR="0086339D" w:rsidRPr="0056409E" w:rsidRDefault="0086339D" w:rsidP="00892296">
            <w:pPr>
              <w:pStyle w:val="Tablehead"/>
              <w:rPr>
                <w:b w:val="0"/>
                <w:sz w:val="16"/>
                <w:lang w:val="es-ES_tradnl"/>
              </w:rPr>
            </w:pPr>
          </w:p>
        </w:tc>
        <w:tc>
          <w:tcPr>
            <w:tcW w:w="1356" w:type="pct"/>
            <w:gridSpan w:val="3"/>
            <w:tcBorders>
              <w:top w:val="single" w:sz="2" w:space="0" w:color="auto"/>
              <w:left w:val="single" w:sz="2" w:space="0" w:color="auto"/>
              <w:bottom w:val="single" w:sz="2" w:space="0" w:color="auto"/>
            </w:tcBorders>
            <w:vAlign w:val="center"/>
          </w:tcPr>
          <w:p w14:paraId="731EEBCA" w14:textId="77777777" w:rsidR="0086339D" w:rsidRPr="0056409E" w:rsidRDefault="0086339D" w:rsidP="00892296">
            <w:pPr>
              <w:pStyle w:val="Tablehead"/>
              <w:rPr>
                <w:i/>
                <w:position w:val="-6"/>
                <w:lang w:val="es-ES_tradnl"/>
              </w:rPr>
            </w:pPr>
            <w:r w:rsidRPr="0056409E">
              <w:rPr>
                <w:lang w:val="es-ES_tradnl"/>
              </w:rPr>
              <w:t xml:space="preserve">Potencia de portadora, </w:t>
            </w:r>
            <w:r w:rsidRPr="0056409E">
              <w:rPr>
                <w:i/>
                <w:iCs/>
                <w:lang w:val="es-ES_tradnl"/>
              </w:rPr>
              <w:t>P</w:t>
            </w:r>
            <w:r w:rsidRPr="0056409E">
              <w:rPr>
                <w:i/>
                <w:iCs/>
                <w:vertAlign w:val="subscript"/>
                <w:lang w:val="es-ES_tradnl"/>
              </w:rPr>
              <w:t>c</w:t>
            </w:r>
          </w:p>
        </w:tc>
        <w:tc>
          <w:tcPr>
            <w:tcW w:w="1272" w:type="pct"/>
            <w:gridSpan w:val="3"/>
            <w:tcBorders>
              <w:top w:val="single" w:sz="2" w:space="0" w:color="auto"/>
              <w:left w:val="single" w:sz="2" w:space="0" w:color="auto"/>
              <w:bottom w:val="single" w:sz="2" w:space="0" w:color="auto"/>
            </w:tcBorders>
            <w:vAlign w:val="center"/>
          </w:tcPr>
          <w:p w14:paraId="0448905C" w14:textId="77777777" w:rsidR="0086339D" w:rsidRPr="0056409E" w:rsidRDefault="0086339D" w:rsidP="00892296">
            <w:pPr>
              <w:pStyle w:val="Tablehead"/>
              <w:rPr>
                <w:i/>
                <w:position w:val="-6"/>
                <w:lang w:val="es-ES_tradnl"/>
              </w:rPr>
            </w:pPr>
            <w:r w:rsidRPr="0056409E">
              <w:rPr>
                <w:lang w:val="es-ES_tradnl"/>
              </w:rPr>
              <w:t xml:space="preserve">Potencia media, </w:t>
            </w:r>
            <w:r w:rsidRPr="0056409E">
              <w:rPr>
                <w:i/>
                <w:iCs/>
                <w:lang w:val="es-ES_tradnl"/>
              </w:rPr>
              <w:t>P</w:t>
            </w:r>
            <w:r w:rsidRPr="0056409E">
              <w:rPr>
                <w:i/>
                <w:iCs/>
                <w:vertAlign w:val="subscript"/>
                <w:lang w:val="es-ES_tradnl"/>
              </w:rPr>
              <w:t>m</w:t>
            </w:r>
          </w:p>
        </w:tc>
        <w:tc>
          <w:tcPr>
            <w:tcW w:w="1268" w:type="pct"/>
            <w:gridSpan w:val="3"/>
            <w:tcBorders>
              <w:top w:val="single" w:sz="2" w:space="0" w:color="auto"/>
              <w:left w:val="single" w:sz="2" w:space="0" w:color="auto"/>
              <w:bottom w:val="single" w:sz="2" w:space="0" w:color="auto"/>
              <w:right w:val="single" w:sz="2" w:space="0" w:color="auto"/>
            </w:tcBorders>
            <w:vAlign w:val="center"/>
          </w:tcPr>
          <w:p w14:paraId="6ED6C328" w14:textId="77777777" w:rsidR="0086339D" w:rsidRPr="0056409E" w:rsidRDefault="0086339D" w:rsidP="00892296">
            <w:pPr>
              <w:pStyle w:val="Tablehead"/>
              <w:rPr>
                <w:i/>
                <w:position w:val="-6"/>
                <w:lang w:val="es-ES_tradnl"/>
              </w:rPr>
            </w:pPr>
            <w:r w:rsidRPr="0056409E">
              <w:rPr>
                <w:lang w:val="es-ES_tradnl"/>
              </w:rPr>
              <w:t xml:space="preserve">Potencia de cresta, </w:t>
            </w:r>
            <w:r w:rsidRPr="0056409E">
              <w:rPr>
                <w:i/>
                <w:lang w:val="es-ES_tradnl"/>
              </w:rPr>
              <w:t>P</w:t>
            </w:r>
            <w:r w:rsidRPr="0056409E">
              <w:rPr>
                <w:i/>
                <w:iCs/>
                <w:vertAlign w:val="subscript"/>
                <w:lang w:val="es-ES_tradnl"/>
              </w:rPr>
              <w:t>p</w:t>
            </w:r>
          </w:p>
        </w:tc>
      </w:tr>
      <w:tr w:rsidR="0086339D" w:rsidRPr="0056409E" w14:paraId="403C56A1" w14:textId="77777777" w:rsidTr="00F25AD4">
        <w:trPr>
          <w:cantSplit/>
        </w:trPr>
        <w:tc>
          <w:tcPr>
            <w:tcW w:w="1103" w:type="pct"/>
            <w:vMerge/>
            <w:tcBorders>
              <w:left w:val="single" w:sz="2" w:space="0" w:color="auto"/>
              <w:right w:val="single" w:sz="2" w:space="0" w:color="auto"/>
            </w:tcBorders>
          </w:tcPr>
          <w:p w14:paraId="4F9975AC" w14:textId="77777777" w:rsidR="0086339D" w:rsidRPr="0056409E" w:rsidRDefault="0086339D" w:rsidP="00892296">
            <w:pPr>
              <w:pStyle w:val="Tablehead"/>
              <w:rPr>
                <w:b w:val="0"/>
                <w:i/>
                <w:position w:val="-6"/>
                <w:sz w:val="16"/>
                <w:lang w:val="es-ES_tradnl"/>
              </w:rPr>
            </w:pPr>
          </w:p>
        </w:tc>
        <w:tc>
          <w:tcPr>
            <w:tcW w:w="1356" w:type="pct"/>
            <w:gridSpan w:val="3"/>
            <w:tcBorders>
              <w:top w:val="single" w:sz="2" w:space="0" w:color="auto"/>
              <w:left w:val="single" w:sz="2" w:space="0" w:color="auto"/>
              <w:bottom w:val="single" w:sz="4" w:space="0" w:color="auto"/>
            </w:tcBorders>
            <w:vAlign w:val="center"/>
          </w:tcPr>
          <w:p w14:paraId="4D4431BB" w14:textId="77777777" w:rsidR="0086339D" w:rsidRPr="0056409E" w:rsidRDefault="0086339D" w:rsidP="00892296">
            <w:pPr>
              <w:pStyle w:val="Tablehead"/>
              <w:rPr>
                <w:lang w:val="es-ES_tradnl"/>
              </w:rPr>
            </w:pPr>
            <w:r w:rsidRPr="0056409E">
              <w:rPr>
                <w:lang w:val="es-ES_tradnl"/>
              </w:rPr>
              <w:t>Factor para</w:t>
            </w:r>
            <w:r w:rsidRPr="0056409E">
              <w:rPr>
                <w:lang w:val="es-ES_tradnl"/>
              </w:rPr>
              <w:br/>
              <w:t>determinar la:</w:t>
            </w:r>
          </w:p>
        </w:tc>
        <w:tc>
          <w:tcPr>
            <w:tcW w:w="1272" w:type="pct"/>
            <w:gridSpan w:val="3"/>
            <w:tcBorders>
              <w:top w:val="single" w:sz="2" w:space="0" w:color="auto"/>
              <w:left w:val="single" w:sz="2" w:space="0" w:color="auto"/>
              <w:bottom w:val="single" w:sz="4" w:space="0" w:color="auto"/>
            </w:tcBorders>
            <w:vAlign w:val="center"/>
          </w:tcPr>
          <w:p w14:paraId="4C34C280" w14:textId="77777777" w:rsidR="0086339D" w:rsidRPr="0056409E" w:rsidRDefault="0086339D" w:rsidP="00892296">
            <w:pPr>
              <w:pStyle w:val="Tablehead"/>
              <w:rPr>
                <w:lang w:val="es-ES_tradnl"/>
              </w:rPr>
            </w:pPr>
            <w:r w:rsidRPr="0056409E">
              <w:rPr>
                <w:lang w:val="es-ES_tradnl"/>
              </w:rPr>
              <w:t>Factor para</w:t>
            </w:r>
            <w:r w:rsidRPr="0056409E">
              <w:rPr>
                <w:lang w:val="es-ES_tradnl"/>
              </w:rPr>
              <w:br/>
              <w:t>determinar la:</w:t>
            </w:r>
          </w:p>
        </w:tc>
        <w:tc>
          <w:tcPr>
            <w:tcW w:w="1268" w:type="pct"/>
            <w:gridSpan w:val="3"/>
            <w:tcBorders>
              <w:top w:val="single" w:sz="2" w:space="0" w:color="auto"/>
              <w:left w:val="single" w:sz="2" w:space="0" w:color="auto"/>
              <w:bottom w:val="single" w:sz="4" w:space="0" w:color="auto"/>
              <w:right w:val="single" w:sz="2" w:space="0" w:color="auto"/>
            </w:tcBorders>
            <w:vAlign w:val="center"/>
          </w:tcPr>
          <w:p w14:paraId="1F169419" w14:textId="77777777" w:rsidR="0086339D" w:rsidRPr="0056409E" w:rsidRDefault="0086339D" w:rsidP="00892296">
            <w:pPr>
              <w:pStyle w:val="Tablehead"/>
              <w:rPr>
                <w:lang w:val="es-ES_tradnl"/>
              </w:rPr>
            </w:pPr>
            <w:r w:rsidRPr="0056409E">
              <w:rPr>
                <w:lang w:val="es-ES_tradnl"/>
              </w:rPr>
              <w:t>Factor para</w:t>
            </w:r>
            <w:r w:rsidRPr="0056409E">
              <w:rPr>
                <w:lang w:val="es-ES_tradnl"/>
              </w:rPr>
              <w:br/>
              <w:t>determinar la:</w:t>
            </w:r>
          </w:p>
        </w:tc>
      </w:tr>
      <w:tr w:rsidR="0086339D" w:rsidRPr="0056409E" w14:paraId="329C7E62" w14:textId="77777777" w:rsidTr="00F25AD4">
        <w:trPr>
          <w:cantSplit/>
        </w:trPr>
        <w:tc>
          <w:tcPr>
            <w:tcW w:w="1103" w:type="pct"/>
            <w:vMerge/>
            <w:tcBorders>
              <w:left w:val="single" w:sz="2" w:space="0" w:color="auto"/>
              <w:bottom w:val="single" w:sz="2" w:space="0" w:color="auto"/>
              <w:right w:val="single" w:sz="2" w:space="0" w:color="auto"/>
            </w:tcBorders>
          </w:tcPr>
          <w:p w14:paraId="65D42645" w14:textId="77777777" w:rsidR="0086339D" w:rsidRPr="0056409E" w:rsidRDefault="0086339D" w:rsidP="00892296">
            <w:pPr>
              <w:pStyle w:val="Tablehead"/>
              <w:rPr>
                <w:lang w:val="es-ES_tradnl"/>
              </w:rPr>
            </w:pPr>
          </w:p>
        </w:tc>
        <w:tc>
          <w:tcPr>
            <w:tcW w:w="508" w:type="pct"/>
            <w:tcBorders>
              <w:top w:val="single" w:sz="4" w:space="0" w:color="auto"/>
              <w:left w:val="single" w:sz="2" w:space="0" w:color="auto"/>
              <w:bottom w:val="single" w:sz="2" w:space="0" w:color="auto"/>
              <w:right w:val="single" w:sz="2" w:space="0" w:color="auto"/>
            </w:tcBorders>
          </w:tcPr>
          <w:p w14:paraId="16CCFF5C" w14:textId="77777777" w:rsidR="0086339D" w:rsidRPr="0056409E" w:rsidRDefault="0086339D" w:rsidP="00892296">
            <w:pPr>
              <w:pStyle w:val="Tablehead"/>
              <w:rPr>
                <w:i/>
                <w:position w:val="-6"/>
                <w:lang w:val="es-ES_tradnl"/>
              </w:rPr>
            </w:pPr>
            <w:r w:rsidRPr="0056409E">
              <w:rPr>
                <w:i/>
                <w:lang w:val="es-ES_tradnl"/>
              </w:rPr>
              <w:t>P</w:t>
            </w:r>
            <w:r w:rsidRPr="0056409E">
              <w:rPr>
                <w:i/>
                <w:iCs/>
                <w:vertAlign w:val="subscript"/>
                <w:lang w:val="es-ES_tradnl"/>
              </w:rPr>
              <w:t>c</w:t>
            </w:r>
          </w:p>
        </w:tc>
        <w:tc>
          <w:tcPr>
            <w:tcW w:w="424" w:type="pct"/>
            <w:tcBorders>
              <w:top w:val="single" w:sz="4" w:space="0" w:color="auto"/>
              <w:left w:val="single" w:sz="2" w:space="0" w:color="auto"/>
              <w:bottom w:val="single" w:sz="2" w:space="0" w:color="auto"/>
              <w:right w:val="single" w:sz="2" w:space="0" w:color="auto"/>
            </w:tcBorders>
          </w:tcPr>
          <w:p w14:paraId="516D1B2D" w14:textId="77777777" w:rsidR="0086339D" w:rsidRPr="0056409E" w:rsidRDefault="0086339D" w:rsidP="00892296">
            <w:pPr>
              <w:pStyle w:val="Tablehead"/>
              <w:rPr>
                <w:i/>
                <w:position w:val="-6"/>
                <w:lang w:val="es-ES_tradnl"/>
              </w:rPr>
            </w:pPr>
            <w:r w:rsidRPr="0056409E">
              <w:rPr>
                <w:i/>
                <w:lang w:val="es-ES_tradnl"/>
              </w:rPr>
              <w:t>P</w:t>
            </w:r>
            <w:r w:rsidRPr="0056409E">
              <w:rPr>
                <w:i/>
                <w:iCs/>
                <w:vertAlign w:val="subscript"/>
                <w:lang w:val="es-ES_tradnl"/>
              </w:rPr>
              <w:t>m</w:t>
            </w:r>
          </w:p>
        </w:tc>
        <w:tc>
          <w:tcPr>
            <w:tcW w:w="424" w:type="pct"/>
            <w:tcBorders>
              <w:top w:val="single" w:sz="4" w:space="0" w:color="auto"/>
              <w:left w:val="single" w:sz="2" w:space="0" w:color="auto"/>
              <w:bottom w:val="single" w:sz="2" w:space="0" w:color="auto"/>
              <w:right w:val="single" w:sz="2" w:space="0" w:color="auto"/>
            </w:tcBorders>
          </w:tcPr>
          <w:p w14:paraId="61B8745F" w14:textId="77777777" w:rsidR="0086339D" w:rsidRPr="0056409E" w:rsidRDefault="0086339D" w:rsidP="00892296">
            <w:pPr>
              <w:pStyle w:val="Tablehead"/>
              <w:rPr>
                <w:i/>
                <w:position w:val="-6"/>
                <w:lang w:val="es-ES_tradnl"/>
              </w:rPr>
            </w:pPr>
            <w:r w:rsidRPr="0056409E">
              <w:rPr>
                <w:i/>
                <w:lang w:val="es-ES_tradnl"/>
              </w:rPr>
              <w:t>P</w:t>
            </w:r>
            <w:r w:rsidRPr="0056409E">
              <w:rPr>
                <w:i/>
                <w:iCs/>
                <w:vertAlign w:val="subscript"/>
                <w:lang w:val="es-ES_tradnl"/>
              </w:rPr>
              <w:t>p</w:t>
            </w:r>
          </w:p>
        </w:tc>
        <w:tc>
          <w:tcPr>
            <w:tcW w:w="423" w:type="pct"/>
            <w:tcBorders>
              <w:top w:val="single" w:sz="4" w:space="0" w:color="auto"/>
              <w:left w:val="single" w:sz="2" w:space="0" w:color="auto"/>
              <w:bottom w:val="single" w:sz="2" w:space="0" w:color="auto"/>
              <w:right w:val="single" w:sz="2" w:space="0" w:color="auto"/>
            </w:tcBorders>
          </w:tcPr>
          <w:p w14:paraId="7C555758" w14:textId="77777777" w:rsidR="0086339D" w:rsidRPr="0056409E" w:rsidRDefault="0086339D" w:rsidP="00892296">
            <w:pPr>
              <w:pStyle w:val="Tablehead"/>
              <w:rPr>
                <w:i/>
                <w:position w:val="-6"/>
                <w:lang w:val="es-ES_tradnl"/>
              </w:rPr>
            </w:pPr>
            <w:r w:rsidRPr="0056409E">
              <w:rPr>
                <w:i/>
                <w:lang w:val="es-ES_tradnl"/>
              </w:rPr>
              <w:t>P</w:t>
            </w:r>
            <w:r w:rsidRPr="0056409E">
              <w:rPr>
                <w:i/>
                <w:iCs/>
                <w:vertAlign w:val="subscript"/>
                <w:lang w:val="es-ES_tradnl"/>
              </w:rPr>
              <w:t>c</w:t>
            </w:r>
          </w:p>
        </w:tc>
        <w:tc>
          <w:tcPr>
            <w:tcW w:w="424" w:type="pct"/>
            <w:tcBorders>
              <w:top w:val="single" w:sz="4" w:space="0" w:color="auto"/>
              <w:left w:val="single" w:sz="2" w:space="0" w:color="auto"/>
              <w:bottom w:val="single" w:sz="2" w:space="0" w:color="auto"/>
              <w:right w:val="single" w:sz="2" w:space="0" w:color="auto"/>
            </w:tcBorders>
          </w:tcPr>
          <w:p w14:paraId="7104CE51" w14:textId="77777777" w:rsidR="0086339D" w:rsidRPr="0056409E" w:rsidRDefault="0086339D" w:rsidP="00892296">
            <w:pPr>
              <w:pStyle w:val="Tablehead"/>
              <w:rPr>
                <w:i/>
                <w:position w:val="-6"/>
                <w:lang w:val="es-ES_tradnl"/>
              </w:rPr>
            </w:pPr>
            <w:r w:rsidRPr="0056409E">
              <w:rPr>
                <w:i/>
                <w:lang w:val="es-ES_tradnl"/>
              </w:rPr>
              <w:t>P</w:t>
            </w:r>
            <w:r w:rsidRPr="0056409E">
              <w:rPr>
                <w:i/>
                <w:iCs/>
                <w:vertAlign w:val="subscript"/>
                <w:lang w:val="es-ES_tradnl"/>
              </w:rPr>
              <w:t>m</w:t>
            </w:r>
          </w:p>
        </w:tc>
        <w:tc>
          <w:tcPr>
            <w:tcW w:w="426" w:type="pct"/>
            <w:tcBorders>
              <w:top w:val="single" w:sz="4" w:space="0" w:color="auto"/>
              <w:left w:val="single" w:sz="2" w:space="0" w:color="auto"/>
              <w:bottom w:val="single" w:sz="2" w:space="0" w:color="auto"/>
              <w:right w:val="single" w:sz="2" w:space="0" w:color="auto"/>
            </w:tcBorders>
          </w:tcPr>
          <w:p w14:paraId="606BE34C" w14:textId="77777777" w:rsidR="0086339D" w:rsidRPr="0056409E" w:rsidRDefault="0086339D" w:rsidP="00892296">
            <w:pPr>
              <w:pStyle w:val="Tablehead"/>
              <w:rPr>
                <w:i/>
                <w:position w:val="-6"/>
                <w:lang w:val="es-ES_tradnl"/>
              </w:rPr>
            </w:pPr>
            <w:r w:rsidRPr="0056409E">
              <w:rPr>
                <w:i/>
                <w:lang w:val="es-ES_tradnl"/>
              </w:rPr>
              <w:t>P</w:t>
            </w:r>
            <w:r w:rsidRPr="0056409E">
              <w:rPr>
                <w:i/>
                <w:iCs/>
                <w:vertAlign w:val="subscript"/>
                <w:lang w:val="es-ES_tradnl"/>
              </w:rPr>
              <w:t>p</w:t>
            </w:r>
          </w:p>
        </w:tc>
        <w:tc>
          <w:tcPr>
            <w:tcW w:w="424" w:type="pct"/>
            <w:tcBorders>
              <w:top w:val="single" w:sz="4" w:space="0" w:color="auto"/>
              <w:left w:val="single" w:sz="2" w:space="0" w:color="auto"/>
              <w:bottom w:val="single" w:sz="2" w:space="0" w:color="auto"/>
              <w:right w:val="single" w:sz="2" w:space="0" w:color="auto"/>
            </w:tcBorders>
          </w:tcPr>
          <w:p w14:paraId="25FBCDC7" w14:textId="77777777" w:rsidR="0086339D" w:rsidRPr="0056409E" w:rsidRDefault="0086339D" w:rsidP="00892296">
            <w:pPr>
              <w:pStyle w:val="Tablehead"/>
              <w:rPr>
                <w:i/>
                <w:position w:val="-6"/>
                <w:lang w:val="es-ES_tradnl"/>
              </w:rPr>
            </w:pPr>
            <w:r w:rsidRPr="0056409E">
              <w:rPr>
                <w:i/>
                <w:lang w:val="es-ES_tradnl"/>
              </w:rPr>
              <w:t>P</w:t>
            </w:r>
            <w:r w:rsidRPr="0056409E">
              <w:rPr>
                <w:i/>
                <w:iCs/>
                <w:vertAlign w:val="subscript"/>
                <w:lang w:val="es-ES_tradnl"/>
              </w:rPr>
              <w:t>c</w:t>
            </w:r>
          </w:p>
        </w:tc>
        <w:tc>
          <w:tcPr>
            <w:tcW w:w="424" w:type="pct"/>
            <w:tcBorders>
              <w:top w:val="single" w:sz="4" w:space="0" w:color="auto"/>
              <w:left w:val="single" w:sz="2" w:space="0" w:color="auto"/>
              <w:bottom w:val="single" w:sz="2" w:space="0" w:color="auto"/>
              <w:right w:val="single" w:sz="2" w:space="0" w:color="auto"/>
            </w:tcBorders>
          </w:tcPr>
          <w:p w14:paraId="481205BD" w14:textId="77777777" w:rsidR="0086339D" w:rsidRPr="0056409E" w:rsidRDefault="0086339D" w:rsidP="00892296">
            <w:pPr>
              <w:pStyle w:val="Tablehead"/>
              <w:rPr>
                <w:i/>
                <w:position w:val="-6"/>
                <w:lang w:val="es-ES_tradnl"/>
              </w:rPr>
            </w:pPr>
            <w:r w:rsidRPr="0056409E">
              <w:rPr>
                <w:i/>
                <w:lang w:val="es-ES_tradnl"/>
              </w:rPr>
              <w:t>P</w:t>
            </w:r>
            <w:r w:rsidRPr="0056409E">
              <w:rPr>
                <w:i/>
                <w:iCs/>
                <w:vertAlign w:val="subscript"/>
                <w:lang w:val="es-ES_tradnl"/>
              </w:rPr>
              <w:t>m</w:t>
            </w:r>
          </w:p>
        </w:tc>
        <w:tc>
          <w:tcPr>
            <w:tcW w:w="420" w:type="pct"/>
            <w:tcBorders>
              <w:top w:val="single" w:sz="4" w:space="0" w:color="auto"/>
              <w:left w:val="single" w:sz="2" w:space="0" w:color="auto"/>
              <w:bottom w:val="single" w:sz="2" w:space="0" w:color="auto"/>
              <w:right w:val="single" w:sz="2" w:space="0" w:color="auto"/>
            </w:tcBorders>
          </w:tcPr>
          <w:p w14:paraId="7672F135" w14:textId="77777777" w:rsidR="0086339D" w:rsidRPr="0056409E" w:rsidRDefault="0086339D" w:rsidP="00892296">
            <w:pPr>
              <w:pStyle w:val="Tablehead"/>
              <w:rPr>
                <w:i/>
                <w:position w:val="-6"/>
                <w:lang w:val="es-ES_tradnl"/>
              </w:rPr>
            </w:pPr>
            <w:r w:rsidRPr="0056409E">
              <w:rPr>
                <w:i/>
                <w:lang w:val="es-ES_tradnl"/>
              </w:rPr>
              <w:t>P</w:t>
            </w:r>
            <w:r w:rsidRPr="0056409E">
              <w:rPr>
                <w:i/>
                <w:iCs/>
                <w:vertAlign w:val="subscript"/>
                <w:lang w:val="es-ES_tradnl"/>
              </w:rPr>
              <w:t>p</w:t>
            </w:r>
          </w:p>
        </w:tc>
      </w:tr>
      <w:tr w:rsidR="0086339D" w:rsidRPr="0056409E" w14:paraId="227A79D4" w14:textId="77777777" w:rsidTr="00F25AD4">
        <w:trPr>
          <w:cantSplit/>
        </w:trPr>
        <w:tc>
          <w:tcPr>
            <w:tcW w:w="1103" w:type="pct"/>
            <w:tcBorders>
              <w:left w:val="single" w:sz="2" w:space="0" w:color="auto"/>
              <w:bottom w:val="single" w:sz="2" w:space="0" w:color="auto"/>
              <w:right w:val="single" w:sz="2" w:space="0" w:color="auto"/>
            </w:tcBorders>
          </w:tcPr>
          <w:p w14:paraId="38A94075" w14:textId="77777777" w:rsidR="0086339D" w:rsidRPr="0056409E" w:rsidRDefault="0086339D" w:rsidP="00892296">
            <w:pPr>
              <w:pStyle w:val="Tabletext"/>
              <w:rPr>
                <w:lang w:val="es-ES_tradnl"/>
              </w:rPr>
            </w:pPr>
            <w:r w:rsidRPr="0056409E">
              <w:rPr>
                <w:lang w:val="es-ES_tradnl"/>
              </w:rPr>
              <w:t>A*E</w:t>
            </w:r>
          </w:p>
        </w:tc>
        <w:tc>
          <w:tcPr>
            <w:tcW w:w="508" w:type="pct"/>
            <w:tcBorders>
              <w:top w:val="nil"/>
              <w:left w:val="single" w:sz="2" w:space="0" w:color="auto"/>
              <w:bottom w:val="single" w:sz="2" w:space="0" w:color="auto"/>
              <w:right w:val="single" w:sz="2" w:space="0" w:color="auto"/>
            </w:tcBorders>
          </w:tcPr>
          <w:p w14:paraId="501A8D96" w14:textId="77777777" w:rsidR="0086339D" w:rsidRPr="0056409E" w:rsidRDefault="0086339D" w:rsidP="00892296">
            <w:pPr>
              <w:pStyle w:val="Tabletext"/>
              <w:jc w:val="center"/>
              <w:rPr>
                <w:lang w:val="es-ES_tradnl"/>
              </w:rPr>
            </w:pPr>
            <w:r w:rsidRPr="0056409E">
              <w:rPr>
                <w:lang w:val="es-ES_tradnl"/>
              </w:rPr>
              <w:t>1</w:t>
            </w:r>
          </w:p>
        </w:tc>
        <w:tc>
          <w:tcPr>
            <w:tcW w:w="424" w:type="pct"/>
            <w:tcBorders>
              <w:top w:val="nil"/>
              <w:left w:val="single" w:sz="2" w:space="0" w:color="auto"/>
              <w:bottom w:val="single" w:sz="2" w:space="0" w:color="auto"/>
              <w:right w:val="single" w:sz="2" w:space="0" w:color="auto"/>
            </w:tcBorders>
          </w:tcPr>
          <w:p w14:paraId="25B69F77" w14:textId="77777777" w:rsidR="0086339D" w:rsidRPr="0056409E" w:rsidRDefault="0086339D" w:rsidP="00892296">
            <w:pPr>
              <w:pStyle w:val="Tabletext"/>
              <w:jc w:val="center"/>
              <w:rPr>
                <w:lang w:val="es-ES_tradnl"/>
              </w:rPr>
            </w:pPr>
            <w:r w:rsidRPr="0056409E">
              <w:rPr>
                <w:lang w:val="es-ES_tradnl"/>
              </w:rPr>
              <w:t>1,5</w:t>
            </w:r>
          </w:p>
        </w:tc>
        <w:tc>
          <w:tcPr>
            <w:tcW w:w="424" w:type="pct"/>
            <w:tcBorders>
              <w:top w:val="nil"/>
              <w:left w:val="single" w:sz="2" w:space="0" w:color="auto"/>
              <w:bottom w:val="single" w:sz="2" w:space="0" w:color="auto"/>
              <w:right w:val="single" w:sz="2" w:space="0" w:color="auto"/>
            </w:tcBorders>
          </w:tcPr>
          <w:p w14:paraId="6A106840" w14:textId="77777777" w:rsidR="0086339D" w:rsidRPr="0056409E" w:rsidRDefault="0086339D" w:rsidP="00892296">
            <w:pPr>
              <w:pStyle w:val="Tabletext"/>
              <w:jc w:val="center"/>
              <w:rPr>
                <w:lang w:val="es-ES_tradnl"/>
              </w:rPr>
            </w:pPr>
            <w:r w:rsidRPr="0056409E">
              <w:rPr>
                <w:lang w:val="es-ES_tradnl"/>
              </w:rPr>
              <w:t>4</w:t>
            </w:r>
          </w:p>
        </w:tc>
        <w:tc>
          <w:tcPr>
            <w:tcW w:w="423" w:type="pct"/>
            <w:tcBorders>
              <w:top w:val="nil"/>
              <w:left w:val="single" w:sz="2" w:space="0" w:color="auto"/>
              <w:bottom w:val="single" w:sz="2" w:space="0" w:color="auto"/>
              <w:right w:val="single" w:sz="2" w:space="0" w:color="auto"/>
            </w:tcBorders>
          </w:tcPr>
          <w:p w14:paraId="127C5F28" w14:textId="77777777" w:rsidR="0086339D" w:rsidRPr="0056409E" w:rsidRDefault="0086339D" w:rsidP="00892296">
            <w:pPr>
              <w:pStyle w:val="Tabletext"/>
              <w:jc w:val="center"/>
              <w:rPr>
                <w:lang w:val="es-ES_tradnl"/>
              </w:rPr>
            </w:pPr>
            <w:r w:rsidRPr="0056409E">
              <w:rPr>
                <w:lang w:val="es-ES_tradnl"/>
              </w:rPr>
              <w:t>0,67</w:t>
            </w:r>
          </w:p>
        </w:tc>
        <w:tc>
          <w:tcPr>
            <w:tcW w:w="424" w:type="pct"/>
            <w:tcBorders>
              <w:top w:val="nil"/>
              <w:left w:val="single" w:sz="2" w:space="0" w:color="auto"/>
              <w:bottom w:val="single" w:sz="2" w:space="0" w:color="auto"/>
              <w:right w:val="single" w:sz="2" w:space="0" w:color="auto"/>
            </w:tcBorders>
          </w:tcPr>
          <w:p w14:paraId="485B3754" w14:textId="77777777" w:rsidR="0086339D" w:rsidRPr="0056409E" w:rsidRDefault="0086339D" w:rsidP="00892296">
            <w:pPr>
              <w:pStyle w:val="Tabletext"/>
              <w:jc w:val="center"/>
              <w:rPr>
                <w:lang w:val="es-ES_tradnl"/>
              </w:rPr>
            </w:pPr>
            <w:r w:rsidRPr="0056409E">
              <w:rPr>
                <w:lang w:val="es-ES_tradnl"/>
              </w:rPr>
              <w:t>1</w:t>
            </w:r>
          </w:p>
        </w:tc>
        <w:tc>
          <w:tcPr>
            <w:tcW w:w="426" w:type="pct"/>
            <w:tcBorders>
              <w:top w:val="nil"/>
              <w:left w:val="single" w:sz="2" w:space="0" w:color="auto"/>
              <w:bottom w:val="single" w:sz="2" w:space="0" w:color="auto"/>
              <w:right w:val="single" w:sz="2" w:space="0" w:color="auto"/>
            </w:tcBorders>
          </w:tcPr>
          <w:p w14:paraId="6E667B63" w14:textId="77777777" w:rsidR="0086339D" w:rsidRPr="0056409E" w:rsidRDefault="0086339D" w:rsidP="00892296">
            <w:pPr>
              <w:pStyle w:val="Tabletext"/>
              <w:jc w:val="center"/>
              <w:rPr>
                <w:lang w:val="es-ES_tradnl"/>
              </w:rPr>
            </w:pPr>
            <w:r w:rsidRPr="0056409E">
              <w:rPr>
                <w:lang w:val="es-ES_tradnl"/>
              </w:rPr>
              <w:t>2,67</w:t>
            </w:r>
          </w:p>
        </w:tc>
        <w:tc>
          <w:tcPr>
            <w:tcW w:w="424" w:type="pct"/>
            <w:tcBorders>
              <w:top w:val="nil"/>
              <w:left w:val="single" w:sz="2" w:space="0" w:color="auto"/>
              <w:bottom w:val="single" w:sz="2" w:space="0" w:color="auto"/>
              <w:right w:val="single" w:sz="2" w:space="0" w:color="auto"/>
            </w:tcBorders>
          </w:tcPr>
          <w:p w14:paraId="6C98780D" w14:textId="77777777" w:rsidR="0086339D" w:rsidRPr="0056409E" w:rsidRDefault="0086339D" w:rsidP="00892296">
            <w:pPr>
              <w:pStyle w:val="Tabletext"/>
              <w:jc w:val="center"/>
              <w:rPr>
                <w:lang w:val="es-ES_tradnl"/>
              </w:rPr>
            </w:pPr>
            <w:r w:rsidRPr="0056409E">
              <w:rPr>
                <w:lang w:val="es-ES_tradnl"/>
              </w:rPr>
              <w:t>0,25</w:t>
            </w:r>
          </w:p>
        </w:tc>
        <w:tc>
          <w:tcPr>
            <w:tcW w:w="424" w:type="pct"/>
            <w:tcBorders>
              <w:top w:val="nil"/>
              <w:left w:val="single" w:sz="2" w:space="0" w:color="auto"/>
              <w:bottom w:val="single" w:sz="2" w:space="0" w:color="auto"/>
              <w:right w:val="single" w:sz="2" w:space="0" w:color="auto"/>
            </w:tcBorders>
          </w:tcPr>
          <w:p w14:paraId="30428AED" w14:textId="77777777" w:rsidR="0086339D" w:rsidRPr="0056409E" w:rsidRDefault="0086339D" w:rsidP="00892296">
            <w:pPr>
              <w:pStyle w:val="Tabletext"/>
              <w:jc w:val="center"/>
              <w:rPr>
                <w:lang w:val="es-ES_tradnl"/>
              </w:rPr>
            </w:pPr>
            <w:r w:rsidRPr="0056409E">
              <w:rPr>
                <w:lang w:val="es-ES_tradnl"/>
              </w:rPr>
              <w:t>0,38</w:t>
            </w:r>
          </w:p>
        </w:tc>
        <w:tc>
          <w:tcPr>
            <w:tcW w:w="420" w:type="pct"/>
            <w:tcBorders>
              <w:top w:val="nil"/>
              <w:left w:val="single" w:sz="2" w:space="0" w:color="auto"/>
              <w:bottom w:val="single" w:sz="2" w:space="0" w:color="auto"/>
              <w:right w:val="single" w:sz="2" w:space="0" w:color="auto"/>
            </w:tcBorders>
          </w:tcPr>
          <w:p w14:paraId="03D877D9" w14:textId="77777777" w:rsidR="0086339D" w:rsidRPr="0056409E" w:rsidRDefault="0086339D" w:rsidP="00892296">
            <w:pPr>
              <w:pStyle w:val="Tabletext"/>
              <w:jc w:val="center"/>
              <w:rPr>
                <w:lang w:val="es-ES_tradnl"/>
              </w:rPr>
            </w:pPr>
            <w:r w:rsidRPr="0056409E">
              <w:rPr>
                <w:lang w:val="es-ES_tradnl"/>
              </w:rPr>
              <w:t>1</w:t>
            </w:r>
          </w:p>
        </w:tc>
      </w:tr>
    </w:tbl>
    <w:p w14:paraId="234FCE7C" w14:textId="1A40955C" w:rsidR="00F25AD4" w:rsidRPr="00F25AD4" w:rsidRDefault="00F25AD4" w:rsidP="00F25AD4">
      <w:pPr>
        <w:pStyle w:val="TableNo"/>
        <w:rPr>
          <w:lang w:val="es-ES_tradnl"/>
        </w:rPr>
      </w:pPr>
      <w:r w:rsidRPr="0056409E">
        <w:rPr>
          <w:lang w:val="es-ES_tradnl"/>
        </w:rPr>
        <w:lastRenderedPageBreak/>
        <w:t>CUADRO  4</w:t>
      </w:r>
      <w:r>
        <w:rPr>
          <w:lang w:val="es-ES_tradnl"/>
        </w:rPr>
        <w:t xml:space="preserve"> (</w:t>
      </w:r>
      <w:r>
        <w:rPr>
          <w:i/>
          <w:iCs/>
          <w:lang w:val="es-ES_tradnl"/>
        </w:rPr>
        <w:t>fin</w:t>
      </w:r>
      <w:r>
        <w:rPr>
          <w:lang w:val="es-ES_tradnl"/>
        </w:rPr>
        <w:t>)</w:t>
      </w:r>
    </w:p>
    <w:tbl>
      <w:tblPr>
        <w:tblW w:w="9639" w:type="dxa"/>
        <w:tblInd w:w="-3" w:type="dxa"/>
        <w:tblCellMar>
          <w:left w:w="60" w:type="dxa"/>
          <w:right w:w="60" w:type="dxa"/>
        </w:tblCellMar>
        <w:tblLook w:val="0000" w:firstRow="0" w:lastRow="0" w:firstColumn="0" w:lastColumn="0" w:noHBand="0" w:noVBand="0"/>
      </w:tblPr>
      <w:tblGrid>
        <w:gridCol w:w="2127"/>
        <w:gridCol w:w="980"/>
        <w:gridCol w:w="818"/>
        <w:gridCol w:w="817"/>
        <w:gridCol w:w="815"/>
        <w:gridCol w:w="817"/>
        <w:gridCol w:w="821"/>
        <w:gridCol w:w="817"/>
        <w:gridCol w:w="817"/>
        <w:gridCol w:w="810"/>
      </w:tblGrid>
      <w:tr w:rsidR="00F25AD4" w:rsidRPr="0056409E" w14:paraId="193BAE7B" w14:textId="77777777" w:rsidTr="00CA548E">
        <w:tc>
          <w:tcPr>
            <w:tcW w:w="1103" w:type="pct"/>
            <w:tcBorders>
              <w:top w:val="single" w:sz="2" w:space="0" w:color="auto"/>
              <w:left w:val="single" w:sz="2" w:space="0" w:color="auto"/>
              <w:bottom w:val="single" w:sz="2" w:space="0" w:color="auto"/>
              <w:right w:val="single" w:sz="2" w:space="0" w:color="auto"/>
            </w:tcBorders>
            <w:vAlign w:val="center"/>
          </w:tcPr>
          <w:p w14:paraId="47B141E3" w14:textId="77777777" w:rsidR="00F25AD4" w:rsidRPr="0056409E" w:rsidRDefault="00F25AD4" w:rsidP="00CA548E">
            <w:pPr>
              <w:pStyle w:val="Tablehead"/>
              <w:rPr>
                <w:b w:val="0"/>
                <w:lang w:val="es-ES_tradnl"/>
              </w:rPr>
            </w:pPr>
            <w:r w:rsidRPr="0056409E">
              <w:rPr>
                <w:lang w:val="es-ES_tradnl"/>
              </w:rPr>
              <w:t>Clase de emisión</w:t>
            </w:r>
            <w:r w:rsidRPr="0056409E">
              <w:rPr>
                <w:lang w:val="es-ES_tradnl"/>
              </w:rPr>
              <w:br/>
              <w:t>(características básicas)</w:t>
            </w:r>
            <w:r w:rsidRPr="0056409E">
              <w:rPr>
                <w:b w:val="0"/>
                <w:bCs/>
                <w:vertAlign w:val="superscript"/>
                <w:lang w:val="es-ES_tradnl"/>
              </w:rPr>
              <w:t>(1), (2)</w:t>
            </w:r>
          </w:p>
        </w:tc>
        <w:tc>
          <w:tcPr>
            <w:tcW w:w="3897" w:type="pct"/>
            <w:gridSpan w:val="9"/>
            <w:tcBorders>
              <w:top w:val="single" w:sz="2" w:space="0" w:color="auto"/>
              <w:left w:val="single" w:sz="2" w:space="0" w:color="auto"/>
              <w:bottom w:val="single" w:sz="2" w:space="0" w:color="auto"/>
              <w:right w:val="single" w:sz="2" w:space="0" w:color="auto"/>
            </w:tcBorders>
            <w:vAlign w:val="center"/>
          </w:tcPr>
          <w:p w14:paraId="76398F4F" w14:textId="77777777" w:rsidR="00F25AD4" w:rsidRPr="0056409E" w:rsidRDefault="00F25AD4" w:rsidP="00CA548E">
            <w:pPr>
              <w:pStyle w:val="Tablehead"/>
              <w:rPr>
                <w:lang w:val="es-ES_tradnl"/>
              </w:rPr>
            </w:pPr>
            <w:r w:rsidRPr="0056409E">
              <w:rPr>
                <w:lang w:val="es-ES_tradnl"/>
              </w:rPr>
              <w:t>Tipo de potencia conocida</w:t>
            </w:r>
          </w:p>
        </w:tc>
      </w:tr>
      <w:tr w:rsidR="0091641C" w:rsidRPr="0056409E" w14:paraId="43F8987D" w14:textId="77777777" w:rsidTr="00CA548E">
        <w:trPr>
          <w:cantSplit/>
        </w:trPr>
        <w:tc>
          <w:tcPr>
            <w:tcW w:w="1103" w:type="pct"/>
            <w:vMerge w:val="restart"/>
            <w:tcBorders>
              <w:top w:val="single" w:sz="2" w:space="0" w:color="auto"/>
              <w:left w:val="single" w:sz="2" w:space="0" w:color="auto"/>
              <w:right w:val="single" w:sz="2" w:space="0" w:color="auto"/>
            </w:tcBorders>
          </w:tcPr>
          <w:p w14:paraId="40A06D78" w14:textId="77777777" w:rsidR="0091641C" w:rsidRPr="0056409E" w:rsidRDefault="0091641C" w:rsidP="00CA548E">
            <w:pPr>
              <w:pStyle w:val="Tablehead"/>
              <w:rPr>
                <w:b w:val="0"/>
                <w:sz w:val="16"/>
                <w:lang w:val="es-ES_tradnl"/>
              </w:rPr>
            </w:pPr>
          </w:p>
        </w:tc>
        <w:tc>
          <w:tcPr>
            <w:tcW w:w="1356" w:type="pct"/>
            <w:gridSpan w:val="3"/>
            <w:tcBorders>
              <w:top w:val="single" w:sz="2" w:space="0" w:color="auto"/>
              <w:left w:val="single" w:sz="2" w:space="0" w:color="auto"/>
              <w:bottom w:val="single" w:sz="2" w:space="0" w:color="auto"/>
            </w:tcBorders>
            <w:vAlign w:val="center"/>
          </w:tcPr>
          <w:p w14:paraId="65946165" w14:textId="77777777" w:rsidR="0091641C" w:rsidRPr="0056409E" w:rsidRDefault="0091641C" w:rsidP="00CA548E">
            <w:pPr>
              <w:pStyle w:val="Tablehead"/>
              <w:rPr>
                <w:i/>
                <w:position w:val="-6"/>
                <w:lang w:val="es-ES_tradnl"/>
              </w:rPr>
            </w:pPr>
            <w:r w:rsidRPr="0056409E">
              <w:rPr>
                <w:lang w:val="es-ES_tradnl"/>
              </w:rPr>
              <w:t xml:space="preserve">Potencia de portadora, </w:t>
            </w:r>
            <w:r w:rsidRPr="0056409E">
              <w:rPr>
                <w:i/>
                <w:iCs/>
                <w:lang w:val="es-ES_tradnl"/>
              </w:rPr>
              <w:t>P</w:t>
            </w:r>
            <w:r w:rsidRPr="0056409E">
              <w:rPr>
                <w:i/>
                <w:iCs/>
                <w:vertAlign w:val="subscript"/>
                <w:lang w:val="es-ES_tradnl"/>
              </w:rPr>
              <w:t>c</w:t>
            </w:r>
          </w:p>
        </w:tc>
        <w:tc>
          <w:tcPr>
            <w:tcW w:w="1272" w:type="pct"/>
            <w:gridSpan w:val="3"/>
            <w:tcBorders>
              <w:top w:val="single" w:sz="2" w:space="0" w:color="auto"/>
              <w:left w:val="single" w:sz="2" w:space="0" w:color="auto"/>
              <w:bottom w:val="single" w:sz="2" w:space="0" w:color="auto"/>
            </w:tcBorders>
            <w:vAlign w:val="center"/>
          </w:tcPr>
          <w:p w14:paraId="08694081" w14:textId="77777777" w:rsidR="0091641C" w:rsidRPr="0056409E" w:rsidRDefault="0091641C" w:rsidP="00CA548E">
            <w:pPr>
              <w:pStyle w:val="Tablehead"/>
              <w:rPr>
                <w:i/>
                <w:position w:val="-6"/>
                <w:lang w:val="es-ES_tradnl"/>
              </w:rPr>
            </w:pPr>
            <w:r w:rsidRPr="0056409E">
              <w:rPr>
                <w:lang w:val="es-ES_tradnl"/>
              </w:rPr>
              <w:t xml:space="preserve">Potencia media, </w:t>
            </w:r>
            <w:r w:rsidRPr="0056409E">
              <w:rPr>
                <w:i/>
                <w:iCs/>
                <w:lang w:val="es-ES_tradnl"/>
              </w:rPr>
              <w:t>P</w:t>
            </w:r>
            <w:r w:rsidRPr="0056409E">
              <w:rPr>
                <w:i/>
                <w:iCs/>
                <w:vertAlign w:val="subscript"/>
                <w:lang w:val="es-ES_tradnl"/>
              </w:rPr>
              <w:t>m</w:t>
            </w:r>
          </w:p>
        </w:tc>
        <w:tc>
          <w:tcPr>
            <w:tcW w:w="1268" w:type="pct"/>
            <w:gridSpan w:val="3"/>
            <w:tcBorders>
              <w:top w:val="single" w:sz="2" w:space="0" w:color="auto"/>
              <w:left w:val="single" w:sz="2" w:space="0" w:color="auto"/>
              <w:bottom w:val="single" w:sz="2" w:space="0" w:color="auto"/>
              <w:right w:val="single" w:sz="2" w:space="0" w:color="auto"/>
            </w:tcBorders>
            <w:vAlign w:val="center"/>
          </w:tcPr>
          <w:p w14:paraId="48DC3C0D" w14:textId="77777777" w:rsidR="0091641C" w:rsidRPr="0056409E" w:rsidRDefault="0091641C" w:rsidP="00CA548E">
            <w:pPr>
              <w:pStyle w:val="Tablehead"/>
              <w:rPr>
                <w:i/>
                <w:position w:val="-6"/>
                <w:lang w:val="es-ES_tradnl"/>
              </w:rPr>
            </w:pPr>
            <w:r w:rsidRPr="0056409E">
              <w:rPr>
                <w:lang w:val="es-ES_tradnl"/>
              </w:rPr>
              <w:t xml:space="preserve">Potencia de cresta, </w:t>
            </w:r>
            <w:r w:rsidRPr="0056409E">
              <w:rPr>
                <w:i/>
                <w:lang w:val="es-ES_tradnl"/>
              </w:rPr>
              <w:t>P</w:t>
            </w:r>
            <w:r w:rsidRPr="0056409E">
              <w:rPr>
                <w:i/>
                <w:iCs/>
                <w:vertAlign w:val="subscript"/>
                <w:lang w:val="es-ES_tradnl"/>
              </w:rPr>
              <w:t>p</w:t>
            </w:r>
          </w:p>
        </w:tc>
      </w:tr>
      <w:tr w:rsidR="0091641C" w:rsidRPr="0056409E" w14:paraId="54078F48" w14:textId="77777777" w:rsidTr="00CA548E">
        <w:trPr>
          <w:cantSplit/>
        </w:trPr>
        <w:tc>
          <w:tcPr>
            <w:tcW w:w="1103" w:type="pct"/>
            <w:vMerge/>
            <w:tcBorders>
              <w:left w:val="single" w:sz="2" w:space="0" w:color="auto"/>
              <w:right w:val="single" w:sz="2" w:space="0" w:color="auto"/>
            </w:tcBorders>
          </w:tcPr>
          <w:p w14:paraId="32FEBE1D" w14:textId="77777777" w:rsidR="0091641C" w:rsidRPr="0056409E" w:rsidRDefault="0091641C" w:rsidP="00CA548E">
            <w:pPr>
              <w:pStyle w:val="Tablehead"/>
              <w:rPr>
                <w:b w:val="0"/>
                <w:i/>
                <w:position w:val="-6"/>
                <w:sz w:val="16"/>
                <w:lang w:val="es-ES_tradnl"/>
              </w:rPr>
            </w:pPr>
          </w:p>
        </w:tc>
        <w:tc>
          <w:tcPr>
            <w:tcW w:w="1356" w:type="pct"/>
            <w:gridSpan w:val="3"/>
            <w:tcBorders>
              <w:top w:val="single" w:sz="2" w:space="0" w:color="auto"/>
              <w:left w:val="single" w:sz="2" w:space="0" w:color="auto"/>
              <w:bottom w:val="single" w:sz="4" w:space="0" w:color="auto"/>
            </w:tcBorders>
            <w:vAlign w:val="center"/>
          </w:tcPr>
          <w:p w14:paraId="71D03C0B" w14:textId="77777777" w:rsidR="0091641C" w:rsidRPr="0056409E" w:rsidRDefault="0091641C" w:rsidP="00CA548E">
            <w:pPr>
              <w:pStyle w:val="Tablehead"/>
              <w:rPr>
                <w:lang w:val="es-ES_tradnl"/>
              </w:rPr>
            </w:pPr>
            <w:r w:rsidRPr="0056409E">
              <w:rPr>
                <w:lang w:val="es-ES_tradnl"/>
              </w:rPr>
              <w:t>Factor para</w:t>
            </w:r>
            <w:r w:rsidRPr="0056409E">
              <w:rPr>
                <w:lang w:val="es-ES_tradnl"/>
              </w:rPr>
              <w:br/>
              <w:t>determinar la:</w:t>
            </w:r>
          </w:p>
        </w:tc>
        <w:tc>
          <w:tcPr>
            <w:tcW w:w="1272" w:type="pct"/>
            <w:gridSpan w:val="3"/>
            <w:tcBorders>
              <w:top w:val="single" w:sz="2" w:space="0" w:color="auto"/>
              <w:left w:val="single" w:sz="2" w:space="0" w:color="auto"/>
              <w:bottom w:val="single" w:sz="4" w:space="0" w:color="auto"/>
            </w:tcBorders>
            <w:vAlign w:val="center"/>
          </w:tcPr>
          <w:p w14:paraId="5C9C6635" w14:textId="77777777" w:rsidR="0091641C" w:rsidRPr="0056409E" w:rsidRDefault="0091641C" w:rsidP="00CA548E">
            <w:pPr>
              <w:pStyle w:val="Tablehead"/>
              <w:rPr>
                <w:lang w:val="es-ES_tradnl"/>
              </w:rPr>
            </w:pPr>
            <w:r w:rsidRPr="0056409E">
              <w:rPr>
                <w:lang w:val="es-ES_tradnl"/>
              </w:rPr>
              <w:t>Factor para</w:t>
            </w:r>
            <w:r w:rsidRPr="0056409E">
              <w:rPr>
                <w:lang w:val="es-ES_tradnl"/>
              </w:rPr>
              <w:br/>
              <w:t>determinar la:</w:t>
            </w:r>
          </w:p>
        </w:tc>
        <w:tc>
          <w:tcPr>
            <w:tcW w:w="1268" w:type="pct"/>
            <w:gridSpan w:val="3"/>
            <w:tcBorders>
              <w:top w:val="single" w:sz="2" w:space="0" w:color="auto"/>
              <w:left w:val="single" w:sz="2" w:space="0" w:color="auto"/>
              <w:bottom w:val="single" w:sz="4" w:space="0" w:color="auto"/>
              <w:right w:val="single" w:sz="2" w:space="0" w:color="auto"/>
            </w:tcBorders>
            <w:vAlign w:val="center"/>
          </w:tcPr>
          <w:p w14:paraId="7709F4F7" w14:textId="77777777" w:rsidR="0091641C" w:rsidRPr="0056409E" w:rsidRDefault="0091641C" w:rsidP="00CA548E">
            <w:pPr>
              <w:pStyle w:val="Tablehead"/>
              <w:rPr>
                <w:lang w:val="es-ES_tradnl"/>
              </w:rPr>
            </w:pPr>
            <w:r w:rsidRPr="0056409E">
              <w:rPr>
                <w:lang w:val="es-ES_tradnl"/>
              </w:rPr>
              <w:t>Factor para</w:t>
            </w:r>
            <w:r w:rsidRPr="0056409E">
              <w:rPr>
                <w:lang w:val="es-ES_tradnl"/>
              </w:rPr>
              <w:br/>
              <w:t>determinar la:</w:t>
            </w:r>
          </w:p>
        </w:tc>
      </w:tr>
      <w:tr w:rsidR="0091641C" w:rsidRPr="0056409E" w14:paraId="2F62D687" w14:textId="77777777" w:rsidTr="00CA548E">
        <w:trPr>
          <w:cantSplit/>
        </w:trPr>
        <w:tc>
          <w:tcPr>
            <w:tcW w:w="1103" w:type="pct"/>
            <w:vMerge/>
            <w:tcBorders>
              <w:left w:val="single" w:sz="2" w:space="0" w:color="auto"/>
              <w:bottom w:val="single" w:sz="2" w:space="0" w:color="auto"/>
              <w:right w:val="single" w:sz="2" w:space="0" w:color="auto"/>
            </w:tcBorders>
          </w:tcPr>
          <w:p w14:paraId="41109832" w14:textId="77777777" w:rsidR="0091641C" w:rsidRPr="0056409E" w:rsidRDefault="0091641C" w:rsidP="00CA548E">
            <w:pPr>
              <w:pStyle w:val="Tablehead"/>
              <w:rPr>
                <w:lang w:val="es-ES_tradnl"/>
              </w:rPr>
            </w:pPr>
          </w:p>
        </w:tc>
        <w:tc>
          <w:tcPr>
            <w:tcW w:w="508" w:type="pct"/>
            <w:tcBorders>
              <w:top w:val="single" w:sz="4" w:space="0" w:color="auto"/>
              <w:left w:val="single" w:sz="2" w:space="0" w:color="auto"/>
              <w:bottom w:val="single" w:sz="2" w:space="0" w:color="auto"/>
              <w:right w:val="single" w:sz="2" w:space="0" w:color="auto"/>
            </w:tcBorders>
          </w:tcPr>
          <w:p w14:paraId="34AB843E" w14:textId="77777777" w:rsidR="0091641C" w:rsidRPr="0056409E" w:rsidRDefault="0091641C" w:rsidP="00CA548E">
            <w:pPr>
              <w:pStyle w:val="Tablehead"/>
              <w:rPr>
                <w:i/>
                <w:position w:val="-6"/>
                <w:lang w:val="es-ES_tradnl"/>
              </w:rPr>
            </w:pPr>
            <w:r w:rsidRPr="0056409E">
              <w:rPr>
                <w:i/>
                <w:lang w:val="es-ES_tradnl"/>
              </w:rPr>
              <w:t>P</w:t>
            </w:r>
            <w:r w:rsidRPr="0056409E">
              <w:rPr>
                <w:i/>
                <w:iCs/>
                <w:vertAlign w:val="subscript"/>
                <w:lang w:val="es-ES_tradnl"/>
              </w:rPr>
              <w:t>c</w:t>
            </w:r>
          </w:p>
        </w:tc>
        <w:tc>
          <w:tcPr>
            <w:tcW w:w="424" w:type="pct"/>
            <w:tcBorders>
              <w:top w:val="single" w:sz="4" w:space="0" w:color="auto"/>
              <w:left w:val="single" w:sz="2" w:space="0" w:color="auto"/>
              <w:bottom w:val="single" w:sz="2" w:space="0" w:color="auto"/>
              <w:right w:val="single" w:sz="2" w:space="0" w:color="auto"/>
            </w:tcBorders>
          </w:tcPr>
          <w:p w14:paraId="32FCFC57" w14:textId="77777777" w:rsidR="0091641C" w:rsidRPr="0056409E" w:rsidRDefault="0091641C" w:rsidP="00CA548E">
            <w:pPr>
              <w:pStyle w:val="Tablehead"/>
              <w:rPr>
                <w:i/>
                <w:position w:val="-6"/>
                <w:lang w:val="es-ES_tradnl"/>
              </w:rPr>
            </w:pPr>
            <w:r w:rsidRPr="0056409E">
              <w:rPr>
                <w:i/>
                <w:lang w:val="es-ES_tradnl"/>
              </w:rPr>
              <w:t>P</w:t>
            </w:r>
            <w:r w:rsidRPr="0056409E">
              <w:rPr>
                <w:i/>
                <w:iCs/>
                <w:vertAlign w:val="subscript"/>
                <w:lang w:val="es-ES_tradnl"/>
              </w:rPr>
              <w:t>m</w:t>
            </w:r>
          </w:p>
        </w:tc>
        <w:tc>
          <w:tcPr>
            <w:tcW w:w="424" w:type="pct"/>
            <w:tcBorders>
              <w:top w:val="single" w:sz="4" w:space="0" w:color="auto"/>
              <w:left w:val="single" w:sz="2" w:space="0" w:color="auto"/>
              <w:bottom w:val="single" w:sz="2" w:space="0" w:color="auto"/>
              <w:right w:val="single" w:sz="2" w:space="0" w:color="auto"/>
            </w:tcBorders>
          </w:tcPr>
          <w:p w14:paraId="2E6969D4" w14:textId="77777777" w:rsidR="0091641C" w:rsidRPr="0056409E" w:rsidRDefault="0091641C" w:rsidP="00CA548E">
            <w:pPr>
              <w:pStyle w:val="Tablehead"/>
              <w:rPr>
                <w:i/>
                <w:position w:val="-6"/>
                <w:lang w:val="es-ES_tradnl"/>
              </w:rPr>
            </w:pPr>
            <w:r w:rsidRPr="0056409E">
              <w:rPr>
                <w:i/>
                <w:lang w:val="es-ES_tradnl"/>
              </w:rPr>
              <w:t>P</w:t>
            </w:r>
            <w:r w:rsidRPr="0056409E">
              <w:rPr>
                <w:i/>
                <w:iCs/>
                <w:vertAlign w:val="subscript"/>
                <w:lang w:val="es-ES_tradnl"/>
              </w:rPr>
              <w:t>p</w:t>
            </w:r>
          </w:p>
        </w:tc>
        <w:tc>
          <w:tcPr>
            <w:tcW w:w="423" w:type="pct"/>
            <w:tcBorders>
              <w:top w:val="single" w:sz="4" w:space="0" w:color="auto"/>
              <w:left w:val="single" w:sz="2" w:space="0" w:color="auto"/>
              <w:bottom w:val="single" w:sz="2" w:space="0" w:color="auto"/>
              <w:right w:val="single" w:sz="2" w:space="0" w:color="auto"/>
            </w:tcBorders>
          </w:tcPr>
          <w:p w14:paraId="1D0DA3CA" w14:textId="77777777" w:rsidR="0091641C" w:rsidRPr="0056409E" w:rsidRDefault="0091641C" w:rsidP="00CA548E">
            <w:pPr>
              <w:pStyle w:val="Tablehead"/>
              <w:rPr>
                <w:i/>
                <w:position w:val="-6"/>
                <w:lang w:val="es-ES_tradnl"/>
              </w:rPr>
            </w:pPr>
            <w:r w:rsidRPr="0056409E">
              <w:rPr>
                <w:i/>
                <w:lang w:val="es-ES_tradnl"/>
              </w:rPr>
              <w:t>P</w:t>
            </w:r>
            <w:r w:rsidRPr="0056409E">
              <w:rPr>
                <w:i/>
                <w:iCs/>
                <w:vertAlign w:val="subscript"/>
                <w:lang w:val="es-ES_tradnl"/>
              </w:rPr>
              <w:t>c</w:t>
            </w:r>
          </w:p>
        </w:tc>
        <w:tc>
          <w:tcPr>
            <w:tcW w:w="424" w:type="pct"/>
            <w:tcBorders>
              <w:top w:val="single" w:sz="4" w:space="0" w:color="auto"/>
              <w:left w:val="single" w:sz="2" w:space="0" w:color="auto"/>
              <w:bottom w:val="single" w:sz="2" w:space="0" w:color="auto"/>
              <w:right w:val="single" w:sz="2" w:space="0" w:color="auto"/>
            </w:tcBorders>
          </w:tcPr>
          <w:p w14:paraId="2F513195" w14:textId="77777777" w:rsidR="0091641C" w:rsidRPr="0056409E" w:rsidRDefault="0091641C" w:rsidP="00CA548E">
            <w:pPr>
              <w:pStyle w:val="Tablehead"/>
              <w:rPr>
                <w:i/>
                <w:position w:val="-6"/>
                <w:lang w:val="es-ES_tradnl"/>
              </w:rPr>
            </w:pPr>
            <w:r w:rsidRPr="0056409E">
              <w:rPr>
                <w:i/>
                <w:lang w:val="es-ES_tradnl"/>
              </w:rPr>
              <w:t>P</w:t>
            </w:r>
            <w:r w:rsidRPr="0056409E">
              <w:rPr>
                <w:i/>
                <w:iCs/>
                <w:vertAlign w:val="subscript"/>
                <w:lang w:val="es-ES_tradnl"/>
              </w:rPr>
              <w:t>m</w:t>
            </w:r>
          </w:p>
        </w:tc>
        <w:tc>
          <w:tcPr>
            <w:tcW w:w="426" w:type="pct"/>
            <w:tcBorders>
              <w:top w:val="single" w:sz="4" w:space="0" w:color="auto"/>
              <w:left w:val="single" w:sz="2" w:space="0" w:color="auto"/>
              <w:bottom w:val="single" w:sz="2" w:space="0" w:color="auto"/>
              <w:right w:val="single" w:sz="2" w:space="0" w:color="auto"/>
            </w:tcBorders>
          </w:tcPr>
          <w:p w14:paraId="58E7F99E" w14:textId="77777777" w:rsidR="0091641C" w:rsidRPr="0056409E" w:rsidRDefault="0091641C" w:rsidP="00CA548E">
            <w:pPr>
              <w:pStyle w:val="Tablehead"/>
              <w:rPr>
                <w:i/>
                <w:position w:val="-6"/>
                <w:lang w:val="es-ES_tradnl"/>
              </w:rPr>
            </w:pPr>
            <w:r w:rsidRPr="0056409E">
              <w:rPr>
                <w:i/>
                <w:lang w:val="es-ES_tradnl"/>
              </w:rPr>
              <w:t>P</w:t>
            </w:r>
            <w:r w:rsidRPr="0056409E">
              <w:rPr>
                <w:i/>
                <w:iCs/>
                <w:vertAlign w:val="subscript"/>
                <w:lang w:val="es-ES_tradnl"/>
              </w:rPr>
              <w:t>p</w:t>
            </w:r>
          </w:p>
        </w:tc>
        <w:tc>
          <w:tcPr>
            <w:tcW w:w="424" w:type="pct"/>
            <w:tcBorders>
              <w:top w:val="single" w:sz="4" w:space="0" w:color="auto"/>
              <w:left w:val="single" w:sz="2" w:space="0" w:color="auto"/>
              <w:bottom w:val="single" w:sz="2" w:space="0" w:color="auto"/>
              <w:right w:val="single" w:sz="2" w:space="0" w:color="auto"/>
            </w:tcBorders>
          </w:tcPr>
          <w:p w14:paraId="56601018" w14:textId="77777777" w:rsidR="0091641C" w:rsidRPr="0056409E" w:rsidRDefault="0091641C" w:rsidP="00CA548E">
            <w:pPr>
              <w:pStyle w:val="Tablehead"/>
              <w:rPr>
                <w:i/>
                <w:position w:val="-6"/>
                <w:lang w:val="es-ES_tradnl"/>
              </w:rPr>
            </w:pPr>
            <w:r w:rsidRPr="0056409E">
              <w:rPr>
                <w:i/>
                <w:lang w:val="es-ES_tradnl"/>
              </w:rPr>
              <w:t>P</w:t>
            </w:r>
            <w:r w:rsidRPr="0056409E">
              <w:rPr>
                <w:i/>
                <w:iCs/>
                <w:vertAlign w:val="subscript"/>
                <w:lang w:val="es-ES_tradnl"/>
              </w:rPr>
              <w:t>c</w:t>
            </w:r>
          </w:p>
        </w:tc>
        <w:tc>
          <w:tcPr>
            <w:tcW w:w="424" w:type="pct"/>
            <w:tcBorders>
              <w:top w:val="single" w:sz="4" w:space="0" w:color="auto"/>
              <w:left w:val="single" w:sz="2" w:space="0" w:color="auto"/>
              <w:bottom w:val="single" w:sz="2" w:space="0" w:color="auto"/>
              <w:right w:val="single" w:sz="2" w:space="0" w:color="auto"/>
            </w:tcBorders>
          </w:tcPr>
          <w:p w14:paraId="3E563F90" w14:textId="77777777" w:rsidR="0091641C" w:rsidRPr="0056409E" w:rsidRDefault="0091641C" w:rsidP="00CA548E">
            <w:pPr>
              <w:pStyle w:val="Tablehead"/>
              <w:rPr>
                <w:i/>
                <w:position w:val="-6"/>
                <w:lang w:val="es-ES_tradnl"/>
              </w:rPr>
            </w:pPr>
            <w:r w:rsidRPr="0056409E">
              <w:rPr>
                <w:i/>
                <w:lang w:val="es-ES_tradnl"/>
              </w:rPr>
              <w:t>P</w:t>
            </w:r>
            <w:r w:rsidRPr="0056409E">
              <w:rPr>
                <w:i/>
                <w:iCs/>
                <w:vertAlign w:val="subscript"/>
                <w:lang w:val="es-ES_tradnl"/>
              </w:rPr>
              <w:t>m</w:t>
            </w:r>
          </w:p>
        </w:tc>
        <w:tc>
          <w:tcPr>
            <w:tcW w:w="420" w:type="pct"/>
            <w:tcBorders>
              <w:top w:val="single" w:sz="4" w:space="0" w:color="auto"/>
              <w:left w:val="single" w:sz="2" w:space="0" w:color="auto"/>
              <w:bottom w:val="single" w:sz="2" w:space="0" w:color="auto"/>
              <w:right w:val="single" w:sz="2" w:space="0" w:color="auto"/>
            </w:tcBorders>
          </w:tcPr>
          <w:p w14:paraId="0DD13ECC" w14:textId="77777777" w:rsidR="0091641C" w:rsidRPr="0056409E" w:rsidRDefault="0091641C" w:rsidP="00CA548E">
            <w:pPr>
              <w:pStyle w:val="Tablehead"/>
              <w:rPr>
                <w:i/>
                <w:position w:val="-6"/>
                <w:lang w:val="es-ES_tradnl"/>
              </w:rPr>
            </w:pPr>
            <w:r w:rsidRPr="0056409E">
              <w:rPr>
                <w:i/>
                <w:lang w:val="es-ES_tradnl"/>
              </w:rPr>
              <w:t>P</w:t>
            </w:r>
            <w:r w:rsidRPr="0056409E">
              <w:rPr>
                <w:i/>
                <w:iCs/>
                <w:vertAlign w:val="subscript"/>
                <w:lang w:val="es-ES_tradnl"/>
              </w:rPr>
              <w:t>p</w:t>
            </w:r>
          </w:p>
        </w:tc>
      </w:tr>
      <w:tr w:rsidR="0086339D" w:rsidRPr="0056409E" w14:paraId="3B04CD4A" w14:textId="77777777" w:rsidTr="00F25AD4">
        <w:trPr>
          <w:cantSplit/>
        </w:trPr>
        <w:tc>
          <w:tcPr>
            <w:tcW w:w="1103" w:type="pct"/>
            <w:tcBorders>
              <w:top w:val="single" w:sz="2" w:space="0" w:color="auto"/>
              <w:left w:val="single" w:sz="2" w:space="0" w:color="auto"/>
              <w:bottom w:val="single" w:sz="2" w:space="0" w:color="auto"/>
              <w:right w:val="single" w:sz="2" w:space="0" w:color="auto"/>
            </w:tcBorders>
          </w:tcPr>
          <w:p w14:paraId="4FA0841E" w14:textId="77777777" w:rsidR="0086339D" w:rsidRPr="0056409E" w:rsidRDefault="0086339D" w:rsidP="00892296">
            <w:pPr>
              <w:pStyle w:val="Tabletext"/>
              <w:rPr>
                <w:lang w:val="es-ES_tradnl"/>
              </w:rPr>
            </w:pPr>
            <w:r w:rsidRPr="0056409E">
              <w:rPr>
                <w:lang w:val="es-ES_tradnl"/>
              </w:rPr>
              <w:t xml:space="preserve">C*F </w:t>
            </w:r>
            <w:r w:rsidRPr="0056409E">
              <w:rPr>
                <w:vertAlign w:val="superscript"/>
                <w:lang w:val="es-ES_tradnl"/>
              </w:rPr>
              <w:t>(</w:t>
            </w:r>
            <w:r w:rsidRPr="0056409E">
              <w:rPr>
                <w:iCs/>
                <w:vertAlign w:val="superscript"/>
                <w:lang w:val="es-ES_tradnl"/>
              </w:rPr>
              <w:t>3</w:t>
            </w:r>
            <w:r w:rsidRPr="0056409E">
              <w:rPr>
                <w:vertAlign w:val="superscript"/>
                <w:lang w:val="es-ES_tradnl"/>
              </w:rPr>
              <w:t>)</w:t>
            </w:r>
          </w:p>
          <w:p w14:paraId="5BF96563" w14:textId="77777777" w:rsidR="0086339D" w:rsidRPr="0056409E" w:rsidRDefault="0086339D" w:rsidP="00892296">
            <w:pPr>
              <w:pStyle w:val="Tabletext"/>
              <w:spacing w:before="34" w:after="34"/>
              <w:rPr>
                <w:lang w:val="es-ES_tradnl"/>
              </w:rPr>
            </w:pPr>
            <w:r w:rsidRPr="0056409E">
              <w:rPr>
                <w:lang w:val="es-ES_tradnl"/>
              </w:rPr>
              <w:t>Modulación negativa</w:t>
            </w:r>
          </w:p>
          <w:p w14:paraId="09B375CA" w14:textId="77777777" w:rsidR="0086339D" w:rsidRPr="0056409E" w:rsidRDefault="0086339D" w:rsidP="00892296">
            <w:pPr>
              <w:pStyle w:val="Tabletext"/>
              <w:rPr>
                <w:lang w:val="es-ES_tradnl"/>
              </w:rPr>
            </w:pPr>
            <w:r w:rsidRPr="0056409E">
              <w:rPr>
                <w:lang w:val="es-ES_tradnl"/>
              </w:rPr>
              <w:t>Modulación positiva</w:t>
            </w:r>
          </w:p>
        </w:tc>
        <w:tc>
          <w:tcPr>
            <w:tcW w:w="508" w:type="pct"/>
            <w:tcBorders>
              <w:top w:val="single" w:sz="2" w:space="0" w:color="auto"/>
              <w:left w:val="single" w:sz="2" w:space="0" w:color="auto"/>
              <w:bottom w:val="single" w:sz="2" w:space="0" w:color="auto"/>
              <w:right w:val="single" w:sz="2" w:space="0" w:color="auto"/>
            </w:tcBorders>
          </w:tcPr>
          <w:p w14:paraId="44BA6C4C" w14:textId="77777777" w:rsidR="0086339D" w:rsidRPr="0056409E" w:rsidRDefault="0086339D" w:rsidP="00892296">
            <w:pPr>
              <w:pStyle w:val="Tabletext"/>
              <w:jc w:val="center"/>
              <w:rPr>
                <w:lang w:val="es-ES_tradnl"/>
              </w:rPr>
            </w:pPr>
          </w:p>
          <w:p w14:paraId="3ED97601" w14:textId="77777777" w:rsidR="0086339D" w:rsidRPr="0056409E" w:rsidRDefault="0086339D" w:rsidP="00892296">
            <w:pPr>
              <w:pStyle w:val="Tabletext"/>
              <w:jc w:val="center"/>
              <w:rPr>
                <w:lang w:val="es-ES_tradnl"/>
              </w:rPr>
            </w:pPr>
            <w:r w:rsidRPr="0056409E">
              <w:rPr>
                <w:lang w:val="es-ES_tradnl"/>
              </w:rPr>
              <w:t>–</w:t>
            </w:r>
          </w:p>
        </w:tc>
        <w:tc>
          <w:tcPr>
            <w:tcW w:w="424" w:type="pct"/>
            <w:tcBorders>
              <w:top w:val="single" w:sz="2" w:space="0" w:color="auto"/>
              <w:left w:val="single" w:sz="2" w:space="0" w:color="auto"/>
              <w:bottom w:val="single" w:sz="2" w:space="0" w:color="auto"/>
              <w:right w:val="single" w:sz="2" w:space="0" w:color="auto"/>
            </w:tcBorders>
          </w:tcPr>
          <w:p w14:paraId="3790C866" w14:textId="77777777" w:rsidR="0086339D" w:rsidRPr="0056409E" w:rsidRDefault="0086339D" w:rsidP="00892296">
            <w:pPr>
              <w:pStyle w:val="Tabletext"/>
              <w:jc w:val="center"/>
              <w:rPr>
                <w:lang w:val="es-ES_tradnl"/>
              </w:rPr>
            </w:pPr>
          </w:p>
          <w:p w14:paraId="4864C832" w14:textId="77777777" w:rsidR="0086339D" w:rsidRPr="0056409E" w:rsidRDefault="0086339D" w:rsidP="00892296">
            <w:pPr>
              <w:pStyle w:val="Tabletext"/>
              <w:jc w:val="center"/>
              <w:rPr>
                <w:lang w:val="es-ES_tradnl"/>
              </w:rPr>
            </w:pPr>
            <w:r w:rsidRPr="0056409E">
              <w:rPr>
                <w:lang w:val="es-ES_tradnl"/>
              </w:rPr>
              <w:t>–</w:t>
            </w:r>
          </w:p>
        </w:tc>
        <w:tc>
          <w:tcPr>
            <w:tcW w:w="424" w:type="pct"/>
            <w:tcBorders>
              <w:top w:val="single" w:sz="2" w:space="0" w:color="auto"/>
              <w:left w:val="single" w:sz="2" w:space="0" w:color="auto"/>
              <w:bottom w:val="single" w:sz="2" w:space="0" w:color="auto"/>
              <w:right w:val="single" w:sz="2" w:space="0" w:color="auto"/>
            </w:tcBorders>
          </w:tcPr>
          <w:p w14:paraId="5D610984" w14:textId="77777777" w:rsidR="0086339D" w:rsidRPr="0056409E" w:rsidRDefault="0086339D" w:rsidP="00892296">
            <w:pPr>
              <w:pStyle w:val="Tabletext"/>
              <w:jc w:val="center"/>
              <w:rPr>
                <w:lang w:val="es-ES_tradnl"/>
              </w:rPr>
            </w:pPr>
          </w:p>
          <w:p w14:paraId="6EB7079C" w14:textId="77777777" w:rsidR="0086339D" w:rsidRPr="0056409E" w:rsidRDefault="0086339D" w:rsidP="00892296">
            <w:pPr>
              <w:pStyle w:val="Tabletext"/>
              <w:jc w:val="center"/>
              <w:rPr>
                <w:lang w:val="es-ES_tradnl"/>
              </w:rPr>
            </w:pPr>
            <w:r w:rsidRPr="0056409E">
              <w:rPr>
                <w:lang w:val="es-ES_tradnl"/>
              </w:rPr>
              <w:t>–</w:t>
            </w:r>
          </w:p>
        </w:tc>
        <w:tc>
          <w:tcPr>
            <w:tcW w:w="423" w:type="pct"/>
            <w:tcBorders>
              <w:top w:val="single" w:sz="2" w:space="0" w:color="auto"/>
              <w:left w:val="single" w:sz="2" w:space="0" w:color="auto"/>
              <w:bottom w:val="single" w:sz="2" w:space="0" w:color="auto"/>
              <w:right w:val="single" w:sz="2" w:space="0" w:color="auto"/>
            </w:tcBorders>
          </w:tcPr>
          <w:p w14:paraId="7EABD2C5" w14:textId="77777777" w:rsidR="0086339D" w:rsidRPr="0056409E" w:rsidRDefault="0086339D" w:rsidP="00892296">
            <w:pPr>
              <w:pStyle w:val="Tabletext"/>
              <w:jc w:val="center"/>
              <w:rPr>
                <w:lang w:val="es-ES_tradnl"/>
              </w:rPr>
            </w:pPr>
          </w:p>
          <w:p w14:paraId="20C1CD60" w14:textId="77777777" w:rsidR="0086339D" w:rsidRPr="0056409E" w:rsidRDefault="0086339D" w:rsidP="00892296">
            <w:pPr>
              <w:pStyle w:val="Tabletext"/>
              <w:jc w:val="center"/>
              <w:rPr>
                <w:lang w:val="es-ES_tradnl"/>
              </w:rPr>
            </w:pPr>
            <w:r w:rsidRPr="0056409E">
              <w:rPr>
                <w:lang w:val="es-ES_tradnl"/>
              </w:rPr>
              <w:t>–</w:t>
            </w:r>
          </w:p>
        </w:tc>
        <w:tc>
          <w:tcPr>
            <w:tcW w:w="424" w:type="pct"/>
            <w:tcBorders>
              <w:top w:val="single" w:sz="2" w:space="0" w:color="auto"/>
              <w:left w:val="single" w:sz="2" w:space="0" w:color="auto"/>
              <w:bottom w:val="single" w:sz="2" w:space="0" w:color="auto"/>
              <w:right w:val="single" w:sz="2" w:space="0" w:color="auto"/>
            </w:tcBorders>
          </w:tcPr>
          <w:p w14:paraId="45F08E74" w14:textId="77777777" w:rsidR="0086339D" w:rsidRPr="0056409E" w:rsidRDefault="0086339D" w:rsidP="00892296">
            <w:pPr>
              <w:pStyle w:val="Tabletext"/>
              <w:jc w:val="center"/>
              <w:rPr>
                <w:lang w:val="es-ES_tradnl"/>
              </w:rPr>
            </w:pPr>
          </w:p>
          <w:p w14:paraId="3895C2EB" w14:textId="77777777" w:rsidR="0086339D" w:rsidRPr="0056409E" w:rsidRDefault="0086339D" w:rsidP="00892296">
            <w:pPr>
              <w:pStyle w:val="Tabletext"/>
              <w:jc w:val="center"/>
              <w:rPr>
                <w:lang w:val="es-ES_tradnl"/>
              </w:rPr>
            </w:pPr>
            <w:r w:rsidRPr="0056409E">
              <w:rPr>
                <w:lang w:val="es-ES_tradnl"/>
              </w:rPr>
              <w:t>1</w:t>
            </w:r>
          </w:p>
          <w:p w14:paraId="646395D9" w14:textId="77777777" w:rsidR="0086339D" w:rsidRPr="0056409E" w:rsidRDefault="0086339D" w:rsidP="00892296">
            <w:pPr>
              <w:pStyle w:val="Tabletext"/>
              <w:jc w:val="center"/>
              <w:rPr>
                <w:lang w:val="es-ES_tradnl"/>
              </w:rPr>
            </w:pPr>
            <w:r w:rsidRPr="0056409E">
              <w:rPr>
                <w:lang w:val="es-ES_tradnl"/>
              </w:rPr>
              <w:t>1</w:t>
            </w:r>
          </w:p>
        </w:tc>
        <w:tc>
          <w:tcPr>
            <w:tcW w:w="426" w:type="pct"/>
            <w:tcBorders>
              <w:top w:val="single" w:sz="2" w:space="0" w:color="auto"/>
              <w:left w:val="single" w:sz="2" w:space="0" w:color="auto"/>
              <w:bottom w:val="single" w:sz="2" w:space="0" w:color="auto"/>
              <w:right w:val="single" w:sz="2" w:space="0" w:color="auto"/>
            </w:tcBorders>
          </w:tcPr>
          <w:p w14:paraId="5B7895EC" w14:textId="77777777" w:rsidR="0086339D" w:rsidRPr="0056409E" w:rsidRDefault="0086339D" w:rsidP="00892296">
            <w:pPr>
              <w:pStyle w:val="Tabletext"/>
              <w:jc w:val="center"/>
              <w:rPr>
                <w:lang w:val="es-ES_tradnl"/>
              </w:rPr>
            </w:pPr>
          </w:p>
          <w:p w14:paraId="3C1C74BF" w14:textId="77777777" w:rsidR="0086339D" w:rsidRPr="0056409E" w:rsidRDefault="0086339D" w:rsidP="00892296">
            <w:pPr>
              <w:pStyle w:val="Tabletext"/>
              <w:jc w:val="center"/>
              <w:rPr>
                <w:lang w:val="es-ES_tradnl"/>
              </w:rPr>
            </w:pPr>
            <w:r w:rsidRPr="0056409E">
              <w:rPr>
                <w:lang w:val="es-ES_tradnl"/>
              </w:rPr>
              <w:t>1,85</w:t>
            </w:r>
          </w:p>
          <w:p w14:paraId="2AB7A073" w14:textId="77777777" w:rsidR="0086339D" w:rsidRPr="0056409E" w:rsidRDefault="0086339D" w:rsidP="00892296">
            <w:pPr>
              <w:pStyle w:val="Tabletext"/>
              <w:jc w:val="center"/>
              <w:rPr>
                <w:lang w:val="es-ES_tradnl"/>
              </w:rPr>
            </w:pPr>
            <w:r w:rsidRPr="0056409E">
              <w:rPr>
                <w:lang w:val="es-ES_tradnl"/>
              </w:rPr>
              <w:t>1,42</w:t>
            </w:r>
          </w:p>
        </w:tc>
        <w:tc>
          <w:tcPr>
            <w:tcW w:w="424" w:type="pct"/>
            <w:tcBorders>
              <w:top w:val="single" w:sz="2" w:space="0" w:color="auto"/>
              <w:left w:val="single" w:sz="2" w:space="0" w:color="auto"/>
              <w:bottom w:val="single" w:sz="2" w:space="0" w:color="auto"/>
              <w:right w:val="single" w:sz="2" w:space="0" w:color="auto"/>
            </w:tcBorders>
          </w:tcPr>
          <w:p w14:paraId="6193262E" w14:textId="77777777" w:rsidR="0086339D" w:rsidRPr="0056409E" w:rsidRDefault="0086339D" w:rsidP="00892296">
            <w:pPr>
              <w:pStyle w:val="Tabletext"/>
              <w:jc w:val="center"/>
              <w:rPr>
                <w:lang w:val="es-ES_tradnl"/>
              </w:rPr>
            </w:pPr>
          </w:p>
          <w:p w14:paraId="652C9AB6" w14:textId="77777777" w:rsidR="0086339D" w:rsidRPr="0056409E" w:rsidRDefault="0086339D" w:rsidP="00892296">
            <w:pPr>
              <w:pStyle w:val="Tabletext"/>
              <w:jc w:val="center"/>
              <w:rPr>
                <w:lang w:val="es-ES_tradnl"/>
              </w:rPr>
            </w:pPr>
            <w:r w:rsidRPr="0056409E">
              <w:rPr>
                <w:lang w:val="es-ES_tradnl"/>
              </w:rPr>
              <w:t>–</w:t>
            </w:r>
          </w:p>
        </w:tc>
        <w:tc>
          <w:tcPr>
            <w:tcW w:w="424" w:type="pct"/>
            <w:tcBorders>
              <w:top w:val="single" w:sz="2" w:space="0" w:color="auto"/>
              <w:left w:val="single" w:sz="2" w:space="0" w:color="auto"/>
              <w:bottom w:val="single" w:sz="2" w:space="0" w:color="auto"/>
              <w:right w:val="single" w:sz="2" w:space="0" w:color="auto"/>
            </w:tcBorders>
          </w:tcPr>
          <w:p w14:paraId="7B381673" w14:textId="77777777" w:rsidR="0086339D" w:rsidRPr="0056409E" w:rsidRDefault="0086339D" w:rsidP="00892296">
            <w:pPr>
              <w:pStyle w:val="Tabletext"/>
              <w:jc w:val="center"/>
              <w:rPr>
                <w:lang w:val="es-ES_tradnl"/>
              </w:rPr>
            </w:pPr>
          </w:p>
          <w:p w14:paraId="31C22DEB" w14:textId="77777777" w:rsidR="0086339D" w:rsidRPr="0056409E" w:rsidRDefault="0086339D" w:rsidP="00892296">
            <w:pPr>
              <w:pStyle w:val="Tabletext"/>
              <w:jc w:val="center"/>
              <w:rPr>
                <w:lang w:val="es-ES_tradnl"/>
              </w:rPr>
            </w:pPr>
            <w:r w:rsidRPr="0056409E">
              <w:rPr>
                <w:lang w:val="es-ES_tradnl"/>
              </w:rPr>
              <w:t>0,54</w:t>
            </w:r>
          </w:p>
          <w:p w14:paraId="016858D5" w14:textId="77777777" w:rsidR="0086339D" w:rsidRPr="0056409E" w:rsidRDefault="0086339D" w:rsidP="00892296">
            <w:pPr>
              <w:pStyle w:val="Tabletext"/>
              <w:jc w:val="center"/>
              <w:rPr>
                <w:lang w:val="es-ES_tradnl"/>
              </w:rPr>
            </w:pPr>
            <w:r w:rsidRPr="0056409E">
              <w:rPr>
                <w:lang w:val="es-ES_tradnl"/>
              </w:rPr>
              <w:t>0,87</w:t>
            </w:r>
          </w:p>
        </w:tc>
        <w:tc>
          <w:tcPr>
            <w:tcW w:w="420" w:type="pct"/>
            <w:tcBorders>
              <w:top w:val="single" w:sz="2" w:space="0" w:color="auto"/>
              <w:left w:val="single" w:sz="2" w:space="0" w:color="auto"/>
              <w:bottom w:val="single" w:sz="2" w:space="0" w:color="auto"/>
              <w:right w:val="single" w:sz="2" w:space="0" w:color="auto"/>
            </w:tcBorders>
          </w:tcPr>
          <w:p w14:paraId="1B24894C" w14:textId="77777777" w:rsidR="0086339D" w:rsidRPr="0056409E" w:rsidRDefault="0086339D" w:rsidP="00892296">
            <w:pPr>
              <w:pStyle w:val="Tabletext"/>
              <w:jc w:val="center"/>
              <w:rPr>
                <w:lang w:val="es-ES_tradnl"/>
              </w:rPr>
            </w:pPr>
          </w:p>
          <w:p w14:paraId="63B3D8A3" w14:textId="77777777" w:rsidR="0086339D" w:rsidRPr="0056409E" w:rsidRDefault="0086339D" w:rsidP="00892296">
            <w:pPr>
              <w:pStyle w:val="Tabletext"/>
              <w:jc w:val="center"/>
              <w:rPr>
                <w:lang w:val="es-ES_tradnl"/>
              </w:rPr>
            </w:pPr>
            <w:r w:rsidRPr="0056409E">
              <w:rPr>
                <w:lang w:val="es-ES_tradnl"/>
              </w:rPr>
              <w:t>1</w:t>
            </w:r>
          </w:p>
          <w:p w14:paraId="058ADB1E" w14:textId="77777777" w:rsidR="0086339D" w:rsidRPr="0056409E" w:rsidRDefault="0086339D" w:rsidP="00892296">
            <w:pPr>
              <w:pStyle w:val="Tabletext"/>
              <w:jc w:val="center"/>
              <w:rPr>
                <w:lang w:val="es-ES_tradnl"/>
              </w:rPr>
            </w:pPr>
            <w:r w:rsidRPr="0056409E">
              <w:rPr>
                <w:lang w:val="es-ES_tradnl"/>
              </w:rPr>
              <w:t>1</w:t>
            </w:r>
          </w:p>
        </w:tc>
      </w:tr>
      <w:tr w:rsidR="0086339D" w:rsidRPr="0056409E" w14:paraId="77CC27AB" w14:textId="77777777" w:rsidTr="00F25AD4">
        <w:trPr>
          <w:cantSplit/>
        </w:trPr>
        <w:tc>
          <w:tcPr>
            <w:tcW w:w="1103" w:type="pct"/>
            <w:tcBorders>
              <w:top w:val="single" w:sz="2" w:space="0" w:color="auto"/>
              <w:left w:val="single" w:sz="2" w:space="0" w:color="auto"/>
              <w:bottom w:val="single" w:sz="2" w:space="0" w:color="auto"/>
              <w:right w:val="single" w:sz="2" w:space="0" w:color="auto"/>
            </w:tcBorders>
          </w:tcPr>
          <w:p w14:paraId="42445CFC" w14:textId="77777777" w:rsidR="0086339D" w:rsidRPr="0056409E" w:rsidRDefault="0086339D" w:rsidP="00892296">
            <w:pPr>
              <w:pStyle w:val="Tabletext"/>
              <w:rPr>
                <w:lang w:val="es-ES_tradnl"/>
              </w:rPr>
            </w:pPr>
            <w:r w:rsidRPr="0056409E">
              <w:rPr>
                <w:lang w:val="es-ES_tradnl"/>
              </w:rPr>
              <w:t>F*...</w:t>
            </w:r>
            <w:r w:rsidRPr="0056409E">
              <w:rPr>
                <w:vertAlign w:val="superscript"/>
                <w:lang w:val="es-ES_tradnl"/>
              </w:rPr>
              <w:t>(</w:t>
            </w:r>
            <w:r w:rsidRPr="0056409E">
              <w:rPr>
                <w:iCs/>
                <w:vertAlign w:val="superscript"/>
                <w:lang w:val="es-ES_tradnl"/>
              </w:rPr>
              <w:t>4</w:t>
            </w:r>
            <w:r w:rsidRPr="0056409E">
              <w:rPr>
                <w:vertAlign w:val="superscript"/>
                <w:lang w:val="es-ES_tradnl"/>
              </w:rPr>
              <w:t>)</w:t>
            </w:r>
          </w:p>
        </w:tc>
        <w:tc>
          <w:tcPr>
            <w:tcW w:w="508" w:type="pct"/>
            <w:tcBorders>
              <w:top w:val="single" w:sz="2" w:space="0" w:color="auto"/>
              <w:left w:val="single" w:sz="2" w:space="0" w:color="auto"/>
              <w:bottom w:val="single" w:sz="2" w:space="0" w:color="auto"/>
              <w:right w:val="single" w:sz="2" w:space="0" w:color="auto"/>
            </w:tcBorders>
          </w:tcPr>
          <w:p w14:paraId="53B005DD" w14:textId="77777777" w:rsidR="0086339D" w:rsidRPr="0056409E" w:rsidRDefault="0086339D" w:rsidP="00892296">
            <w:pPr>
              <w:pStyle w:val="Tabletext"/>
              <w:jc w:val="center"/>
              <w:rPr>
                <w:lang w:val="es-ES_tradnl"/>
              </w:rPr>
            </w:pPr>
            <w:r w:rsidRPr="0056409E">
              <w:rPr>
                <w:lang w:val="es-ES_tradnl"/>
              </w:rPr>
              <w:t>1</w:t>
            </w:r>
          </w:p>
        </w:tc>
        <w:tc>
          <w:tcPr>
            <w:tcW w:w="424" w:type="pct"/>
            <w:tcBorders>
              <w:top w:val="single" w:sz="2" w:space="0" w:color="auto"/>
              <w:left w:val="single" w:sz="2" w:space="0" w:color="auto"/>
              <w:bottom w:val="single" w:sz="2" w:space="0" w:color="auto"/>
              <w:right w:val="single" w:sz="2" w:space="0" w:color="auto"/>
            </w:tcBorders>
          </w:tcPr>
          <w:p w14:paraId="22DDD2B8" w14:textId="77777777" w:rsidR="0086339D" w:rsidRPr="0056409E" w:rsidRDefault="0086339D" w:rsidP="00892296">
            <w:pPr>
              <w:pStyle w:val="Tabletext"/>
              <w:jc w:val="center"/>
              <w:rPr>
                <w:lang w:val="es-ES_tradnl"/>
              </w:rPr>
            </w:pPr>
            <w:r w:rsidRPr="0056409E">
              <w:rPr>
                <w:lang w:val="es-ES_tradnl"/>
              </w:rPr>
              <w:t>1</w:t>
            </w:r>
          </w:p>
        </w:tc>
        <w:tc>
          <w:tcPr>
            <w:tcW w:w="424" w:type="pct"/>
            <w:tcBorders>
              <w:top w:val="single" w:sz="2" w:space="0" w:color="auto"/>
              <w:left w:val="single" w:sz="2" w:space="0" w:color="auto"/>
              <w:bottom w:val="single" w:sz="2" w:space="0" w:color="auto"/>
              <w:right w:val="single" w:sz="2" w:space="0" w:color="auto"/>
            </w:tcBorders>
          </w:tcPr>
          <w:p w14:paraId="32E991BF" w14:textId="77777777" w:rsidR="0086339D" w:rsidRPr="0056409E" w:rsidRDefault="0086339D" w:rsidP="00892296">
            <w:pPr>
              <w:pStyle w:val="Tabletext"/>
              <w:jc w:val="center"/>
              <w:rPr>
                <w:lang w:val="es-ES_tradnl"/>
              </w:rPr>
            </w:pPr>
            <w:r w:rsidRPr="0056409E">
              <w:rPr>
                <w:lang w:val="es-ES_tradnl"/>
              </w:rPr>
              <w:t>1</w:t>
            </w:r>
          </w:p>
        </w:tc>
        <w:tc>
          <w:tcPr>
            <w:tcW w:w="423" w:type="pct"/>
            <w:tcBorders>
              <w:top w:val="single" w:sz="2" w:space="0" w:color="auto"/>
              <w:left w:val="single" w:sz="2" w:space="0" w:color="auto"/>
              <w:bottom w:val="single" w:sz="2" w:space="0" w:color="auto"/>
              <w:right w:val="single" w:sz="2" w:space="0" w:color="auto"/>
            </w:tcBorders>
          </w:tcPr>
          <w:p w14:paraId="45890901" w14:textId="77777777" w:rsidR="0086339D" w:rsidRPr="0056409E" w:rsidRDefault="0086339D" w:rsidP="00892296">
            <w:pPr>
              <w:pStyle w:val="Tabletext"/>
              <w:jc w:val="center"/>
              <w:rPr>
                <w:lang w:val="es-ES_tradnl"/>
              </w:rPr>
            </w:pPr>
            <w:r w:rsidRPr="0056409E">
              <w:rPr>
                <w:lang w:val="es-ES_tradnl"/>
              </w:rPr>
              <w:t>1</w:t>
            </w:r>
          </w:p>
        </w:tc>
        <w:tc>
          <w:tcPr>
            <w:tcW w:w="424" w:type="pct"/>
            <w:tcBorders>
              <w:top w:val="single" w:sz="2" w:space="0" w:color="auto"/>
              <w:left w:val="single" w:sz="2" w:space="0" w:color="auto"/>
              <w:bottom w:val="single" w:sz="2" w:space="0" w:color="auto"/>
              <w:right w:val="single" w:sz="2" w:space="0" w:color="auto"/>
            </w:tcBorders>
          </w:tcPr>
          <w:p w14:paraId="352B432E" w14:textId="77777777" w:rsidR="0086339D" w:rsidRPr="0056409E" w:rsidRDefault="0086339D" w:rsidP="00892296">
            <w:pPr>
              <w:pStyle w:val="Tabletext"/>
              <w:jc w:val="center"/>
              <w:rPr>
                <w:lang w:val="es-ES_tradnl"/>
              </w:rPr>
            </w:pPr>
            <w:r w:rsidRPr="0056409E">
              <w:rPr>
                <w:lang w:val="es-ES_tradnl"/>
              </w:rPr>
              <w:t>1</w:t>
            </w:r>
          </w:p>
        </w:tc>
        <w:tc>
          <w:tcPr>
            <w:tcW w:w="426" w:type="pct"/>
            <w:tcBorders>
              <w:top w:val="single" w:sz="2" w:space="0" w:color="auto"/>
              <w:left w:val="single" w:sz="2" w:space="0" w:color="auto"/>
              <w:bottom w:val="single" w:sz="2" w:space="0" w:color="auto"/>
              <w:right w:val="single" w:sz="2" w:space="0" w:color="auto"/>
            </w:tcBorders>
          </w:tcPr>
          <w:p w14:paraId="57BD110E" w14:textId="77777777" w:rsidR="0086339D" w:rsidRPr="0056409E" w:rsidRDefault="0086339D" w:rsidP="00892296">
            <w:pPr>
              <w:pStyle w:val="Tabletext"/>
              <w:jc w:val="center"/>
              <w:rPr>
                <w:lang w:val="es-ES_tradnl"/>
              </w:rPr>
            </w:pPr>
            <w:r w:rsidRPr="0056409E">
              <w:rPr>
                <w:lang w:val="es-ES_tradnl"/>
              </w:rPr>
              <w:t>1</w:t>
            </w:r>
          </w:p>
        </w:tc>
        <w:tc>
          <w:tcPr>
            <w:tcW w:w="424" w:type="pct"/>
            <w:tcBorders>
              <w:top w:val="single" w:sz="2" w:space="0" w:color="auto"/>
              <w:left w:val="single" w:sz="2" w:space="0" w:color="auto"/>
              <w:bottom w:val="single" w:sz="2" w:space="0" w:color="auto"/>
              <w:right w:val="single" w:sz="2" w:space="0" w:color="auto"/>
            </w:tcBorders>
          </w:tcPr>
          <w:p w14:paraId="0B441BA8" w14:textId="77777777" w:rsidR="0086339D" w:rsidRPr="0056409E" w:rsidRDefault="0086339D" w:rsidP="00892296">
            <w:pPr>
              <w:pStyle w:val="Tabletext"/>
              <w:jc w:val="center"/>
              <w:rPr>
                <w:lang w:val="es-ES_tradnl"/>
              </w:rPr>
            </w:pPr>
            <w:r w:rsidRPr="0056409E">
              <w:rPr>
                <w:lang w:val="es-ES_tradnl"/>
              </w:rPr>
              <w:t>1</w:t>
            </w:r>
          </w:p>
        </w:tc>
        <w:tc>
          <w:tcPr>
            <w:tcW w:w="424" w:type="pct"/>
            <w:tcBorders>
              <w:top w:val="single" w:sz="2" w:space="0" w:color="auto"/>
              <w:left w:val="single" w:sz="2" w:space="0" w:color="auto"/>
              <w:bottom w:val="single" w:sz="2" w:space="0" w:color="auto"/>
              <w:right w:val="single" w:sz="2" w:space="0" w:color="auto"/>
            </w:tcBorders>
          </w:tcPr>
          <w:p w14:paraId="4EE5C024" w14:textId="77777777" w:rsidR="0086339D" w:rsidRPr="0056409E" w:rsidRDefault="0086339D" w:rsidP="00892296">
            <w:pPr>
              <w:pStyle w:val="Tabletext"/>
              <w:jc w:val="center"/>
              <w:rPr>
                <w:lang w:val="es-ES_tradnl"/>
              </w:rPr>
            </w:pPr>
            <w:r w:rsidRPr="0056409E">
              <w:rPr>
                <w:lang w:val="es-ES_tradnl"/>
              </w:rPr>
              <w:t>1</w:t>
            </w:r>
          </w:p>
        </w:tc>
        <w:tc>
          <w:tcPr>
            <w:tcW w:w="420" w:type="pct"/>
            <w:tcBorders>
              <w:top w:val="single" w:sz="2" w:space="0" w:color="auto"/>
              <w:left w:val="single" w:sz="2" w:space="0" w:color="auto"/>
              <w:bottom w:val="single" w:sz="2" w:space="0" w:color="auto"/>
              <w:right w:val="single" w:sz="2" w:space="0" w:color="auto"/>
            </w:tcBorders>
          </w:tcPr>
          <w:p w14:paraId="5F090330" w14:textId="77777777" w:rsidR="0086339D" w:rsidRPr="0056409E" w:rsidRDefault="0086339D" w:rsidP="00892296">
            <w:pPr>
              <w:pStyle w:val="Tabletext"/>
              <w:jc w:val="center"/>
              <w:rPr>
                <w:lang w:val="es-ES_tradnl"/>
              </w:rPr>
            </w:pPr>
            <w:r w:rsidRPr="0056409E">
              <w:rPr>
                <w:lang w:val="es-ES_tradnl"/>
              </w:rPr>
              <w:t>1</w:t>
            </w:r>
          </w:p>
        </w:tc>
      </w:tr>
      <w:tr w:rsidR="0086339D" w:rsidRPr="0056409E" w14:paraId="5225FA34" w14:textId="77777777" w:rsidTr="00F25AD4">
        <w:trPr>
          <w:cantSplit/>
        </w:trPr>
        <w:tc>
          <w:tcPr>
            <w:tcW w:w="1103" w:type="pct"/>
            <w:tcBorders>
              <w:left w:val="single" w:sz="2" w:space="0" w:color="auto"/>
              <w:bottom w:val="single" w:sz="4" w:space="0" w:color="auto"/>
              <w:right w:val="single" w:sz="2" w:space="0" w:color="auto"/>
            </w:tcBorders>
          </w:tcPr>
          <w:p w14:paraId="6E1AC627" w14:textId="77777777" w:rsidR="0086339D" w:rsidRPr="0056409E" w:rsidRDefault="0086339D" w:rsidP="00892296">
            <w:pPr>
              <w:pStyle w:val="Tabletext"/>
              <w:rPr>
                <w:lang w:val="es-ES_tradnl"/>
              </w:rPr>
            </w:pPr>
            <w:r w:rsidRPr="0056409E">
              <w:rPr>
                <w:lang w:val="es-ES_tradnl"/>
              </w:rPr>
              <w:t>X7E</w:t>
            </w:r>
          </w:p>
        </w:tc>
        <w:tc>
          <w:tcPr>
            <w:tcW w:w="508" w:type="pct"/>
            <w:tcBorders>
              <w:left w:val="single" w:sz="2" w:space="0" w:color="auto"/>
              <w:bottom w:val="single" w:sz="4" w:space="0" w:color="auto"/>
              <w:right w:val="single" w:sz="2" w:space="0" w:color="auto"/>
            </w:tcBorders>
          </w:tcPr>
          <w:p w14:paraId="1430A9E7" w14:textId="77777777" w:rsidR="0086339D" w:rsidRPr="0056409E" w:rsidRDefault="0086339D" w:rsidP="00892296">
            <w:pPr>
              <w:pStyle w:val="Tabletext"/>
              <w:jc w:val="center"/>
              <w:rPr>
                <w:lang w:val="es-ES_tradnl"/>
              </w:rPr>
            </w:pPr>
            <w:r w:rsidRPr="0056409E">
              <w:rPr>
                <w:lang w:val="es-ES_tradnl"/>
              </w:rPr>
              <w:t>1</w:t>
            </w:r>
          </w:p>
        </w:tc>
        <w:tc>
          <w:tcPr>
            <w:tcW w:w="424" w:type="pct"/>
            <w:tcBorders>
              <w:left w:val="single" w:sz="2" w:space="0" w:color="auto"/>
              <w:bottom w:val="single" w:sz="4" w:space="0" w:color="auto"/>
              <w:right w:val="single" w:sz="2" w:space="0" w:color="auto"/>
            </w:tcBorders>
          </w:tcPr>
          <w:p w14:paraId="29F2AD67" w14:textId="77777777" w:rsidR="0086339D" w:rsidRPr="0056409E" w:rsidRDefault="0086339D" w:rsidP="00892296">
            <w:pPr>
              <w:pStyle w:val="Tabletext"/>
              <w:jc w:val="center"/>
              <w:rPr>
                <w:lang w:val="es-ES_tradnl"/>
              </w:rPr>
            </w:pPr>
            <w:r w:rsidRPr="0056409E">
              <w:rPr>
                <w:lang w:val="es-ES_tradnl"/>
              </w:rPr>
              <w:t>1</w:t>
            </w:r>
          </w:p>
        </w:tc>
        <w:tc>
          <w:tcPr>
            <w:tcW w:w="424" w:type="pct"/>
            <w:tcBorders>
              <w:left w:val="single" w:sz="2" w:space="0" w:color="auto"/>
              <w:bottom w:val="single" w:sz="4" w:space="0" w:color="auto"/>
              <w:right w:val="single" w:sz="2" w:space="0" w:color="auto"/>
            </w:tcBorders>
          </w:tcPr>
          <w:p w14:paraId="5DF321E1" w14:textId="77777777" w:rsidR="0086339D" w:rsidRPr="0056409E" w:rsidRDefault="0086339D" w:rsidP="00892296">
            <w:pPr>
              <w:pStyle w:val="Tabletext"/>
              <w:jc w:val="center"/>
              <w:rPr>
                <w:lang w:val="es-ES_tradnl"/>
              </w:rPr>
            </w:pPr>
            <w:r w:rsidRPr="0056409E">
              <w:rPr>
                <w:lang w:val="es-ES_tradnl"/>
              </w:rPr>
              <w:t>1</w:t>
            </w:r>
          </w:p>
        </w:tc>
        <w:tc>
          <w:tcPr>
            <w:tcW w:w="423" w:type="pct"/>
            <w:tcBorders>
              <w:left w:val="single" w:sz="2" w:space="0" w:color="auto"/>
              <w:bottom w:val="single" w:sz="4" w:space="0" w:color="auto"/>
              <w:right w:val="single" w:sz="2" w:space="0" w:color="auto"/>
            </w:tcBorders>
          </w:tcPr>
          <w:p w14:paraId="5367B04B" w14:textId="77777777" w:rsidR="0086339D" w:rsidRPr="0056409E" w:rsidRDefault="0086339D" w:rsidP="00892296">
            <w:pPr>
              <w:pStyle w:val="Tabletext"/>
              <w:jc w:val="center"/>
              <w:rPr>
                <w:lang w:val="es-ES_tradnl"/>
              </w:rPr>
            </w:pPr>
            <w:r w:rsidRPr="0056409E">
              <w:rPr>
                <w:lang w:val="es-ES_tradnl"/>
              </w:rPr>
              <w:t>1</w:t>
            </w:r>
          </w:p>
        </w:tc>
        <w:tc>
          <w:tcPr>
            <w:tcW w:w="424" w:type="pct"/>
            <w:tcBorders>
              <w:left w:val="single" w:sz="2" w:space="0" w:color="auto"/>
              <w:bottom w:val="single" w:sz="4" w:space="0" w:color="auto"/>
              <w:right w:val="single" w:sz="2" w:space="0" w:color="auto"/>
            </w:tcBorders>
          </w:tcPr>
          <w:p w14:paraId="4BE31B3E" w14:textId="77777777" w:rsidR="0086339D" w:rsidRPr="0056409E" w:rsidRDefault="0086339D" w:rsidP="00892296">
            <w:pPr>
              <w:pStyle w:val="Tabletext"/>
              <w:jc w:val="center"/>
              <w:rPr>
                <w:lang w:val="es-ES_tradnl"/>
              </w:rPr>
            </w:pPr>
            <w:r w:rsidRPr="0056409E">
              <w:rPr>
                <w:lang w:val="es-ES_tradnl"/>
              </w:rPr>
              <w:t>1</w:t>
            </w:r>
          </w:p>
        </w:tc>
        <w:tc>
          <w:tcPr>
            <w:tcW w:w="426" w:type="pct"/>
            <w:tcBorders>
              <w:left w:val="single" w:sz="2" w:space="0" w:color="auto"/>
              <w:bottom w:val="single" w:sz="4" w:space="0" w:color="auto"/>
              <w:right w:val="single" w:sz="2" w:space="0" w:color="auto"/>
            </w:tcBorders>
          </w:tcPr>
          <w:p w14:paraId="6298E5E0" w14:textId="77777777" w:rsidR="0086339D" w:rsidRPr="0056409E" w:rsidRDefault="0086339D" w:rsidP="00892296">
            <w:pPr>
              <w:pStyle w:val="Tabletext"/>
              <w:jc w:val="center"/>
              <w:rPr>
                <w:lang w:val="es-ES_tradnl"/>
              </w:rPr>
            </w:pPr>
            <w:r w:rsidRPr="0056409E">
              <w:rPr>
                <w:lang w:val="es-ES_tradnl"/>
              </w:rPr>
              <w:t>1</w:t>
            </w:r>
          </w:p>
        </w:tc>
        <w:tc>
          <w:tcPr>
            <w:tcW w:w="424" w:type="pct"/>
            <w:tcBorders>
              <w:left w:val="single" w:sz="2" w:space="0" w:color="auto"/>
              <w:bottom w:val="single" w:sz="4" w:space="0" w:color="auto"/>
              <w:right w:val="single" w:sz="2" w:space="0" w:color="auto"/>
            </w:tcBorders>
          </w:tcPr>
          <w:p w14:paraId="1EB79FBD" w14:textId="77777777" w:rsidR="0086339D" w:rsidRPr="0056409E" w:rsidRDefault="0086339D" w:rsidP="00892296">
            <w:pPr>
              <w:pStyle w:val="Tabletext"/>
              <w:jc w:val="center"/>
              <w:rPr>
                <w:lang w:val="es-ES_tradnl"/>
              </w:rPr>
            </w:pPr>
            <w:r w:rsidRPr="0056409E">
              <w:rPr>
                <w:lang w:val="es-ES_tradnl"/>
              </w:rPr>
              <w:t>1</w:t>
            </w:r>
          </w:p>
        </w:tc>
        <w:tc>
          <w:tcPr>
            <w:tcW w:w="424" w:type="pct"/>
            <w:tcBorders>
              <w:left w:val="single" w:sz="2" w:space="0" w:color="auto"/>
              <w:bottom w:val="single" w:sz="4" w:space="0" w:color="auto"/>
              <w:right w:val="single" w:sz="2" w:space="0" w:color="auto"/>
            </w:tcBorders>
          </w:tcPr>
          <w:p w14:paraId="0577D594" w14:textId="77777777" w:rsidR="0086339D" w:rsidRPr="0056409E" w:rsidRDefault="0086339D" w:rsidP="00892296">
            <w:pPr>
              <w:pStyle w:val="Tabletext"/>
              <w:jc w:val="center"/>
              <w:rPr>
                <w:lang w:val="es-ES_tradnl"/>
              </w:rPr>
            </w:pPr>
            <w:r w:rsidRPr="0056409E">
              <w:rPr>
                <w:lang w:val="es-ES_tradnl"/>
              </w:rPr>
              <w:t>1</w:t>
            </w:r>
          </w:p>
        </w:tc>
        <w:tc>
          <w:tcPr>
            <w:tcW w:w="420" w:type="pct"/>
            <w:tcBorders>
              <w:left w:val="single" w:sz="2" w:space="0" w:color="auto"/>
              <w:bottom w:val="single" w:sz="4" w:space="0" w:color="auto"/>
              <w:right w:val="single" w:sz="2" w:space="0" w:color="auto"/>
            </w:tcBorders>
          </w:tcPr>
          <w:p w14:paraId="61493FEB" w14:textId="77777777" w:rsidR="0086339D" w:rsidRPr="0056409E" w:rsidRDefault="0086339D" w:rsidP="00892296">
            <w:pPr>
              <w:pStyle w:val="Tabletext"/>
              <w:jc w:val="center"/>
              <w:rPr>
                <w:lang w:val="es-ES_tradnl"/>
              </w:rPr>
            </w:pPr>
            <w:r w:rsidRPr="0056409E">
              <w:rPr>
                <w:lang w:val="es-ES_tradnl"/>
              </w:rPr>
              <w:t>1</w:t>
            </w:r>
          </w:p>
        </w:tc>
      </w:tr>
      <w:tr w:rsidR="0086339D" w:rsidRPr="0056409E" w14:paraId="22B1EAB2" w14:textId="77777777" w:rsidTr="00F25AD4">
        <w:trPr>
          <w:cantSplit/>
        </w:trPr>
        <w:tc>
          <w:tcPr>
            <w:tcW w:w="1103" w:type="pct"/>
            <w:tcBorders>
              <w:top w:val="single" w:sz="4" w:space="0" w:color="auto"/>
              <w:left w:val="single" w:sz="4" w:space="0" w:color="auto"/>
              <w:bottom w:val="single" w:sz="4" w:space="0" w:color="auto"/>
              <w:right w:val="single" w:sz="4" w:space="0" w:color="auto"/>
            </w:tcBorders>
          </w:tcPr>
          <w:p w14:paraId="15FC82F2" w14:textId="77777777" w:rsidR="0086339D" w:rsidRPr="0056409E" w:rsidRDefault="0086339D" w:rsidP="00892296">
            <w:pPr>
              <w:pStyle w:val="Tabletext"/>
              <w:rPr>
                <w:iCs/>
                <w:lang w:val="es-ES_tradnl"/>
              </w:rPr>
            </w:pPr>
            <w:r w:rsidRPr="0056409E">
              <w:rPr>
                <w:iCs/>
                <w:lang w:val="es-ES_tradnl"/>
              </w:rPr>
              <w:t>GX7F</w:t>
            </w:r>
          </w:p>
        </w:tc>
        <w:tc>
          <w:tcPr>
            <w:tcW w:w="508" w:type="pct"/>
            <w:tcBorders>
              <w:top w:val="single" w:sz="4" w:space="0" w:color="auto"/>
              <w:left w:val="single" w:sz="4" w:space="0" w:color="auto"/>
              <w:bottom w:val="single" w:sz="4" w:space="0" w:color="auto"/>
              <w:right w:val="single" w:sz="4" w:space="0" w:color="auto"/>
            </w:tcBorders>
          </w:tcPr>
          <w:p w14:paraId="13384087" w14:textId="77777777" w:rsidR="0086339D" w:rsidRPr="0056409E" w:rsidRDefault="0086339D" w:rsidP="00892296">
            <w:pPr>
              <w:pStyle w:val="Tabletext"/>
              <w:jc w:val="center"/>
              <w:rPr>
                <w:lang w:val="es-ES_tradnl"/>
              </w:rPr>
            </w:pPr>
            <w:r w:rsidRPr="0056409E">
              <w:rPr>
                <w:lang w:val="es-ES_tradnl"/>
              </w:rPr>
              <w:t>1</w:t>
            </w:r>
          </w:p>
        </w:tc>
        <w:tc>
          <w:tcPr>
            <w:tcW w:w="424" w:type="pct"/>
            <w:tcBorders>
              <w:top w:val="single" w:sz="4" w:space="0" w:color="auto"/>
              <w:left w:val="single" w:sz="4" w:space="0" w:color="auto"/>
              <w:bottom w:val="single" w:sz="4" w:space="0" w:color="auto"/>
              <w:right w:val="single" w:sz="4" w:space="0" w:color="auto"/>
            </w:tcBorders>
          </w:tcPr>
          <w:p w14:paraId="701040E0" w14:textId="77777777" w:rsidR="0086339D" w:rsidRPr="0056409E" w:rsidRDefault="0086339D" w:rsidP="00892296">
            <w:pPr>
              <w:pStyle w:val="Tabletext"/>
              <w:jc w:val="center"/>
              <w:rPr>
                <w:lang w:val="es-ES_tradnl"/>
              </w:rPr>
            </w:pPr>
            <w:r w:rsidRPr="0056409E">
              <w:rPr>
                <w:lang w:val="es-ES_tradnl"/>
              </w:rPr>
              <w:t>1</w:t>
            </w:r>
          </w:p>
        </w:tc>
        <w:tc>
          <w:tcPr>
            <w:tcW w:w="424" w:type="pct"/>
            <w:tcBorders>
              <w:top w:val="single" w:sz="4" w:space="0" w:color="auto"/>
              <w:left w:val="single" w:sz="4" w:space="0" w:color="auto"/>
              <w:bottom w:val="single" w:sz="4" w:space="0" w:color="auto"/>
              <w:right w:val="single" w:sz="4" w:space="0" w:color="auto"/>
            </w:tcBorders>
          </w:tcPr>
          <w:p w14:paraId="3A95B64E" w14:textId="77777777" w:rsidR="0086339D" w:rsidRPr="0056409E" w:rsidRDefault="0086339D" w:rsidP="00892296">
            <w:pPr>
              <w:pStyle w:val="Tabletext"/>
              <w:jc w:val="center"/>
              <w:rPr>
                <w:lang w:val="es-ES_tradnl"/>
              </w:rPr>
            </w:pPr>
            <w:r w:rsidRPr="0056409E">
              <w:rPr>
                <w:lang w:val="es-ES_tradnl"/>
              </w:rPr>
              <w:t>1</w:t>
            </w:r>
          </w:p>
        </w:tc>
        <w:tc>
          <w:tcPr>
            <w:tcW w:w="423" w:type="pct"/>
            <w:tcBorders>
              <w:top w:val="single" w:sz="4" w:space="0" w:color="auto"/>
              <w:left w:val="single" w:sz="4" w:space="0" w:color="auto"/>
              <w:bottom w:val="single" w:sz="4" w:space="0" w:color="auto"/>
              <w:right w:val="single" w:sz="4" w:space="0" w:color="auto"/>
            </w:tcBorders>
          </w:tcPr>
          <w:p w14:paraId="1C7F9B97" w14:textId="77777777" w:rsidR="0086339D" w:rsidRPr="0056409E" w:rsidRDefault="0086339D" w:rsidP="00892296">
            <w:pPr>
              <w:pStyle w:val="Tabletext"/>
              <w:jc w:val="center"/>
              <w:rPr>
                <w:lang w:val="es-ES_tradnl"/>
              </w:rPr>
            </w:pPr>
            <w:r w:rsidRPr="0056409E">
              <w:rPr>
                <w:lang w:val="es-ES_tradnl"/>
              </w:rPr>
              <w:t>1</w:t>
            </w:r>
          </w:p>
        </w:tc>
        <w:tc>
          <w:tcPr>
            <w:tcW w:w="424" w:type="pct"/>
            <w:tcBorders>
              <w:top w:val="single" w:sz="4" w:space="0" w:color="auto"/>
              <w:left w:val="single" w:sz="4" w:space="0" w:color="auto"/>
              <w:bottom w:val="single" w:sz="4" w:space="0" w:color="auto"/>
              <w:right w:val="single" w:sz="4" w:space="0" w:color="auto"/>
            </w:tcBorders>
          </w:tcPr>
          <w:p w14:paraId="6680ADBF" w14:textId="77777777" w:rsidR="0086339D" w:rsidRPr="0056409E" w:rsidRDefault="0086339D" w:rsidP="00892296">
            <w:pPr>
              <w:pStyle w:val="Tabletext"/>
              <w:jc w:val="center"/>
              <w:rPr>
                <w:lang w:val="es-ES_tradnl"/>
              </w:rPr>
            </w:pPr>
            <w:r w:rsidRPr="0056409E">
              <w:rPr>
                <w:lang w:val="es-ES_tradnl"/>
              </w:rPr>
              <w:t>1</w:t>
            </w:r>
          </w:p>
        </w:tc>
        <w:tc>
          <w:tcPr>
            <w:tcW w:w="426" w:type="pct"/>
            <w:tcBorders>
              <w:top w:val="single" w:sz="4" w:space="0" w:color="auto"/>
              <w:left w:val="single" w:sz="4" w:space="0" w:color="auto"/>
              <w:bottom w:val="single" w:sz="4" w:space="0" w:color="auto"/>
              <w:right w:val="single" w:sz="4" w:space="0" w:color="auto"/>
            </w:tcBorders>
          </w:tcPr>
          <w:p w14:paraId="71965392" w14:textId="77777777" w:rsidR="0086339D" w:rsidRPr="0056409E" w:rsidRDefault="0086339D" w:rsidP="00892296">
            <w:pPr>
              <w:pStyle w:val="Tabletext"/>
              <w:jc w:val="center"/>
              <w:rPr>
                <w:lang w:val="es-ES_tradnl"/>
              </w:rPr>
            </w:pPr>
            <w:r w:rsidRPr="0056409E">
              <w:rPr>
                <w:lang w:val="es-ES_tradnl"/>
              </w:rPr>
              <w:t>1</w:t>
            </w:r>
          </w:p>
        </w:tc>
        <w:tc>
          <w:tcPr>
            <w:tcW w:w="424" w:type="pct"/>
            <w:tcBorders>
              <w:top w:val="single" w:sz="4" w:space="0" w:color="auto"/>
              <w:left w:val="single" w:sz="4" w:space="0" w:color="auto"/>
              <w:bottom w:val="single" w:sz="4" w:space="0" w:color="auto"/>
              <w:right w:val="single" w:sz="4" w:space="0" w:color="auto"/>
            </w:tcBorders>
          </w:tcPr>
          <w:p w14:paraId="2F110A6A" w14:textId="77777777" w:rsidR="0086339D" w:rsidRPr="0056409E" w:rsidRDefault="0086339D" w:rsidP="00892296">
            <w:pPr>
              <w:pStyle w:val="Tabletext"/>
              <w:jc w:val="center"/>
              <w:rPr>
                <w:lang w:val="es-ES_tradnl"/>
              </w:rPr>
            </w:pPr>
            <w:r w:rsidRPr="0056409E">
              <w:rPr>
                <w:lang w:val="es-ES_tradnl"/>
              </w:rPr>
              <w:t>1</w:t>
            </w:r>
          </w:p>
        </w:tc>
        <w:tc>
          <w:tcPr>
            <w:tcW w:w="424" w:type="pct"/>
            <w:tcBorders>
              <w:top w:val="single" w:sz="4" w:space="0" w:color="auto"/>
              <w:left w:val="single" w:sz="4" w:space="0" w:color="auto"/>
              <w:bottom w:val="single" w:sz="4" w:space="0" w:color="auto"/>
              <w:right w:val="single" w:sz="4" w:space="0" w:color="auto"/>
            </w:tcBorders>
          </w:tcPr>
          <w:p w14:paraId="3BC96072" w14:textId="77777777" w:rsidR="0086339D" w:rsidRPr="0056409E" w:rsidRDefault="0086339D" w:rsidP="00892296">
            <w:pPr>
              <w:pStyle w:val="Tabletext"/>
              <w:jc w:val="center"/>
              <w:rPr>
                <w:lang w:val="es-ES_tradnl"/>
              </w:rPr>
            </w:pPr>
            <w:r w:rsidRPr="0056409E">
              <w:rPr>
                <w:lang w:val="es-ES_tradnl"/>
              </w:rPr>
              <w:t>1</w:t>
            </w:r>
          </w:p>
        </w:tc>
        <w:tc>
          <w:tcPr>
            <w:tcW w:w="420" w:type="pct"/>
            <w:tcBorders>
              <w:top w:val="single" w:sz="4" w:space="0" w:color="auto"/>
              <w:left w:val="single" w:sz="4" w:space="0" w:color="auto"/>
              <w:bottom w:val="single" w:sz="4" w:space="0" w:color="auto"/>
              <w:right w:val="single" w:sz="4" w:space="0" w:color="auto"/>
            </w:tcBorders>
          </w:tcPr>
          <w:p w14:paraId="3785CA62" w14:textId="77777777" w:rsidR="0086339D" w:rsidRPr="0056409E" w:rsidRDefault="0086339D" w:rsidP="00892296">
            <w:pPr>
              <w:pStyle w:val="Tabletext"/>
              <w:jc w:val="center"/>
              <w:rPr>
                <w:lang w:val="es-ES_tradnl"/>
              </w:rPr>
            </w:pPr>
            <w:r w:rsidRPr="0056409E">
              <w:rPr>
                <w:lang w:val="es-ES_tradnl"/>
              </w:rPr>
              <w:t>1</w:t>
            </w:r>
          </w:p>
        </w:tc>
      </w:tr>
      <w:tr w:rsidR="0086339D" w:rsidRPr="0056409E" w14:paraId="48FDE5D2" w14:textId="77777777" w:rsidTr="00F25AD4">
        <w:trPr>
          <w:cantSplit/>
        </w:trPr>
        <w:tc>
          <w:tcPr>
            <w:tcW w:w="1103" w:type="pct"/>
            <w:tcBorders>
              <w:top w:val="single" w:sz="4" w:space="0" w:color="auto"/>
              <w:left w:val="single" w:sz="4" w:space="0" w:color="auto"/>
              <w:bottom w:val="single" w:sz="4" w:space="0" w:color="auto"/>
              <w:right w:val="single" w:sz="4" w:space="0" w:color="auto"/>
            </w:tcBorders>
          </w:tcPr>
          <w:p w14:paraId="1E856105" w14:textId="77777777" w:rsidR="0086339D" w:rsidRPr="0056409E" w:rsidRDefault="0086339D" w:rsidP="00892296">
            <w:pPr>
              <w:pStyle w:val="Tabletext"/>
              <w:rPr>
                <w:iCs/>
                <w:lang w:val="es-ES_tradnl"/>
              </w:rPr>
            </w:pPr>
            <w:r w:rsidRPr="0056409E">
              <w:rPr>
                <w:iCs/>
                <w:lang w:val="es-ES_tradnl"/>
              </w:rPr>
              <w:t>X7W</w:t>
            </w:r>
          </w:p>
        </w:tc>
        <w:tc>
          <w:tcPr>
            <w:tcW w:w="508" w:type="pct"/>
            <w:tcBorders>
              <w:top w:val="single" w:sz="4" w:space="0" w:color="auto"/>
              <w:left w:val="single" w:sz="4" w:space="0" w:color="auto"/>
              <w:bottom w:val="single" w:sz="4" w:space="0" w:color="auto"/>
              <w:right w:val="single" w:sz="4" w:space="0" w:color="auto"/>
            </w:tcBorders>
          </w:tcPr>
          <w:p w14:paraId="7DE7B2B0" w14:textId="77777777" w:rsidR="0086339D" w:rsidRPr="0056409E" w:rsidRDefault="0086339D" w:rsidP="00892296">
            <w:pPr>
              <w:pStyle w:val="Tabletext"/>
              <w:jc w:val="center"/>
              <w:rPr>
                <w:lang w:val="es-ES_tradnl"/>
              </w:rPr>
            </w:pPr>
            <w:r w:rsidRPr="0056409E">
              <w:rPr>
                <w:lang w:val="es-ES_tradnl"/>
              </w:rPr>
              <w:t>1</w:t>
            </w:r>
          </w:p>
        </w:tc>
        <w:tc>
          <w:tcPr>
            <w:tcW w:w="424" w:type="pct"/>
            <w:tcBorders>
              <w:top w:val="single" w:sz="4" w:space="0" w:color="auto"/>
              <w:left w:val="single" w:sz="4" w:space="0" w:color="auto"/>
              <w:bottom w:val="single" w:sz="4" w:space="0" w:color="auto"/>
              <w:right w:val="single" w:sz="4" w:space="0" w:color="auto"/>
            </w:tcBorders>
          </w:tcPr>
          <w:p w14:paraId="3CBEFAC8" w14:textId="77777777" w:rsidR="0086339D" w:rsidRPr="0056409E" w:rsidRDefault="0086339D" w:rsidP="00892296">
            <w:pPr>
              <w:pStyle w:val="Tabletext"/>
              <w:jc w:val="center"/>
              <w:rPr>
                <w:lang w:val="es-ES_tradnl"/>
              </w:rPr>
            </w:pPr>
            <w:r w:rsidRPr="0056409E">
              <w:rPr>
                <w:lang w:val="es-ES_tradnl"/>
              </w:rPr>
              <w:t>1</w:t>
            </w:r>
          </w:p>
        </w:tc>
        <w:tc>
          <w:tcPr>
            <w:tcW w:w="424" w:type="pct"/>
            <w:tcBorders>
              <w:top w:val="single" w:sz="4" w:space="0" w:color="auto"/>
              <w:left w:val="single" w:sz="4" w:space="0" w:color="auto"/>
              <w:bottom w:val="single" w:sz="4" w:space="0" w:color="auto"/>
              <w:right w:val="single" w:sz="4" w:space="0" w:color="auto"/>
            </w:tcBorders>
          </w:tcPr>
          <w:p w14:paraId="05A7936A" w14:textId="77777777" w:rsidR="0086339D" w:rsidRPr="0056409E" w:rsidRDefault="0086339D" w:rsidP="00892296">
            <w:pPr>
              <w:pStyle w:val="Tabletext"/>
              <w:jc w:val="center"/>
              <w:rPr>
                <w:lang w:val="es-ES_tradnl"/>
              </w:rPr>
            </w:pPr>
            <w:r w:rsidRPr="0056409E">
              <w:rPr>
                <w:lang w:val="es-ES_tradnl"/>
              </w:rPr>
              <w:t>1</w:t>
            </w:r>
          </w:p>
        </w:tc>
        <w:tc>
          <w:tcPr>
            <w:tcW w:w="423" w:type="pct"/>
            <w:tcBorders>
              <w:top w:val="single" w:sz="4" w:space="0" w:color="auto"/>
              <w:left w:val="single" w:sz="4" w:space="0" w:color="auto"/>
              <w:bottom w:val="single" w:sz="4" w:space="0" w:color="auto"/>
              <w:right w:val="single" w:sz="4" w:space="0" w:color="auto"/>
            </w:tcBorders>
          </w:tcPr>
          <w:p w14:paraId="08CF0B4C" w14:textId="77777777" w:rsidR="0086339D" w:rsidRPr="0056409E" w:rsidRDefault="0086339D" w:rsidP="00892296">
            <w:pPr>
              <w:pStyle w:val="Tabletext"/>
              <w:jc w:val="center"/>
              <w:rPr>
                <w:lang w:val="es-ES_tradnl"/>
              </w:rPr>
            </w:pPr>
            <w:r w:rsidRPr="0056409E">
              <w:rPr>
                <w:lang w:val="es-ES_tradnl"/>
              </w:rPr>
              <w:t>1</w:t>
            </w:r>
          </w:p>
        </w:tc>
        <w:tc>
          <w:tcPr>
            <w:tcW w:w="424" w:type="pct"/>
            <w:tcBorders>
              <w:top w:val="single" w:sz="4" w:space="0" w:color="auto"/>
              <w:left w:val="single" w:sz="4" w:space="0" w:color="auto"/>
              <w:bottom w:val="single" w:sz="4" w:space="0" w:color="auto"/>
              <w:right w:val="single" w:sz="4" w:space="0" w:color="auto"/>
            </w:tcBorders>
          </w:tcPr>
          <w:p w14:paraId="09F12885" w14:textId="77777777" w:rsidR="0086339D" w:rsidRPr="0056409E" w:rsidRDefault="0086339D" w:rsidP="00892296">
            <w:pPr>
              <w:pStyle w:val="Tabletext"/>
              <w:jc w:val="center"/>
              <w:rPr>
                <w:lang w:val="es-ES_tradnl"/>
              </w:rPr>
            </w:pPr>
            <w:r w:rsidRPr="0056409E">
              <w:rPr>
                <w:lang w:val="es-ES_tradnl"/>
              </w:rPr>
              <w:t>1</w:t>
            </w:r>
          </w:p>
        </w:tc>
        <w:tc>
          <w:tcPr>
            <w:tcW w:w="426" w:type="pct"/>
            <w:tcBorders>
              <w:top w:val="single" w:sz="4" w:space="0" w:color="auto"/>
              <w:left w:val="single" w:sz="4" w:space="0" w:color="auto"/>
              <w:bottom w:val="single" w:sz="4" w:space="0" w:color="auto"/>
              <w:right w:val="single" w:sz="4" w:space="0" w:color="auto"/>
            </w:tcBorders>
          </w:tcPr>
          <w:p w14:paraId="03AC3BDB" w14:textId="77777777" w:rsidR="0086339D" w:rsidRPr="0056409E" w:rsidRDefault="0086339D" w:rsidP="00892296">
            <w:pPr>
              <w:pStyle w:val="Tabletext"/>
              <w:jc w:val="center"/>
              <w:rPr>
                <w:lang w:val="es-ES_tradnl"/>
              </w:rPr>
            </w:pPr>
            <w:r w:rsidRPr="0056409E">
              <w:rPr>
                <w:lang w:val="es-ES_tradnl"/>
              </w:rPr>
              <w:t>1</w:t>
            </w:r>
          </w:p>
        </w:tc>
        <w:tc>
          <w:tcPr>
            <w:tcW w:w="424" w:type="pct"/>
            <w:tcBorders>
              <w:top w:val="single" w:sz="4" w:space="0" w:color="auto"/>
              <w:left w:val="single" w:sz="4" w:space="0" w:color="auto"/>
              <w:bottom w:val="single" w:sz="4" w:space="0" w:color="auto"/>
              <w:right w:val="single" w:sz="4" w:space="0" w:color="auto"/>
            </w:tcBorders>
          </w:tcPr>
          <w:p w14:paraId="0180E341" w14:textId="77777777" w:rsidR="0086339D" w:rsidRPr="0056409E" w:rsidRDefault="0086339D" w:rsidP="00892296">
            <w:pPr>
              <w:pStyle w:val="Tabletext"/>
              <w:jc w:val="center"/>
              <w:rPr>
                <w:lang w:val="es-ES_tradnl"/>
              </w:rPr>
            </w:pPr>
            <w:r w:rsidRPr="0056409E">
              <w:rPr>
                <w:lang w:val="es-ES_tradnl"/>
              </w:rPr>
              <w:t>1</w:t>
            </w:r>
          </w:p>
        </w:tc>
        <w:tc>
          <w:tcPr>
            <w:tcW w:w="424" w:type="pct"/>
            <w:tcBorders>
              <w:top w:val="single" w:sz="4" w:space="0" w:color="auto"/>
              <w:left w:val="single" w:sz="4" w:space="0" w:color="auto"/>
              <w:bottom w:val="single" w:sz="4" w:space="0" w:color="auto"/>
              <w:right w:val="single" w:sz="4" w:space="0" w:color="auto"/>
            </w:tcBorders>
          </w:tcPr>
          <w:p w14:paraId="489AEBE9" w14:textId="77777777" w:rsidR="0086339D" w:rsidRPr="0056409E" w:rsidRDefault="0086339D" w:rsidP="00892296">
            <w:pPr>
              <w:pStyle w:val="Tabletext"/>
              <w:jc w:val="center"/>
              <w:rPr>
                <w:lang w:val="es-ES_tradnl"/>
              </w:rPr>
            </w:pPr>
            <w:r w:rsidRPr="0056409E">
              <w:rPr>
                <w:lang w:val="es-ES_tradnl"/>
              </w:rPr>
              <w:t>1</w:t>
            </w:r>
          </w:p>
        </w:tc>
        <w:tc>
          <w:tcPr>
            <w:tcW w:w="420" w:type="pct"/>
            <w:tcBorders>
              <w:top w:val="single" w:sz="4" w:space="0" w:color="auto"/>
              <w:left w:val="single" w:sz="4" w:space="0" w:color="auto"/>
              <w:bottom w:val="single" w:sz="4" w:space="0" w:color="auto"/>
              <w:right w:val="single" w:sz="4" w:space="0" w:color="auto"/>
            </w:tcBorders>
          </w:tcPr>
          <w:p w14:paraId="7A59256E" w14:textId="77777777" w:rsidR="0086339D" w:rsidRPr="0056409E" w:rsidRDefault="0086339D" w:rsidP="00892296">
            <w:pPr>
              <w:pStyle w:val="Tabletext"/>
              <w:jc w:val="center"/>
              <w:rPr>
                <w:lang w:val="es-ES_tradnl"/>
              </w:rPr>
            </w:pPr>
            <w:r w:rsidRPr="0056409E">
              <w:rPr>
                <w:lang w:val="es-ES_tradnl"/>
              </w:rPr>
              <w:t>1</w:t>
            </w:r>
          </w:p>
        </w:tc>
      </w:tr>
      <w:tr w:rsidR="0086339D" w:rsidRPr="004170F5" w14:paraId="2FFDC868" w14:textId="77777777" w:rsidTr="00892296">
        <w:trPr>
          <w:cantSplit/>
        </w:trPr>
        <w:tc>
          <w:tcPr>
            <w:tcW w:w="5000" w:type="pct"/>
            <w:gridSpan w:val="10"/>
            <w:tcBorders>
              <w:top w:val="single" w:sz="4" w:space="0" w:color="auto"/>
            </w:tcBorders>
          </w:tcPr>
          <w:p w14:paraId="2E729B93" w14:textId="6143A850" w:rsidR="0086339D" w:rsidRPr="0056409E" w:rsidRDefault="0086339D" w:rsidP="00F02707">
            <w:pPr>
              <w:pStyle w:val="Tablelegend"/>
              <w:spacing w:before="100" w:after="20"/>
              <w:ind w:right="0"/>
              <w:rPr>
                <w:lang w:val="es-ES_tradnl"/>
              </w:rPr>
            </w:pPr>
            <w:r w:rsidRPr="0056409E">
              <w:rPr>
                <w:vertAlign w:val="superscript"/>
                <w:lang w:val="es-ES_tradnl"/>
              </w:rPr>
              <w:t>(1)</w:t>
            </w:r>
            <w:r w:rsidRPr="0056409E">
              <w:rPr>
                <w:lang w:val="es-ES_tradnl"/>
              </w:rPr>
              <w:tab/>
              <w:t>Véase en el Cuadro 1 más información sobre el código de 3 símbolos que se utiliza para describir las tres características básicas de un tipo de transmisión.</w:t>
            </w:r>
          </w:p>
          <w:p w14:paraId="7DC7358F" w14:textId="6E491CBB" w:rsidR="0086339D" w:rsidRPr="0056409E" w:rsidRDefault="0086339D" w:rsidP="00F02707">
            <w:pPr>
              <w:pStyle w:val="Tablelegend"/>
              <w:spacing w:before="20"/>
              <w:ind w:left="312" w:right="86"/>
              <w:rPr>
                <w:lang w:val="es-ES_tradnl"/>
              </w:rPr>
            </w:pPr>
            <w:r w:rsidRPr="0056409E">
              <w:rPr>
                <w:vertAlign w:val="superscript"/>
                <w:lang w:val="es-ES_tradnl"/>
              </w:rPr>
              <w:t>(2)</w:t>
            </w:r>
            <w:r w:rsidRPr="0056409E">
              <w:rPr>
                <w:lang w:val="es-ES_tradnl"/>
              </w:rPr>
              <w:tab/>
              <w:t>Un * indica que la segunda característica (es decir, la naturaleza de la señal moduladora) no es relevante para el examen de los peligros.</w:t>
            </w:r>
          </w:p>
          <w:p w14:paraId="5E5EA303" w14:textId="77777777" w:rsidR="0086339D" w:rsidRPr="0056409E" w:rsidRDefault="0086339D" w:rsidP="00892296">
            <w:pPr>
              <w:pStyle w:val="Tablelegend"/>
              <w:spacing w:before="20"/>
              <w:ind w:left="312"/>
              <w:rPr>
                <w:lang w:val="es-ES_tradnl"/>
              </w:rPr>
            </w:pPr>
            <w:r w:rsidRPr="0056409E">
              <w:rPr>
                <w:vertAlign w:val="superscript"/>
                <w:lang w:val="es-ES_tradnl"/>
              </w:rPr>
              <w:t>(3)</w:t>
            </w:r>
            <w:r w:rsidRPr="0056409E">
              <w:rPr>
                <w:lang w:val="es-ES_tradnl"/>
              </w:rPr>
              <w:tab/>
              <w:t xml:space="preserve">La potencia de portadora, </w:t>
            </w:r>
            <w:r w:rsidRPr="0056409E">
              <w:rPr>
                <w:i/>
                <w:iCs/>
                <w:lang w:val="es-ES_tradnl"/>
              </w:rPr>
              <w:t>P</w:t>
            </w:r>
            <w:r w:rsidRPr="0056409E">
              <w:rPr>
                <w:i/>
                <w:iCs/>
                <w:vertAlign w:val="subscript"/>
                <w:lang w:val="es-ES_tradnl"/>
              </w:rPr>
              <w:t>c</w:t>
            </w:r>
            <w:r w:rsidRPr="0056409E">
              <w:rPr>
                <w:lang w:val="es-ES_tradnl"/>
              </w:rPr>
              <w:t>, no está claramente definida.</w:t>
            </w:r>
          </w:p>
          <w:p w14:paraId="6FA091DD" w14:textId="107DE465" w:rsidR="0086339D" w:rsidRPr="0056409E" w:rsidRDefault="0086339D" w:rsidP="00892296">
            <w:pPr>
              <w:pStyle w:val="Tablelegend"/>
              <w:spacing w:before="20"/>
              <w:ind w:left="312"/>
              <w:rPr>
                <w:lang w:val="es-ES_tradnl"/>
              </w:rPr>
            </w:pPr>
            <w:r w:rsidRPr="0056409E">
              <w:rPr>
                <w:vertAlign w:val="superscript"/>
                <w:lang w:val="es-ES_tradnl"/>
              </w:rPr>
              <w:t>(4)</w:t>
            </w:r>
            <w:r w:rsidRPr="0056409E">
              <w:rPr>
                <w:lang w:val="es-ES_tradnl"/>
              </w:rPr>
              <w:tab/>
              <w:t>La tercera característica no es relevante para el examen de los peligros.</w:t>
            </w:r>
          </w:p>
          <w:p w14:paraId="7E08BB13" w14:textId="77777777" w:rsidR="0086339D" w:rsidRPr="0056409E" w:rsidRDefault="0086339D" w:rsidP="00892296">
            <w:pPr>
              <w:pStyle w:val="Tablelegend"/>
              <w:spacing w:before="20"/>
              <w:ind w:left="-57" w:right="-57" w:firstLine="0"/>
              <w:rPr>
                <w:lang w:val="es-ES_tradnl"/>
              </w:rPr>
            </w:pPr>
            <w:r w:rsidRPr="0056409E">
              <w:rPr>
                <w:lang w:val="es-ES_tradnl"/>
              </w:rPr>
              <w:t xml:space="preserve">Estos factores se dan para X7E, X7F and X7W </w:t>
            </w:r>
            <w:r w:rsidRPr="0056409E">
              <w:rPr>
                <w:i/>
                <w:iCs/>
                <w:lang w:val="es-ES_tradnl"/>
              </w:rPr>
              <w:t>cuando</w:t>
            </w:r>
            <w:r w:rsidRPr="0056409E">
              <w:rPr>
                <w:lang w:val="es-ES_tradnl"/>
              </w:rPr>
              <w:t xml:space="preserve"> </w:t>
            </w:r>
            <w:r>
              <w:rPr>
                <w:lang w:val="es-ES_tradnl"/>
              </w:rPr>
              <w:t xml:space="preserve">las mediciones se llevan a cabo </w:t>
            </w:r>
            <w:r w:rsidRPr="0056409E">
              <w:rPr>
                <w:lang w:val="es-ES_tradnl"/>
              </w:rPr>
              <w:t>en toda la potencia del canal (por ejemplo, 1,5 MHz para DAB y 8 MHz para DVB).</w:t>
            </w:r>
          </w:p>
        </w:tc>
      </w:tr>
    </w:tbl>
    <w:p w14:paraId="35FE050A" w14:textId="77777777" w:rsidR="0086339D" w:rsidRPr="0056409E" w:rsidRDefault="0086339D" w:rsidP="0086339D">
      <w:pPr>
        <w:pStyle w:val="Tablefin"/>
        <w:rPr>
          <w:sz w:val="2"/>
          <w:lang w:val="es-ES_tradnl"/>
        </w:rPr>
      </w:pPr>
    </w:p>
    <w:p w14:paraId="6D142081" w14:textId="77777777" w:rsidR="0086339D" w:rsidRPr="0056409E" w:rsidRDefault="0086339D" w:rsidP="0086339D">
      <w:pPr>
        <w:pStyle w:val="Tablefin"/>
        <w:rPr>
          <w:lang w:val="es-ES_tradnl"/>
        </w:rPr>
      </w:pPr>
    </w:p>
    <w:p w14:paraId="382FE6D4" w14:textId="77777777" w:rsidR="0086339D" w:rsidRPr="0056409E" w:rsidRDefault="0086339D" w:rsidP="0086339D">
      <w:pPr>
        <w:pStyle w:val="TableNo"/>
        <w:rPr>
          <w:lang w:val="es-ES_tradnl"/>
        </w:rPr>
      </w:pPr>
      <w:r w:rsidRPr="0056409E">
        <w:rPr>
          <w:lang w:val="es-ES_tradnl"/>
        </w:rPr>
        <w:t xml:space="preserve">CUADRO  </w:t>
      </w:r>
      <w:r w:rsidRPr="0056409E">
        <w:rPr>
          <w:bCs/>
          <w:lang w:val="es-ES_tradnl"/>
        </w:rPr>
        <w:t>5</w:t>
      </w:r>
    </w:p>
    <w:p w14:paraId="20B7377F" w14:textId="77777777" w:rsidR="0086339D" w:rsidRPr="0056409E" w:rsidRDefault="0086339D" w:rsidP="0086339D">
      <w:pPr>
        <w:pStyle w:val="Tabletitle"/>
        <w:rPr>
          <w:lang w:val="es-ES_tradnl"/>
        </w:rPr>
      </w:pPr>
      <w:r w:rsidRPr="0056409E">
        <w:rPr>
          <w:lang w:val="es-ES_tradnl"/>
        </w:rPr>
        <w:t>Relación entre ciertas notaciones de intensidad de campo y notaciones de potencia</w:t>
      </w:r>
    </w:p>
    <w:tbl>
      <w:tblPr>
        <w:tblW w:w="9639" w:type="dxa"/>
        <w:tblLayout w:type="fixed"/>
        <w:tblLook w:val="0000" w:firstRow="0" w:lastRow="0" w:firstColumn="0" w:lastColumn="0" w:noHBand="0" w:noVBand="0"/>
      </w:tblPr>
      <w:tblGrid>
        <w:gridCol w:w="5100"/>
        <w:gridCol w:w="4539"/>
      </w:tblGrid>
      <w:tr w:rsidR="0086339D" w:rsidRPr="004170F5" w14:paraId="25A1B0AC" w14:textId="77777777" w:rsidTr="00664AF6">
        <w:tc>
          <w:tcPr>
            <w:tcW w:w="5100" w:type="dxa"/>
            <w:tcBorders>
              <w:top w:val="single" w:sz="2" w:space="0" w:color="auto"/>
              <w:left w:val="single" w:sz="2" w:space="0" w:color="auto"/>
              <w:bottom w:val="single" w:sz="2" w:space="0" w:color="auto"/>
              <w:right w:val="single" w:sz="2" w:space="0" w:color="auto"/>
            </w:tcBorders>
          </w:tcPr>
          <w:p w14:paraId="2FD8CCDE" w14:textId="77777777" w:rsidR="0086339D" w:rsidRPr="0056409E" w:rsidRDefault="0086339D" w:rsidP="00892296">
            <w:pPr>
              <w:pStyle w:val="Tablehead"/>
              <w:rPr>
                <w:lang w:val="es-ES_tradnl"/>
              </w:rPr>
            </w:pPr>
            <w:r w:rsidRPr="0056409E">
              <w:rPr>
                <w:lang w:val="es-ES_tradnl"/>
              </w:rPr>
              <w:t>Para calcular</w:t>
            </w:r>
          </w:p>
        </w:tc>
        <w:tc>
          <w:tcPr>
            <w:tcW w:w="4539" w:type="dxa"/>
            <w:tcBorders>
              <w:top w:val="single" w:sz="2" w:space="0" w:color="auto"/>
              <w:left w:val="single" w:sz="2" w:space="0" w:color="auto"/>
              <w:bottom w:val="single" w:sz="2" w:space="0" w:color="auto"/>
              <w:right w:val="single" w:sz="2" w:space="0" w:color="auto"/>
            </w:tcBorders>
          </w:tcPr>
          <w:p w14:paraId="2B38304C" w14:textId="77777777" w:rsidR="0086339D" w:rsidRPr="0056409E" w:rsidRDefault="0086339D" w:rsidP="00892296">
            <w:pPr>
              <w:pStyle w:val="Tablehead"/>
              <w:rPr>
                <w:lang w:val="es-ES_tradnl"/>
              </w:rPr>
            </w:pPr>
            <w:r w:rsidRPr="0056409E">
              <w:rPr>
                <w:lang w:val="es-ES_tradnl"/>
              </w:rPr>
              <w:t>Utilícese la potencia expresada como</w:t>
            </w:r>
          </w:p>
        </w:tc>
      </w:tr>
      <w:tr w:rsidR="0086339D" w:rsidRPr="004170F5" w14:paraId="4971EF91" w14:textId="77777777" w:rsidTr="00664AF6">
        <w:tc>
          <w:tcPr>
            <w:tcW w:w="5100" w:type="dxa"/>
            <w:tcBorders>
              <w:top w:val="single" w:sz="2" w:space="0" w:color="auto"/>
              <w:left w:val="single" w:sz="2" w:space="0" w:color="auto"/>
              <w:bottom w:val="single" w:sz="2" w:space="0" w:color="auto"/>
              <w:right w:val="single" w:sz="2" w:space="0" w:color="auto"/>
            </w:tcBorders>
          </w:tcPr>
          <w:p w14:paraId="470380E3" w14:textId="77777777" w:rsidR="0086339D" w:rsidRPr="0056409E" w:rsidRDefault="0086339D" w:rsidP="00664AF6">
            <w:pPr>
              <w:pStyle w:val="Tabletext"/>
              <w:jc w:val="left"/>
              <w:rPr>
                <w:lang w:val="es-ES_tradnl"/>
              </w:rPr>
            </w:pPr>
            <w:r w:rsidRPr="0056409E">
              <w:rPr>
                <w:lang w:val="es-ES_tradnl"/>
              </w:rPr>
              <w:t>El valor eficaz de la intensidad de campo equivalente</w:t>
            </w:r>
          </w:p>
        </w:tc>
        <w:tc>
          <w:tcPr>
            <w:tcW w:w="4539" w:type="dxa"/>
            <w:tcBorders>
              <w:top w:val="single" w:sz="2" w:space="0" w:color="auto"/>
              <w:left w:val="single" w:sz="2" w:space="0" w:color="auto"/>
              <w:bottom w:val="single" w:sz="2" w:space="0" w:color="auto"/>
              <w:right w:val="single" w:sz="2" w:space="0" w:color="auto"/>
            </w:tcBorders>
          </w:tcPr>
          <w:p w14:paraId="6C746C77" w14:textId="77777777" w:rsidR="0086339D" w:rsidRPr="0056409E" w:rsidRDefault="0086339D" w:rsidP="00892296">
            <w:pPr>
              <w:pStyle w:val="Tabletext"/>
              <w:rPr>
                <w:i/>
                <w:position w:val="-6"/>
                <w:lang w:val="es-ES_tradnl"/>
              </w:rPr>
            </w:pPr>
            <w:r w:rsidRPr="0056409E">
              <w:rPr>
                <w:lang w:val="es-ES_tradnl"/>
              </w:rPr>
              <w:t xml:space="preserve">Potencia media del transmisor, </w:t>
            </w:r>
            <w:r w:rsidRPr="0056409E">
              <w:rPr>
                <w:i/>
                <w:lang w:val="es-ES_tradnl"/>
              </w:rPr>
              <w:t>P</w:t>
            </w:r>
            <w:r w:rsidRPr="0056409E">
              <w:rPr>
                <w:i/>
                <w:iCs/>
                <w:vertAlign w:val="subscript"/>
                <w:lang w:val="es-ES_tradnl"/>
              </w:rPr>
              <w:t>m</w:t>
            </w:r>
          </w:p>
        </w:tc>
      </w:tr>
      <w:tr w:rsidR="0086339D" w:rsidRPr="0056409E" w14:paraId="110C1903" w14:textId="77777777" w:rsidTr="00664AF6">
        <w:tc>
          <w:tcPr>
            <w:tcW w:w="5100" w:type="dxa"/>
            <w:tcBorders>
              <w:top w:val="single" w:sz="2" w:space="0" w:color="auto"/>
              <w:left w:val="single" w:sz="2" w:space="0" w:color="auto"/>
              <w:bottom w:val="single" w:sz="2" w:space="0" w:color="auto"/>
              <w:right w:val="single" w:sz="2" w:space="0" w:color="auto"/>
            </w:tcBorders>
          </w:tcPr>
          <w:p w14:paraId="33005B87" w14:textId="77777777" w:rsidR="0086339D" w:rsidRPr="0056409E" w:rsidRDefault="0086339D" w:rsidP="00664AF6">
            <w:pPr>
              <w:pStyle w:val="Tabletext"/>
              <w:jc w:val="left"/>
              <w:rPr>
                <w:lang w:val="es-ES_tradnl"/>
              </w:rPr>
            </w:pPr>
            <w:r w:rsidRPr="0056409E">
              <w:rPr>
                <w:lang w:val="es-ES_tradnl"/>
              </w:rPr>
              <w:t>El valor medio de la intensidad de campo equivalente que se produce durante un periodo de oscilación de RF de cresta</w:t>
            </w:r>
          </w:p>
        </w:tc>
        <w:tc>
          <w:tcPr>
            <w:tcW w:w="4539" w:type="dxa"/>
            <w:tcBorders>
              <w:top w:val="single" w:sz="2" w:space="0" w:color="auto"/>
              <w:left w:val="single" w:sz="2" w:space="0" w:color="auto"/>
              <w:bottom w:val="single" w:sz="2" w:space="0" w:color="auto"/>
              <w:right w:val="single" w:sz="2" w:space="0" w:color="auto"/>
            </w:tcBorders>
          </w:tcPr>
          <w:p w14:paraId="2FC41952" w14:textId="77777777" w:rsidR="0086339D" w:rsidRPr="0056409E" w:rsidRDefault="0086339D" w:rsidP="00892296">
            <w:pPr>
              <w:pStyle w:val="Tabletext"/>
              <w:rPr>
                <w:i/>
                <w:position w:val="-6"/>
                <w:lang w:val="es-ES_tradnl"/>
              </w:rPr>
            </w:pPr>
            <w:r w:rsidRPr="0056409E">
              <w:rPr>
                <w:lang w:val="es-ES_tradnl"/>
              </w:rPr>
              <w:t xml:space="preserve">Potencia de cresta, </w:t>
            </w:r>
            <w:r w:rsidRPr="0056409E">
              <w:rPr>
                <w:i/>
                <w:lang w:val="es-ES_tradnl"/>
              </w:rPr>
              <w:t>P</w:t>
            </w:r>
            <w:r w:rsidRPr="0056409E">
              <w:rPr>
                <w:i/>
                <w:iCs/>
                <w:vertAlign w:val="subscript"/>
                <w:lang w:val="es-ES_tradnl"/>
              </w:rPr>
              <w:t>p</w:t>
            </w:r>
          </w:p>
        </w:tc>
      </w:tr>
      <w:tr w:rsidR="0086339D" w:rsidRPr="0056409E" w14:paraId="008EE92E" w14:textId="77777777" w:rsidTr="00664AF6">
        <w:tc>
          <w:tcPr>
            <w:tcW w:w="5100" w:type="dxa"/>
            <w:tcBorders>
              <w:top w:val="single" w:sz="2" w:space="0" w:color="auto"/>
              <w:left w:val="single" w:sz="2" w:space="0" w:color="auto"/>
              <w:bottom w:val="single" w:sz="4" w:space="0" w:color="auto"/>
              <w:right w:val="single" w:sz="2" w:space="0" w:color="auto"/>
            </w:tcBorders>
          </w:tcPr>
          <w:p w14:paraId="182840BD" w14:textId="77777777" w:rsidR="0086339D" w:rsidRPr="0056409E" w:rsidRDefault="0086339D" w:rsidP="00664AF6">
            <w:pPr>
              <w:pStyle w:val="Tabletext"/>
              <w:jc w:val="left"/>
              <w:rPr>
                <w:lang w:val="es-ES_tradnl"/>
              </w:rPr>
            </w:pPr>
            <w:r w:rsidRPr="0056409E">
              <w:rPr>
                <w:lang w:val="es-ES_tradnl"/>
              </w:rPr>
              <w:t>El valor de cresta (máximo) de la intensidad de campo equivalente</w:t>
            </w:r>
          </w:p>
        </w:tc>
        <w:tc>
          <w:tcPr>
            <w:tcW w:w="4539" w:type="dxa"/>
            <w:tcBorders>
              <w:top w:val="single" w:sz="2" w:space="0" w:color="auto"/>
              <w:left w:val="single" w:sz="2" w:space="0" w:color="auto"/>
              <w:bottom w:val="single" w:sz="4" w:space="0" w:color="auto"/>
              <w:right w:val="single" w:sz="2" w:space="0" w:color="auto"/>
            </w:tcBorders>
          </w:tcPr>
          <w:p w14:paraId="5B48526C" w14:textId="77777777" w:rsidR="0086339D" w:rsidRPr="0056409E" w:rsidRDefault="0086339D" w:rsidP="00892296">
            <w:pPr>
              <w:pStyle w:val="Tabletext"/>
              <w:rPr>
                <w:i/>
                <w:position w:val="-6"/>
                <w:lang w:val="es-ES_tradnl"/>
              </w:rPr>
            </w:pPr>
            <w:r w:rsidRPr="0056409E">
              <w:rPr>
                <w:lang w:val="es-ES_tradnl"/>
              </w:rPr>
              <w:t xml:space="preserve">Potencia de cresta, </w:t>
            </w:r>
            <w:r w:rsidRPr="0056409E">
              <w:rPr>
                <w:i/>
                <w:iCs/>
                <w:lang w:val="es-ES_tradnl"/>
              </w:rPr>
              <w:t>P</w:t>
            </w:r>
            <w:r w:rsidRPr="0056409E">
              <w:rPr>
                <w:i/>
                <w:iCs/>
                <w:vertAlign w:val="subscript"/>
                <w:lang w:val="es-ES_tradnl"/>
              </w:rPr>
              <w:t>p</w:t>
            </w:r>
            <w:r w:rsidRPr="0056409E">
              <w:rPr>
                <w:vertAlign w:val="superscript"/>
                <w:lang w:val="es-ES_tradnl"/>
              </w:rPr>
              <w:t>(1)</w:t>
            </w:r>
          </w:p>
        </w:tc>
      </w:tr>
      <w:tr w:rsidR="0086339D" w:rsidRPr="004170F5" w14:paraId="251E538A" w14:textId="77777777" w:rsidTr="00892296">
        <w:tc>
          <w:tcPr>
            <w:tcW w:w="9639" w:type="dxa"/>
            <w:gridSpan w:val="2"/>
            <w:tcBorders>
              <w:top w:val="single" w:sz="4" w:space="0" w:color="auto"/>
            </w:tcBorders>
          </w:tcPr>
          <w:p w14:paraId="05944B6D" w14:textId="77777777" w:rsidR="0086339D" w:rsidRPr="0056409E" w:rsidRDefault="0086339D" w:rsidP="00892296">
            <w:pPr>
              <w:pStyle w:val="Tablelegend"/>
              <w:rPr>
                <w:lang w:val="es-ES_tradnl"/>
              </w:rPr>
            </w:pPr>
            <w:r w:rsidRPr="0056409E">
              <w:rPr>
                <w:vertAlign w:val="superscript"/>
                <w:lang w:val="es-ES_tradnl"/>
              </w:rPr>
              <w:t>(1)</w:t>
            </w:r>
            <w:r w:rsidRPr="0056409E">
              <w:rPr>
                <w:lang w:val="es-ES_tradnl"/>
              </w:rPr>
              <w:tab/>
              <w:t xml:space="preserve">El valor de cresta de la intensidad de campo equivalente se determina a partir de la potencia de cresta, </w:t>
            </w:r>
            <w:r w:rsidRPr="0056409E">
              <w:rPr>
                <w:i/>
                <w:iCs/>
                <w:lang w:val="es-ES_tradnl"/>
              </w:rPr>
              <w:t>P</w:t>
            </w:r>
            <w:r w:rsidRPr="0056409E">
              <w:rPr>
                <w:i/>
                <w:iCs/>
                <w:vertAlign w:val="subscript"/>
                <w:lang w:val="es-ES_tradnl"/>
              </w:rPr>
              <w:t>p</w:t>
            </w:r>
            <w:r w:rsidRPr="0056409E">
              <w:rPr>
                <w:lang w:val="es-ES_tradnl"/>
              </w:rPr>
              <w:t>, utilizando el factor de corrección valor de cresta/valor eficaz. Este factor es 21/2 en el caso de una portadora sinusoidal.</w:t>
            </w:r>
          </w:p>
        </w:tc>
      </w:tr>
    </w:tbl>
    <w:p w14:paraId="485F0B13" w14:textId="77777777" w:rsidR="009F7E54" w:rsidRPr="008930B6" w:rsidRDefault="009F7E54" w:rsidP="009F7E54">
      <w:pPr>
        <w:pStyle w:val="Tablefin"/>
        <w:rPr>
          <w:lang w:val="es-ES"/>
        </w:rPr>
      </w:pPr>
      <w:bookmarkStart w:id="717" w:name="_Toc65546364"/>
    </w:p>
    <w:p w14:paraId="14ABF89F" w14:textId="3AD686CD" w:rsidR="0086339D" w:rsidRPr="0056409E" w:rsidRDefault="0086339D" w:rsidP="00532C3F">
      <w:pPr>
        <w:pStyle w:val="AnnexNoTitle"/>
        <w:rPr>
          <w:lang w:val="es-ES_tradnl"/>
        </w:rPr>
      </w:pPr>
      <w:bookmarkStart w:id="718" w:name="_Toc162444618"/>
      <w:bookmarkStart w:id="719" w:name="_Toc162518226"/>
      <w:bookmarkStart w:id="720" w:name="_Toc162518749"/>
      <w:r w:rsidRPr="0056409E">
        <w:rPr>
          <w:lang w:val="es-ES_tradnl"/>
        </w:rPr>
        <w:lastRenderedPageBreak/>
        <w:t>Adjunto 5</w:t>
      </w:r>
      <w:r w:rsidRPr="0056409E">
        <w:rPr>
          <w:lang w:val="es-ES_tradnl"/>
        </w:rPr>
        <w:br/>
        <w:t>al Anexo 1</w:t>
      </w:r>
      <w:r w:rsidRPr="0056409E">
        <w:rPr>
          <w:lang w:val="es-ES_tradnl"/>
        </w:rPr>
        <w:br/>
      </w:r>
      <w:r w:rsidRPr="0056409E">
        <w:rPr>
          <w:lang w:val="es-ES_tradnl"/>
        </w:rPr>
        <w:br/>
      </w:r>
      <w:r>
        <w:rPr>
          <w:lang w:val="es-ES_tradnl"/>
        </w:rPr>
        <w:t>M</w:t>
      </w:r>
      <w:r w:rsidRPr="0056409E">
        <w:rPr>
          <w:lang w:val="es-ES_tradnl"/>
        </w:rPr>
        <w:t>étodos de evaluación adicional</w:t>
      </w:r>
      <w:bookmarkEnd w:id="717"/>
      <w:r>
        <w:rPr>
          <w:lang w:val="es-ES_tradnl"/>
        </w:rPr>
        <w:t>es</w:t>
      </w:r>
      <w:bookmarkEnd w:id="718"/>
      <w:bookmarkEnd w:id="719"/>
      <w:bookmarkEnd w:id="720"/>
    </w:p>
    <w:p w14:paraId="246DA0F6" w14:textId="77777777" w:rsidR="0086339D" w:rsidRPr="0056409E" w:rsidRDefault="0086339D" w:rsidP="0086339D">
      <w:pPr>
        <w:pStyle w:val="Heading1"/>
        <w:rPr>
          <w:lang w:val="es-ES_tradnl"/>
        </w:rPr>
      </w:pPr>
      <w:bookmarkStart w:id="721" w:name="_Toc129786061"/>
      <w:bookmarkStart w:id="722" w:name="_Toc133400717"/>
      <w:bookmarkStart w:id="723" w:name="_Toc162005944"/>
      <w:bookmarkStart w:id="724" w:name="_Toc162006272"/>
      <w:bookmarkStart w:id="725" w:name="_Toc162444619"/>
      <w:bookmarkStart w:id="726" w:name="_Hlk111220311"/>
      <w:bookmarkStart w:id="727" w:name="_Toc65546053"/>
      <w:bookmarkStart w:id="728" w:name="_Toc65546235"/>
      <w:bookmarkStart w:id="729" w:name="_Toc65546365"/>
      <w:bookmarkStart w:id="730" w:name="_Toc86461584"/>
      <w:bookmarkStart w:id="731" w:name="_Toc162518227"/>
      <w:bookmarkStart w:id="732" w:name="_Toc162518750"/>
      <w:r w:rsidRPr="0056409E">
        <w:rPr>
          <w:lang w:val="es-ES_tradnl"/>
        </w:rPr>
        <w:t>1</w:t>
      </w:r>
      <w:r w:rsidRPr="0056409E">
        <w:rPr>
          <w:lang w:val="es-ES_tradnl"/>
        </w:rPr>
        <w:tab/>
      </w:r>
      <w:bookmarkEnd w:id="721"/>
      <w:bookmarkEnd w:id="722"/>
      <w:r w:rsidRPr="0056409E">
        <w:rPr>
          <w:lang w:val="es-ES_tradnl"/>
        </w:rPr>
        <w:t>Procedimientos numéricos</w:t>
      </w:r>
      <w:bookmarkEnd w:id="723"/>
      <w:bookmarkEnd w:id="724"/>
      <w:bookmarkEnd w:id="725"/>
      <w:bookmarkEnd w:id="731"/>
      <w:bookmarkEnd w:id="732"/>
    </w:p>
    <w:bookmarkEnd w:id="726"/>
    <w:p w14:paraId="1CC4D5DC" w14:textId="77777777" w:rsidR="0086339D" w:rsidRPr="0056409E" w:rsidRDefault="0086339D" w:rsidP="0086339D">
      <w:pPr>
        <w:rPr>
          <w:szCs w:val="24"/>
          <w:lang w:val="es-ES_tradnl"/>
        </w:rPr>
      </w:pPr>
      <w:r w:rsidRPr="0056409E">
        <w:rPr>
          <w:szCs w:val="24"/>
          <w:lang w:val="es-ES_tradnl"/>
        </w:rPr>
        <w:t>En esta sección se resumen brevemente diversos métodos numéricos. Obsérvese que, en la Recomendación UIT-T K.61, también se abordan estos métodos. Existen algunos programas comerciales disponibles, por ejemplo, CST, HFSS y WIPL-D.</w:t>
      </w:r>
    </w:p>
    <w:p w14:paraId="464D2041" w14:textId="77777777" w:rsidR="0086339D" w:rsidRPr="0056409E" w:rsidRDefault="0086339D" w:rsidP="0086339D">
      <w:pPr>
        <w:rPr>
          <w:lang w:val="es-ES_tradnl"/>
        </w:rPr>
      </w:pPr>
      <w:r w:rsidRPr="0056409E">
        <w:rPr>
          <w:lang w:val="es-ES_tradnl"/>
        </w:rPr>
        <w:t>Los procedimientos analíticos sólo pueden utilizarse para calcular las propiedades electro</w:t>
      </w:r>
      <w:r w:rsidRPr="0056409E">
        <w:rPr>
          <w:lang w:val="es-ES_tradnl"/>
        </w:rPr>
        <w:softHyphen/>
        <w:t>magnéticas en algunos casos y con geometrías especiales. A fin de resolver problemas generales, deben aplicarse técnicas numéricas. A continuación se indican los procedimientos numé</w:t>
      </w:r>
      <w:r w:rsidRPr="0056409E">
        <w:rPr>
          <w:lang w:val="es-ES_tradnl"/>
        </w:rPr>
        <w:softHyphen/>
        <w:t>ricos más comunes para calcular el CEM de una fuente de transmisión o los campos internos y la tasa de absorción específica en cuerpos biológicos. Las técnicas numéricas más adecuadas para resolver un cierto problema dependen de la gama de frecuencias considerada, de las estructuras geométricas que deben modelarse y del tipo de situación de exposición (campo cercano o campo lejano).</w:t>
      </w:r>
    </w:p>
    <w:p w14:paraId="17DB3475" w14:textId="0A07D09A" w:rsidR="0086339D" w:rsidRPr="0056409E" w:rsidRDefault="0086339D" w:rsidP="0086339D">
      <w:pPr>
        <w:rPr>
          <w:lang w:val="es-ES_tradnl"/>
        </w:rPr>
      </w:pPr>
      <w:r w:rsidRPr="0056409E">
        <w:rPr>
          <w:lang w:val="es-ES_tradnl"/>
        </w:rPr>
        <w:t>A continuación se indican algunos métodos habituales de modelización numérica:</w:t>
      </w:r>
    </w:p>
    <w:p w14:paraId="4F7833FC" w14:textId="77777777" w:rsidR="0086339D" w:rsidRPr="0056409E" w:rsidRDefault="0086339D" w:rsidP="0086339D">
      <w:pPr>
        <w:pStyle w:val="enumlev1"/>
        <w:rPr>
          <w:lang w:val="es-ES_tradnl"/>
        </w:rPr>
      </w:pPr>
      <w:r w:rsidRPr="0056409E">
        <w:rPr>
          <w:lang w:val="es-ES_tradnl"/>
        </w:rPr>
        <w:t>–</w:t>
      </w:r>
      <w:r w:rsidRPr="0056409E">
        <w:rPr>
          <w:lang w:val="es-ES_tradnl"/>
        </w:rPr>
        <w:tab/>
        <w:t xml:space="preserve">Óptica física (PO, </w:t>
      </w:r>
      <w:r w:rsidRPr="0056409E">
        <w:rPr>
          <w:i/>
          <w:iCs/>
          <w:lang w:val="es-ES_tradnl"/>
        </w:rPr>
        <w:t>physical optics</w:t>
      </w:r>
      <w:r w:rsidRPr="0056409E">
        <w:rPr>
          <w:lang w:val="es-ES_tradnl"/>
        </w:rPr>
        <w:t>)</w:t>
      </w:r>
    </w:p>
    <w:p w14:paraId="516F2F53" w14:textId="77777777" w:rsidR="0086339D" w:rsidRPr="0056409E" w:rsidRDefault="0086339D" w:rsidP="0086339D">
      <w:pPr>
        <w:pStyle w:val="enumlev1"/>
        <w:rPr>
          <w:lang w:val="es-ES_tradnl"/>
        </w:rPr>
      </w:pPr>
      <w:r w:rsidRPr="0056409E">
        <w:rPr>
          <w:lang w:val="es-ES_tradnl"/>
        </w:rPr>
        <w:t>–</w:t>
      </w:r>
      <w:r w:rsidRPr="0056409E">
        <w:rPr>
          <w:lang w:val="es-ES_tradnl"/>
        </w:rPr>
        <w:tab/>
        <w:t xml:space="preserve">Teoría física de la difracción (PTD, </w:t>
      </w:r>
      <w:r w:rsidRPr="0056409E">
        <w:rPr>
          <w:i/>
          <w:iCs/>
          <w:lang w:val="es-ES_tradnl"/>
        </w:rPr>
        <w:t>physical theory of diffraction</w:t>
      </w:r>
      <w:r w:rsidRPr="0056409E">
        <w:rPr>
          <w:lang w:val="es-ES_tradnl"/>
        </w:rPr>
        <w:t>)</w:t>
      </w:r>
    </w:p>
    <w:p w14:paraId="317768C2" w14:textId="77777777" w:rsidR="0086339D" w:rsidRPr="0056409E" w:rsidRDefault="0086339D" w:rsidP="0086339D">
      <w:pPr>
        <w:pStyle w:val="enumlev1"/>
        <w:rPr>
          <w:lang w:val="es-ES_tradnl"/>
        </w:rPr>
      </w:pPr>
      <w:r w:rsidRPr="0056409E">
        <w:rPr>
          <w:lang w:val="es-ES_tradnl"/>
        </w:rPr>
        <w:t>–</w:t>
      </w:r>
      <w:r w:rsidRPr="0056409E">
        <w:rPr>
          <w:lang w:val="es-ES_tradnl"/>
        </w:rPr>
        <w:tab/>
        <w:t xml:space="preserve">Óptica geométrica (GO, </w:t>
      </w:r>
      <w:r w:rsidRPr="0056409E">
        <w:rPr>
          <w:i/>
          <w:iCs/>
          <w:lang w:val="es-ES_tradnl"/>
        </w:rPr>
        <w:t>geometrical optics</w:t>
      </w:r>
      <w:r w:rsidRPr="0056409E">
        <w:rPr>
          <w:lang w:val="es-ES_tradnl"/>
        </w:rPr>
        <w:t>)</w:t>
      </w:r>
    </w:p>
    <w:p w14:paraId="4CFA99A4" w14:textId="77777777" w:rsidR="0086339D" w:rsidRPr="0056409E" w:rsidRDefault="0086339D" w:rsidP="0086339D">
      <w:pPr>
        <w:pStyle w:val="enumlev1"/>
        <w:rPr>
          <w:lang w:val="es-ES_tradnl"/>
        </w:rPr>
      </w:pPr>
      <w:r w:rsidRPr="0056409E">
        <w:rPr>
          <w:lang w:val="es-ES_tradnl"/>
        </w:rPr>
        <w:t>–</w:t>
      </w:r>
      <w:r w:rsidRPr="0056409E">
        <w:rPr>
          <w:lang w:val="es-ES_tradnl"/>
        </w:rPr>
        <w:tab/>
        <w:t xml:space="preserve">Teoría geométrica de la difracción (GTD, </w:t>
      </w:r>
      <w:r w:rsidRPr="0056409E">
        <w:rPr>
          <w:i/>
          <w:iCs/>
          <w:lang w:val="es-ES_tradnl"/>
        </w:rPr>
        <w:t>geometrical theory of diffraction</w:t>
      </w:r>
      <w:r w:rsidRPr="0056409E">
        <w:rPr>
          <w:lang w:val="es-ES_tradnl"/>
        </w:rPr>
        <w:t>)</w:t>
      </w:r>
    </w:p>
    <w:p w14:paraId="44E50723" w14:textId="77777777" w:rsidR="0086339D" w:rsidRPr="0056409E" w:rsidRDefault="0086339D" w:rsidP="0086339D">
      <w:pPr>
        <w:pStyle w:val="enumlev1"/>
        <w:rPr>
          <w:lang w:val="es-ES_tradnl"/>
        </w:rPr>
      </w:pPr>
      <w:r w:rsidRPr="0056409E">
        <w:rPr>
          <w:lang w:val="es-ES_tradnl"/>
        </w:rPr>
        <w:t>–</w:t>
      </w:r>
      <w:r w:rsidRPr="0056409E">
        <w:rPr>
          <w:lang w:val="es-ES_tradnl"/>
        </w:rPr>
        <w:tab/>
        <w:t xml:space="preserve">Teoría uniforme de la difracción (UTD, </w:t>
      </w:r>
      <w:r w:rsidRPr="0056409E">
        <w:rPr>
          <w:i/>
          <w:iCs/>
          <w:lang w:val="es-ES_tradnl"/>
        </w:rPr>
        <w:t>uniform theory of diffraction</w:t>
      </w:r>
      <w:r w:rsidRPr="0056409E">
        <w:rPr>
          <w:lang w:val="es-ES_tradnl"/>
        </w:rPr>
        <w:t>)</w:t>
      </w:r>
    </w:p>
    <w:p w14:paraId="214FAC66" w14:textId="77777777" w:rsidR="0086339D" w:rsidRPr="0056409E" w:rsidRDefault="0086339D" w:rsidP="0086339D">
      <w:pPr>
        <w:pStyle w:val="enumlev1"/>
        <w:rPr>
          <w:lang w:val="es-ES_tradnl"/>
        </w:rPr>
      </w:pPr>
      <w:r w:rsidRPr="0056409E">
        <w:rPr>
          <w:lang w:val="es-ES_tradnl"/>
        </w:rPr>
        <w:t>–</w:t>
      </w:r>
      <w:r w:rsidRPr="0056409E">
        <w:rPr>
          <w:lang w:val="es-ES_tradnl"/>
        </w:rPr>
        <w:tab/>
        <w:t xml:space="preserve">Método de corrientes equivalentes (MEC, </w:t>
      </w:r>
      <w:r w:rsidRPr="0056409E">
        <w:rPr>
          <w:i/>
          <w:iCs/>
          <w:lang w:val="es-ES_tradnl"/>
        </w:rPr>
        <w:t>method of equivalent currents</w:t>
      </w:r>
      <w:r w:rsidRPr="0056409E">
        <w:rPr>
          <w:lang w:val="es-ES_tradnl"/>
        </w:rPr>
        <w:t>)</w:t>
      </w:r>
    </w:p>
    <w:p w14:paraId="08958100" w14:textId="77777777" w:rsidR="0086339D" w:rsidRPr="0056409E" w:rsidRDefault="0086339D" w:rsidP="0086339D">
      <w:pPr>
        <w:pStyle w:val="enumlev1"/>
        <w:rPr>
          <w:lang w:val="es-ES_tradnl"/>
        </w:rPr>
      </w:pPr>
      <w:r w:rsidRPr="0056409E">
        <w:rPr>
          <w:lang w:val="es-ES_tradnl"/>
        </w:rPr>
        <w:t>–</w:t>
      </w:r>
      <w:r w:rsidRPr="0056409E">
        <w:rPr>
          <w:lang w:val="es-ES_tradnl"/>
        </w:rPr>
        <w:tab/>
        <w:t xml:space="preserve">Método de momentos (MOM, </w:t>
      </w:r>
      <w:r w:rsidRPr="0056409E">
        <w:rPr>
          <w:i/>
          <w:iCs/>
          <w:lang w:val="es-ES_tradnl"/>
        </w:rPr>
        <w:t>method of moments</w:t>
      </w:r>
      <w:r w:rsidRPr="0056409E">
        <w:rPr>
          <w:lang w:val="es-ES_tradnl"/>
        </w:rPr>
        <w:t>)</w:t>
      </w:r>
    </w:p>
    <w:p w14:paraId="6A829C76" w14:textId="77777777" w:rsidR="0086339D" w:rsidRPr="0056409E" w:rsidRDefault="0086339D" w:rsidP="0086339D">
      <w:pPr>
        <w:pStyle w:val="enumlev1"/>
        <w:rPr>
          <w:lang w:val="es-ES_tradnl"/>
        </w:rPr>
      </w:pPr>
      <w:r w:rsidRPr="0056409E">
        <w:rPr>
          <w:lang w:val="es-ES_tradnl"/>
        </w:rPr>
        <w:t>–</w:t>
      </w:r>
      <w:r w:rsidRPr="0056409E">
        <w:rPr>
          <w:lang w:val="es-ES_tradnl"/>
        </w:rPr>
        <w:tab/>
        <w:t xml:space="preserve">Método de múltiples multipolos (MMP, </w:t>
      </w:r>
      <w:r w:rsidRPr="0056409E">
        <w:rPr>
          <w:i/>
          <w:iCs/>
          <w:lang w:val="es-ES_tradnl"/>
        </w:rPr>
        <w:t>multiple multipole method</w:t>
      </w:r>
      <w:r w:rsidRPr="0056409E">
        <w:rPr>
          <w:lang w:val="es-ES_tradnl"/>
        </w:rPr>
        <w:t>)</w:t>
      </w:r>
    </w:p>
    <w:p w14:paraId="2FB9554D" w14:textId="77777777" w:rsidR="0086339D" w:rsidRPr="0056409E" w:rsidRDefault="0086339D" w:rsidP="0086339D">
      <w:pPr>
        <w:pStyle w:val="enumlev1"/>
        <w:rPr>
          <w:lang w:val="es-ES_tradnl"/>
        </w:rPr>
      </w:pPr>
      <w:r w:rsidRPr="0056409E">
        <w:rPr>
          <w:lang w:val="es-ES_tradnl"/>
        </w:rPr>
        <w:t>–</w:t>
      </w:r>
      <w:r w:rsidRPr="0056409E">
        <w:rPr>
          <w:lang w:val="es-ES_tradnl"/>
        </w:rPr>
        <w:tab/>
        <w:t xml:space="preserve">Método de diferencia finita en el dominio del tiempo (FDTD, </w:t>
      </w:r>
      <w:r w:rsidRPr="0056409E">
        <w:rPr>
          <w:i/>
          <w:iCs/>
          <w:lang w:val="es-ES_tradnl"/>
        </w:rPr>
        <w:t>finite-difference time-domain method</w:t>
      </w:r>
      <w:r w:rsidRPr="0056409E">
        <w:rPr>
          <w:lang w:val="es-ES_tradnl"/>
        </w:rPr>
        <w:t>)</w:t>
      </w:r>
    </w:p>
    <w:p w14:paraId="740A3D2B" w14:textId="77777777" w:rsidR="0086339D" w:rsidRPr="0056409E" w:rsidRDefault="0086339D" w:rsidP="0086339D">
      <w:pPr>
        <w:pStyle w:val="enumlev1"/>
        <w:rPr>
          <w:lang w:val="es-ES_tradnl"/>
        </w:rPr>
      </w:pPr>
      <w:r w:rsidRPr="0056409E">
        <w:rPr>
          <w:lang w:val="es-ES_tradnl"/>
        </w:rPr>
        <w:t>–</w:t>
      </w:r>
      <w:r w:rsidRPr="0056409E">
        <w:rPr>
          <w:lang w:val="es-ES_tradnl"/>
        </w:rPr>
        <w:tab/>
        <w:t xml:space="preserve">Método del elemento finito (FEM, </w:t>
      </w:r>
      <w:r w:rsidRPr="0056409E">
        <w:rPr>
          <w:i/>
          <w:iCs/>
          <w:lang w:val="es-ES_tradnl"/>
        </w:rPr>
        <w:t>finite element method</w:t>
      </w:r>
      <w:r w:rsidRPr="0056409E">
        <w:rPr>
          <w:lang w:val="es-ES_tradnl"/>
        </w:rPr>
        <w:t>)</w:t>
      </w:r>
    </w:p>
    <w:p w14:paraId="47D97E6D" w14:textId="77777777" w:rsidR="0086339D" w:rsidRPr="0056409E" w:rsidRDefault="0086339D" w:rsidP="0086339D">
      <w:pPr>
        <w:pStyle w:val="enumlev1"/>
        <w:rPr>
          <w:lang w:val="es-ES_tradnl"/>
        </w:rPr>
      </w:pPr>
      <w:r w:rsidRPr="0056409E">
        <w:rPr>
          <w:lang w:val="es-ES_tradnl"/>
        </w:rPr>
        <w:t>–</w:t>
      </w:r>
      <w:r w:rsidRPr="0056409E">
        <w:rPr>
          <w:lang w:val="es-ES_tradnl"/>
        </w:rPr>
        <w:tab/>
        <w:t>Método de la impedancia.</w:t>
      </w:r>
    </w:p>
    <w:p w14:paraId="7DD3F356" w14:textId="77777777" w:rsidR="0086339D" w:rsidRPr="0056409E" w:rsidRDefault="0086339D" w:rsidP="0086339D">
      <w:pPr>
        <w:rPr>
          <w:lang w:val="es-ES_tradnl"/>
        </w:rPr>
      </w:pPr>
      <w:r w:rsidRPr="0056409E">
        <w:rPr>
          <w:lang w:val="es-ES_tradnl"/>
        </w:rPr>
        <w:t>En cada aplicación, debe realizarse una evaluación a fin de establecer cuál de los métodos anteriores es el más adecuado para resolver un problema determinado. Por ejemplo, la óptica física y la óptica geométrica no se aplican en el campo cercano.</w:t>
      </w:r>
    </w:p>
    <w:p w14:paraId="472B1EFB" w14:textId="77777777" w:rsidR="0086339D" w:rsidRPr="0056409E" w:rsidRDefault="0086339D" w:rsidP="0086339D">
      <w:pPr>
        <w:rPr>
          <w:lang w:val="es-ES_tradnl"/>
        </w:rPr>
      </w:pPr>
      <w:r w:rsidRPr="0056409E">
        <w:rPr>
          <w:lang w:val="es-ES_tradnl"/>
        </w:rPr>
        <w:t>Cada uno de estos procedimientos permite determinar la amplitud y la fase de las siguientes cantidades de CEM, en cualquier punto del espacio, donde los elementos radiantes y de dispersión pueden ser conductores ideales o materiales dieléctricos:</w:t>
      </w:r>
    </w:p>
    <w:p w14:paraId="5C505D05" w14:textId="77777777" w:rsidR="0086339D" w:rsidRPr="0056409E" w:rsidRDefault="0086339D" w:rsidP="0086339D">
      <w:pPr>
        <w:pStyle w:val="enumlev1"/>
        <w:rPr>
          <w:lang w:val="es-ES_tradnl"/>
        </w:rPr>
      </w:pPr>
      <w:r w:rsidRPr="0056409E">
        <w:rPr>
          <w:lang w:val="es-ES_tradnl"/>
        </w:rPr>
        <w:t>–</w:t>
      </w:r>
      <w:r w:rsidRPr="0056409E">
        <w:rPr>
          <w:lang w:val="es-ES_tradnl"/>
        </w:rPr>
        <w:tab/>
        <w:t>intensidad de campo eléctrico;</w:t>
      </w:r>
    </w:p>
    <w:p w14:paraId="120D80DB" w14:textId="77777777" w:rsidR="0086339D" w:rsidRPr="0056409E" w:rsidRDefault="0086339D" w:rsidP="0086339D">
      <w:pPr>
        <w:pStyle w:val="enumlev1"/>
        <w:rPr>
          <w:lang w:val="es-ES_tradnl"/>
        </w:rPr>
      </w:pPr>
      <w:r w:rsidRPr="0056409E">
        <w:rPr>
          <w:lang w:val="es-ES_tradnl"/>
        </w:rPr>
        <w:t>–</w:t>
      </w:r>
      <w:r w:rsidRPr="0056409E">
        <w:rPr>
          <w:lang w:val="es-ES_tradnl"/>
        </w:rPr>
        <w:tab/>
        <w:t>intensidad de campo magnético;</w:t>
      </w:r>
    </w:p>
    <w:p w14:paraId="2B150496" w14:textId="77777777" w:rsidR="0086339D" w:rsidRPr="0056409E" w:rsidRDefault="0086339D" w:rsidP="0086339D">
      <w:pPr>
        <w:pStyle w:val="enumlev1"/>
        <w:rPr>
          <w:lang w:val="es-ES_tradnl"/>
        </w:rPr>
      </w:pPr>
      <w:r w:rsidRPr="0056409E">
        <w:rPr>
          <w:lang w:val="es-ES_tradnl"/>
        </w:rPr>
        <w:t>–</w:t>
      </w:r>
      <w:r w:rsidRPr="0056409E">
        <w:rPr>
          <w:lang w:val="es-ES_tradnl"/>
        </w:rPr>
        <w:tab/>
        <w:t>densidad de potencia;</w:t>
      </w:r>
    </w:p>
    <w:p w14:paraId="605DBCB7" w14:textId="77777777" w:rsidR="0086339D" w:rsidRPr="0056409E" w:rsidRDefault="0086339D" w:rsidP="0086339D">
      <w:pPr>
        <w:pStyle w:val="enumlev1"/>
        <w:rPr>
          <w:lang w:val="es-ES_tradnl"/>
        </w:rPr>
      </w:pPr>
      <w:r w:rsidRPr="0056409E">
        <w:rPr>
          <w:lang w:val="es-ES_tradnl"/>
        </w:rPr>
        <w:t>–</w:t>
      </w:r>
      <w:r w:rsidRPr="0056409E">
        <w:rPr>
          <w:lang w:val="es-ES_tradnl"/>
        </w:rPr>
        <w:tab/>
        <w:t>corriente;</w:t>
      </w:r>
    </w:p>
    <w:p w14:paraId="071DAA9A" w14:textId="77777777" w:rsidR="0086339D" w:rsidRPr="0056409E" w:rsidRDefault="0086339D" w:rsidP="0086339D">
      <w:pPr>
        <w:pStyle w:val="enumlev1"/>
        <w:rPr>
          <w:lang w:val="es-ES_tradnl"/>
        </w:rPr>
      </w:pPr>
      <w:r w:rsidRPr="0056409E">
        <w:rPr>
          <w:lang w:val="es-ES_tradnl"/>
        </w:rPr>
        <w:t>–</w:t>
      </w:r>
      <w:r w:rsidRPr="0056409E">
        <w:rPr>
          <w:lang w:val="es-ES_tradnl"/>
        </w:rPr>
        <w:tab/>
        <w:t>tensión;</w:t>
      </w:r>
    </w:p>
    <w:p w14:paraId="18267B90" w14:textId="77777777" w:rsidR="0086339D" w:rsidRPr="0056409E" w:rsidRDefault="0086339D" w:rsidP="0086339D">
      <w:pPr>
        <w:pStyle w:val="enumlev1"/>
        <w:rPr>
          <w:lang w:val="es-ES_tradnl"/>
        </w:rPr>
      </w:pPr>
      <w:r w:rsidRPr="0056409E">
        <w:rPr>
          <w:lang w:val="es-ES_tradnl"/>
        </w:rPr>
        <w:t>–</w:t>
      </w:r>
      <w:r w:rsidRPr="0056409E">
        <w:rPr>
          <w:lang w:val="es-ES_tradnl"/>
        </w:rPr>
        <w:tab/>
        <w:t>impedancia.</w:t>
      </w:r>
    </w:p>
    <w:p w14:paraId="175EFDD6" w14:textId="77777777" w:rsidR="0086339D" w:rsidRPr="0056409E" w:rsidRDefault="0086339D" w:rsidP="00304703">
      <w:pPr>
        <w:pStyle w:val="Heading2"/>
        <w:rPr>
          <w:lang w:val="es-ES_tradnl"/>
        </w:rPr>
      </w:pPr>
      <w:bookmarkStart w:id="733" w:name="_Toc65545328"/>
      <w:bookmarkStart w:id="734" w:name="_Toc65545984"/>
      <w:bookmarkStart w:id="735" w:name="_Toc162005945"/>
      <w:bookmarkStart w:id="736" w:name="_Toc162006273"/>
      <w:bookmarkStart w:id="737" w:name="_Toc162444620"/>
      <w:bookmarkStart w:id="738" w:name="_Toc162518228"/>
      <w:bookmarkStart w:id="739" w:name="_Toc162518751"/>
      <w:r w:rsidRPr="0056409E">
        <w:rPr>
          <w:lang w:val="es-ES_tradnl"/>
        </w:rPr>
        <w:lastRenderedPageBreak/>
        <w:t>1.1</w:t>
      </w:r>
      <w:r w:rsidRPr="0056409E">
        <w:rPr>
          <w:lang w:val="es-ES_tradnl"/>
        </w:rPr>
        <w:tab/>
        <w:t>Método de momentos</w:t>
      </w:r>
      <w:bookmarkEnd w:id="733"/>
      <w:bookmarkEnd w:id="734"/>
      <w:bookmarkEnd w:id="735"/>
      <w:bookmarkEnd w:id="736"/>
      <w:bookmarkEnd w:id="737"/>
      <w:bookmarkEnd w:id="738"/>
      <w:bookmarkEnd w:id="739"/>
    </w:p>
    <w:p w14:paraId="323CA8E6" w14:textId="77777777" w:rsidR="0086339D" w:rsidRPr="0056409E" w:rsidRDefault="0086339D" w:rsidP="0086339D">
      <w:pPr>
        <w:rPr>
          <w:lang w:val="es-ES_tradnl"/>
        </w:rPr>
      </w:pPr>
      <w:r w:rsidRPr="005F1B82">
        <w:rPr>
          <w:lang w:val="es-ES_tradnl"/>
        </w:rPr>
        <w:t>El método de momentos (MOM) se utiliza a menudo para diseñar sistemas de antenas de radiodifusión (potencia de salida del transmisor, ganancia de antena, etc.) y calcular los CEM resultantes. Este método permite efectuar los cálculos tanto en el extremo de transmisión como en el extremo de recepción, así como en los campos cercano y lejano de la antena.</w:t>
      </w:r>
    </w:p>
    <w:p w14:paraId="5C285532" w14:textId="47721B80" w:rsidR="0086339D" w:rsidRPr="0056409E" w:rsidRDefault="0086339D" w:rsidP="0086339D">
      <w:pPr>
        <w:rPr>
          <w:lang w:val="es-ES_tradnl"/>
        </w:rPr>
      </w:pPr>
      <w:r w:rsidRPr="0056409E">
        <w:rPr>
          <w:lang w:val="es-ES_tradnl"/>
        </w:rPr>
        <w:t>Pueden construirse modelos de estructuras técnicas de hasta tres dimensione</w:t>
      </w:r>
      <w:r w:rsidR="005F1B82">
        <w:rPr>
          <w:lang w:val="es-ES_tradnl"/>
        </w:rPr>
        <w:t>s</w:t>
      </w:r>
      <w:r w:rsidRPr="0056409E">
        <w:rPr>
          <w:lang w:val="es-ES_tradnl"/>
        </w:rPr>
        <w:t xml:space="preserve">, teniendo en cuenta </w:t>
      </w:r>
      <w:r>
        <w:rPr>
          <w:lang w:val="es-ES_tradnl"/>
        </w:rPr>
        <w:t xml:space="preserve">tanto </w:t>
      </w:r>
      <w:r w:rsidRPr="0056409E">
        <w:rPr>
          <w:lang w:val="es-ES_tradnl"/>
        </w:rPr>
        <w:t>sus parámetros materiales (constante dieléctrica compleja) como los del suelo. El modelo trabaja con hilos delgados con respecto a la longitud de onda y, en principio, puede representar también superficies. La limitación de este método radica en el hecho de que el modelado de estructuras amplias y complicadas puede consumir demasiado tiempo y memoria en el ordenador.</w:t>
      </w:r>
    </w:p>
    <w:p w14:paraId="1259509C" w14:textId="0F69C572" w:rsidR="0086339D" w:rsidRPr="0056409E" w:rsidRDefault="0086339D" w:rsidP="0086339D">
      <w:pPr>
        <w:rPr>
          <w:lang w:val="es-ES_tradnl"/>
        </w:rPr>
      </w:pPr>
      <w:r w:rsidRPr="0056409E">
        <w:rPr>
          <w:lang w:val="es-ES_tradnl"/>
        </w:rPr>
        <w:t xml:space="preserve">El MOM ha sido ampliamente utilizado para resolver problemas electromagnéticos y efectuar cálculos </w:t>
      </w:r>
      <w:r>
        <w:rPr>
          <w:lang w:val="es-ES_tradnl"/>
        </w:rPr>
        <w:t>relacionados con</w:t>
      </w:r>
      <w:r w:rsidRPr="0056409E">
        <w:rPr>
          <w:lang w:val="es-ES_tradnl"/>
        </w:rPr>
        <w:t xml:space="preserve"> la SAR en modelos de bloques de cuerpos biológicos. </w:t>
      </w:r>
      <w:r>
        <w:rPr>
          <w:lang w:val="es-ES_tradnl"/>
        </w:rPr>
        <w:t>De acuerdo con</w:t>
      </w:r>
      <w:r w:rsidRPr="0056409E">
        <w:rPr>
          <w:lang w:val="es-ES_tradnl"/>
        </w:rPr>
        <w:t xml:space="preserve"> el MOM, los campos eléctricos dentro de un cuerpo biológico se calculan mediante una solución de la función de Green de las ecuaciones integrales de Maxwell.</w:t>
      </w:r>
    </w:p>
    <w:p w14:paraId="0776244D" w14:textId="6680EF8A" w:rsidR="0086339D" w:rsidRPr="0056409E" w:rsidRDefault="0086339D" w:rsidP="00304703">
      <w:pPr>
        <w:pStyle w:val="Heading2"/>
        <w:rPr>
          <w:lang w:val="es-ES_tradnl"/>
        </w:rPr>
      </w:pPr>
      <w:bookmarkStart w:id="740" w:name="_Toc162005946"/>
      <w:bookmarkStart w:id="741" w:name="_Toc162006274"/>
      <w:bookmarkStart w:id="742" w:name="_Toc162444621"/>
      <w:bookmarkStart w:id="743" w:name="_Toc65545329"/>
      <w:bookmarkStart w:id="744" w:name="_Toc65545985"/>
      <w:bookmarkStart w:id="745" w:name="_Toc162518229"/>
      <w:bookmarkStart w:id="746" w:name="_Toc162518752"/>
      <w:r w:rsidRPr="0056409E">
        <w:rPr>
          <w:lang w:val="es-ES_tradnl"/>
        </w:rPr>
        <w:t>1.2</w:t>
      </w:r>
      <w:r w:rsidRPr="0056409E">
        <w:rPr>
          <w:lang w:val="es-ES_tradnl"/>
        </w:rPr>
        <w:tab/>
        <w:t>Método de la transformada rápida de Fourier/gradiente conjugado</w:t>
      </w:r>
      <w:bookmarkEnd w:id="740"/>
      <w:bookmarkEnd w:id="741"/>
      <w:bookmarkEnd w:id="742"/>
      <w:bookmarkEnd w:id="745"/>
      <w:bookmarkEnd w:id="746"/>
      <w:r w:rsidRPr="0056409E">
        <w:rPr>
          <w:lang w:val="es-ES_tradnl"/>
        </w:rPr>
        <w:t xml:space="preserve"> </w:t>
      </w:r>
      <w:bookmarkEnd w:id="743"/>
      <w:bookmarkEnd w:id="744"/>
    </w:p>
    <w:p w14:paraId="5A5B5737" w14:textId="77777777" w:rsidR="0086339D" w:rsidRPr="0056409E" w:rsidRDefault="0086339D" w:rsidP="0086339D">
      <w:pPr>
        <w:rPr>
          <w:lang w:val="es-ES_tradnl"/>
        </w:rPr>
      </w:pPr>
      <w:r w:rsidRPr="008930B6">
        <w:rPr>
          <w:lang w:val="es-ES_tradnl"/>
        </w:rPr>
        <w:t>El método de la transformada rápida de Fourier/gradiente conjugado (TRF/CG) es un ulterior desarrollo del MOM. Se utilizan algoritmos iterativos basados en la TRF y el procedimiento del gradiente se emplea para resolver ecuaciones lineales derivadas del MOM.</w:t>
      </w:r>
    </w:p>
    <w:p w14:paraId="7D2DD07D" w14:textId="77777777" w:rsidR="0086339D" w:rsidRPr="0056409E" w:rsidRDefault="0086339D" w:rsidP="00304703">
      <w:pPr>
        <w:pStyle w:val="Heading2"/>
        <w:rPr>
          <w:lang w:val="es-ES_tradnl"/>
        </w:rPr>
      </w:pPr>
      <w:bookmarkStart w:id="747" w:name="_Toc65545330"/>
      <w:bookmarkStart w:id="748" w:name="_Toc65545986"/>
      <w:bookmarkStart w:id="749" w:name="_Toc162005947"/>
      <w:bookmarkStart w:id="750" w:name="_Toc162006275"/>
      <w:bookmarkStart w:id="751" w:name="_Toc162444622"/>
      <w:bookmarkStart w:id="752" w:name="_Toc162518230"/>
      <w:bookmarkStart w:id="753" w:name="_Toc162518753"/>
      <w:r w:rsidRPr="0056409E">
        <w:rPr>
          <w:lang w:val="es-ES_tradnl"/>
        </w:rPr>
        <w:t>1.3</w:t>
      </w:r>
      <w:r w:rsidRPr="0056409E">
        <w:rPr>
          <w:lang w:val="es-ES_tradnl"/>
        </w:rPr>
        <w:tab/>
        <w:t>Método de diferencia finita en el dominio del tiempo</w:t>
      </w:r>
      <w:bookmarkEnd w:id="747"/>
      <w:bookmarkEnd w:id="748"/>
      <w:bookmarkEnd w:id="749"/>
      <w:bookmarkEnd w:id="750"/>
      <w:bookmarkEnd w:id="751"/>
      <w:bookmarkEnd w:id="752"/>
      <w:bookmarkEnd w:id="753"/>
    </w:p>
    <w:p w14:paraId="61A440BF" w14:textId="77777777" w:rsidR="0086339D" w:rsidRPr="0056409E" w:rsidRDefault="0086339D" w:rsidP="0086339D">
      <w:pPr>
        <w:rPr>
          <w:lang w:val="es-ES_tradnl"/>
        </w:rPr>
      </w:pPr>
      <w:r w:rsidRPr="0056409E">
        <w:rPr>
          <w:lang w:val="es-ES_tradnl"/>
        </w:rPr>
        <w:t>El método de diferencia finita en el dominio del tiempo (FDTD) es un método numérico que permite resolver las ecuaciones rotacionales diferenciales de Maxwell en el dominio del tiempo. Puede utilizarse para calcular los CEM internos y externos y la distribución de la SAR en cuerpos biológicos para exposiciones de campo cercano o de campo lejano. En el FDTD, tanto el tiempo como el espacio se convierten en cantidades discretas y el cuerpo biológico se modela asignando los valores de permitividad y conductividad a las células espaciales que ocupa. La memoria de ordenador necesaria es proporcional al número de células espaciales. El FDTD se considera el método de cálculo de la SAR más prometedor, no obstante, para realizar cálculos precisos se necesitan ordenadores muy potentes.</w:t>
      </w:r>
    </w:p>
    <w:p w14:paraId="7554CA9B" w14:textId="77777777" w:rsidR="0086339D" w:rsidRPr="0056409E" w:rsidRDefault="0086339D" w:rsidP="00304703">
      <w:pPr>
        <w:pStyle w:val="Heading2"/>
        <w:rPr>
          <w:lang w:val="es-ES_tradnl"/>
        </w:rPr>
      </w:pPr>
      <w:bookmarkStart w:id="754" w:name="_Toc65545331"/>
      <w:bookmarkStart w:id="755" w:name="_Toc65545987"/>
      <w:bookmarkStart w:id="756" w:name="_Toc162005948"/>
      <w:bookmarkStart w:id="757" w:name="_Toc162006276"/>
      <w:bookmarkStart w:id="758" w:name="_Toc162444623"/>
      <w:bookmarkStart w:id="759" w:name="_Toc162518231"/>
      <w:bookmarkStart w:id="760" w:name="_Toc162518754"/>
      <w:r w:rsidRPr="0056409E">
        <w:rPr>
          <w:lang w:val="es-ES_tradnl"/>
        </w:rPr>
        <w:t>1.4</w:t>
      </w:r>
      <w:r w:rsidRPr="0056409E">
        <w:rPr>
          <w:lang w:val="es-ES_tradnl"/>
        </w:rPr>
        <w:tab/>
        <w:t>Método de múltiples multipolos</w:t>
      </w:r>
      <w:bookmarkEnd w:id="754"/>
      <w:bookmarkEnd w:id="755"/>
      <w:bookmarkEnd w:id="756"/>
      <w:bookmarkEnd w:id="757"/>
      <w:bookmarkEnd w:id="758"/>
      <w:bookmarkEnd w:id="759"/>
      <w:bookmarkEnd w:id="760"/>
    </w:p>
    <w:p w14:paraId="50ED99BD" w14:textId="77777777" w:rsidR="0086339D" w:rsidRPr="0056409E" w:rsidRDefault="0086339D" w:rsidP="0086339D">
      <w:pPr>
        <w:rPr>
          <w:lang w:val="es-ES_tradnl"/>
        </w:rPr>
      </w:pPr>
      <w:r w:rsidRPr="0056409E">
        <w:rPr>
          <w:lang w:val="es-ES_tradnl"/>
        </w:rPr>
        <w:t>El método de múltiples multipolos (MMP) se basa en soluciones analíticas a ecuaciones de campo que tienen un multipolo en un punto del espacio y se utiliza conjuntamente con la técnica multipolo generalizada (GMP). El procedimiento del MMP es especialmente adecuado para la simulación de los denominados cuerpos de «dispersión con pérdidas», que se encuentran cerca de las fuentes de radiación; es decir, en el campo cercano inmediato.</w:t>
      </w:r>
    </w:p>
    <w:p w14:paraId="462FC432" w14:textId="77777777" w:rsidR="0086339D" w:rsidRPr="0056409E" w:rsidRDefault="0086339D" w:rsidP="00304703">
      <w:pPr>
        <w:pStyle w:val="Heading2"/>
        <w:rPr>
          <w:lang w:val="es-ES_tradnl"/>
        </w:rPr>
      </w:pPr>
      <w:bookmarkStart w:id="761" w:name="_Toc65545332"/>
      <w:bookmarkStart w:id="762" w:name="_Toc65545988"/>
      <w:bookmarkStart w:id="763" w:name="_Toc162005949"/>
      <w:bookmarkStart w:id="764" w:name="_Toc162006277"/>
      <w:bookmarkStart w:id="765" w:name="_Toc162444624"/>
      <w:bookmarkStart w:id="766" w:name="_Toc162518232"/>
      <w:bookmarkStart w:id="767" w:name="_Toc162518755"/>
      <w:r w:rsidRPr="0056409E">
        <w:rPr>
          <w:lang w:val="es-ES_tradnl"/>
        </w:rPr>
        <w:t>1.5</w:t>
      </w:r>
      <w:r w:rsidRPr="0056409E">
        <w:rPr>
          <w:lang w:val="es-ES_tradnl"/>
        </w:rPr>
        <w:tab/>
        <w:t>Método de la impedancia</w:t>
      </w:r>
      <w:bookmarkEnd w:id="761"/>
      <w:bookmarkEnd w:id="762"/>
      <w:bookmarkEnd w:id="763"/>
      <w:bookmarkEnd w:id="764"/>
      <w:bookmarkEnd w:id="765"/>
      <w:bookmarkEnd w:id="766"/>
      <w:bookmarkEnd w:id="767"/>
    </w:p>
    <w:p w14:paraId="31869884" w14:textId="77777777" w:rsidR="0086339D" w:rsidRPr="0056409E" w:rsidRDefault="0086339D" w:rsidP="0086339D">
      <w:pPr>
        <w:rPr>
          <w:lang w:val="es-ES_tradnl"/>
        </w:rPr>
      </w:pPr>
      <w:r w:rsidRPr="0056409E">
        <w:rPr>
          <w:lang w:val="es-ES_tradnl"/>
        </w:rPr>
        <w:t>El método de la impedancia se ha aplicado con éxito para resolver problemas de dosimetría cuando pueden realizarse aproximaciones cuasi estáticas. Este método ha demostrado ser muy eficaz para calcular la SAR en el cuerpo humano en frecuencias de hasta 40 MHz. Con arreglo al método de la impedancia, el cuerpo biológico se modela mediante una red tridimensional de impedancias complejas.</w:t>
      </w:r>
    </w:p>
    <w:p w14:paraId="1395DE71" w14:textId="77777777" w:rsidR="0086339D" w:rsidRPr="0056409E" w:rsidRDefault="0086339D" w:rsidP="00304703">
      <w:pPr>
        <w:pStyle w:val="Heading1"/>
        <w:rPr>
          <w:lang w:val="es-ES_tradnl"/>
        </w:rPr>
      </w:pPr>
      <w:bookmarkStart w:id="768" w:name="_Toc162005950"/>
      <w:bookmarkStart w:id="769" w:name="_Toc162006278"/>
      <w:bookmarkStart w:id="770" w:name="_Toc162444625"/>
      <w:bookmarkStart w:id="771" w:name="_Toc162518233"/>
      <w:bookmarkStart w:id="772" w:name="_Toc162518756"/>
      <w:r w:rsidRPr="0056409E">
        <w:rPr>
          <w:lang w:val="es-ES_tradnl"/>
        </w:rPr>
        <w:lastRenderedPageBreak/>
        <w:t>2</w:t>
      </w:r>
      <w:r w:rsidRPr="0056409E">
        <w:rPr>
          <w:lang w:val="es-ES_tradnl"/>
        </w:rPr>
        <w:tab/>
        <w:t>Cálculos de la intensidad de campo</w:t>
      </w:r>
      <w:bookmarkEnd w:id="768"/>
      <w:bookmarkEnd w:id="769"/>
      <w:bookmarkEnd w:id="770"/>
      <w:bookmarkEnd w:id="771"/>
      <w:bookmarkEnd w:id="772"/>
    </w:p>
    <w:p w14:paraId="77834A66" w14:textId="77777777" w:rsidR="0086339D" w:rsidRPr="0056409E" w:rsidRDefault="0086339D" w:rsidP="0086339D">
      <w:pPr>
        <w:rPr>
          <w:lang w:val="es-ES_tradnl"/>
        </w:rPr>
      </w:pPr>
      <w:bookmarkStart w:id="773" w:name="_Hlk161818894"/>
      <w:r w:rsidRPr="0056409E">
        <w:rPr>
          <w:lang w:val="es-ES_tradnl"/>
        </w:rPr>
        <w:t xml:space="preserve">La mayoría de los métodos indicados anteriormente pueden utilizarse para </w:t>
      </w:r>
      <w:bookmarkEnd w:id="773"/>
      <w:r w:rsidRPr="0056409E">
        <w:rPr>
          <w:lang w:val="es-ES_tradnl"/>
        </w:rPr>
        <w:t>calcular los niveles de intensidad de campo producidos por radiadores electromagnéticos. La precisión de los resultados depende en gran medida de la exactitud con que se modele el radiador (por ejemplo, la antena). Si existen objetos cerca del radiador, situados entre el radiador y el punto de predicción, o próximos al punto de predicción de la intensidad de campo que afecten significativamente los niveles de intensidad de campo dichos objetos, también deberían modelarse.</w:t>
      </w:r>
    </w:p>
    <w:p w14:paraId="02CA117C" w14:textId="77777777" w:rsidR="0086339D" w:rsidRPr="0056409E" w:rsidRDefault="0086339D" w:rsidP="00304703">
      <w:pPr>
        <w:pStyle w:val="Heading2"/>
        <w:rPr>
          <w:lang w:val="es-ES_tradnl"/>
        </w:rPr>
      </w:pPr>
      <w:bookmarkStart w:id="774" w:name="_Toc129786068"/>
      <w:bookmarkStart w:id="775" w:name="_Toc162005951"/>
      <w:bookmarkStart w:id="776" w:name="_Toc162006279"/>
      <w:bookmarkStart w:id="777" w:name="_Toc162008635"/>
      <w:bookmarkStart w:id="778" w:name="_Toc162443845"/>
      <w:bookmarkStart w:id="779" w:name="_Toc162444075"/>
      <w:bookmarkStart w:id="780" w:name="_Toc162444626"/>
      <w:bookmarkStart w:id="781" w:name="_Toc162518234"/>
      <w:bookmarkStart w:id="782" w:name="_Toc162518757"/>
      <w:r w:rsidRPr="0056409E">
        <w:rPr>
          <w:lang w:val="es-ES_tradnl"/>
        </w:rPr>
        <w:t>2.1</w:t>
      </w:r>
      <w:r w:rsidRPr="0056409E">
        <w:rPr>
          <w:lang w:val="es-ES_tradnl"/>
        </w:rPr>
        <w:tab/>
      </w:r>
      <w:bookmarkEnd w:id="774"/>
      <w:r w:rsidRPr="0056409E">
        <w:rPr>
          <w:lang w:val="es-ES_tradnl"/>
        </w:rPr>
        <w:t>Análisis numérico de estructuras filiformes: Ejemplo</w:t>
      </w:r>
      <w:bookmarkEnd w:id="775"/>
      <w:bookmarkEnd w:id="776"/>
      <w:bookmarkEnd w:id="777"/>
      <w:bookmarkEnd w:id="778"/>
      <w:bookmarkEnd w:id="779"/>
      <w:bookmarkEnd w:id="780"/>
      <w:bookmarkEnd w:id="781"/>
      <w:bookmarkEnd w:id="782"/>
    </w:p>
    <w:p w14:paraId="1D0D8137" w14:textId="77777777" w:rsidR="0086339D" w:rsidRPr="0056409E" w:rsidRDefault="0086339D" w:rsidP="0086339D">
      <w:pPr>
        <w:rPr>
          <w:lang w:val="es-ES_tradnl"/>
        </w:rPr>
      </w:pPr>
      <w:r w:rsidRPr="0056409E">
        <w:rPr>
          <w:lang w:val="es-ES_tradnl"/>
        </w:rPr>
        <w:t>En esta sección se describe en términos generales un método que permitiría determinar los niveles de intensidad de campo en las proximidades de una antena de cortina en ondas decamétricas, partiendo de la formulación de la denominada ecuación de dos potenciales para la distribución de</w:t>
      </w:r>
      <w:r>
        <w:rPr>
          <w:lang w:val="es-ES_tradnl"/>
        </w:rPr>
        <w:t xml:space="preserve"> la</w:t>
      </w:r>
      <w:r w:rsidRPr="0056409E">
        <w:rPr>
          <w:lang w:val="es-ES_tradnl"/>
        </w:rPr>
        <w:t xml:space="preserve"> corriente a lo largo de los hilos. Esta ecuación se resuelve utilizando el MOM con una aproximación polinómica para la corriente.</w:t>
      </w:r>
    </w:p>
    <w:p w14:paraId="2A22D32E" w14:textId="77777777" w:rsidR="0086339D" w:rsidRPr="0056409E" w:rsidRDefault="0086339D" w:rsidP="0086339D">
      <w:pPr>
        <w:rPr>
          <w:lang w:val="es-ES_tradnl"/>
        </w:rPr>
      </w:pPr>
      <w:r w:rsidRPr="0056409E">
        <w:rPr>
          <w:lang w:val="es-ES_tradnl"/>
        </w:rPr>
        <w:t>Se considera una estructura arbitraria, situada en el vacío, ensamblada con segmentos de hilo rectos perfectamente conductores. De acuerdo con las condiciones límite, en la superficie de los hilos, la componente tangencial del campo eléctrico total debe ser cero; es decir:</w:t>
      </w:r>
    </w:p>
    <w:p w14:paraId="150C5F09" w14:textId="36F94C3E" w:rsidR="0086339D" w:rsidRPr="0056409E" w:rsidRDefault="0086339D" w:rsidP="0086339D">
      <w:pPr>
        <w:pStyle w:val="Equation"/>
        <w:rPr>
          <w:lang w:val="es-ES_tradnl"/>
        </w:rPr>
      </w:pPr>
      <w:r w:rsidRPr="0056409E">
        <w:rPr>
          <w:lang w:val="es-ES_tradnl"/>
        </w:rPr>
        <w:tab/>
      </w:r>
      <w:r w:rsidRPr="0056409E">
        <w:rPr>
          <w:lang w:val="es-ES_tradnl"/>
        </w:rPr>
        <w:tab/>
      </w:r>
      <m:oMath>
        <m:sSub>
          <m:sSubPr>
            <m:ctrlPr>
              <w:rPr>
                <w:rFonts w:ascii="Cambria Math" w:hAnsi="Cambria Math"/>
                <w:i/>
                <w:lang w:val="es-ES_tradnl"/>
              </w:rPr>
            </m:ctrlPr>
          </m:sSubPr>
          <m:e>
            <m:d>
              <m:dPr>
                <m:ctrlPr>
                  <w:rPr>
                    <w:rFonts w:ascii="Cambria Math" w:hAnsi="Cambria Math"/>
                    <w:i/>
                    <w:lang w:val="es-ES_tradnl"/>
                  </w:rPr>
                </m:ctrlPr>
              </m:dPr>
              <m:e>
                <m:r>
                  <w:rPr>
                    <w:rFonts w:ascii="Cambria Math" w:hAnsi="Cambria Math"/>
                    <w:lang w:val="es-ES_tradnl"/>
                  </w:rPr>
                  <m:t>E+</m:t>
                </m:r>
                <m:sSub>
                  <m:sSubPr>
                    <m:ctrlPr>
                      <w:rPr>
                        <w:rFonts w:ascii="Cambria Math" w:hAnsi="Cambria Math"/>
                        <w:i/>
                        <w:lang w:val="es-ES_tradnl"/>
                      </w:rPr>
                    </m:ctrlPr>
                  </m:sSubPr>
                  <m:e>
                    <m:r>
                      <w:rPr>
                        <w:rFonts w:ascii="Cambria Math" w:hAnsi="Cambria Math"/>
                        <w:lang w:val="es-ES_tradnl"/>
                      </w:rPr>
                      <m:t>E</m:t>
                    </m:r>
                  </m:e>
                  <m:sub>
                    <m:r>
                      <w:rPr>
                        <w:rFonts w:ascii="Cambria Math" w:hAnsi="Cambria Math"/>
                        <w:lang w:val="es-ES_tradnl"/>
                      </w:rPr>
                      <m:t>i</m:t>
                    </m:r>
                  </m:sub>
                </m:sSub>
              </m:e>
            </m:d>
          </m:e>
          <m:sub>
            <m:r>
              <m:rPr>
                <m:sty m:val="p"/>
              </m:rPr>
              <w:rPr>
                <w:rFonts w:ascii="Cambria Math" w:hAnsi="Cambria Math"/>
                <w:lang w:val="es-ES_tradnl"/>
              </w:rPr>
              <m:t>tan</m:t>
            </m:r>
          </m:sub>
        </m:sSub>
        <m:r>
          <w:rPr>
            <w:rFonts w:ascii="Cambria Math" w:hAnsi="Cambria Math"/>
            <w:lang w:val="es-ES_tradnl"/>
          </w:rPr>
          <m:t>=0</m:t>
        </m:r>
      </m:oMath>
      <w:r w:rsidRPr="0056409E">
        <w:rPr>
          <w:lang w:val="es-ES_tradnl"/>
        </w:rPr>
        <w:tab/>
        <w:t>(17)</w:t>
      </w:r>
    </w:p>
    <w:p w14:paraId="16A68F26" w14:textId="77777777" w:rsidR="0086339D" w:rsidRPr="0056409E" w:rsidRDefault="0086339D" w:rsidP="00304703">
      <w:pPr>
        <w:rPr>
          <w:lang w:val="es-ES_tradnl"/>
        </w:rPr>
      </w:pPr>
      <w:r w:rsidRPr="0056409E">
        <w:rPr>
          <w:lang w:val="es-ES_tradnl"/>
        </w:rPr>
        <w:t>siendo:</w:t>
      </w:r>
    </w:p>
    <w:p w14:paraId="0ECE6519" w14:textId="77777777" w:rsidR="0086339D" w:rsidRPr="0056409E" w:rsidRDefault="0086339D" w:rsidP="0086339D">
      <w:pPr>
        <w:pStyle w:val="Equationlegend"/>
        <w:rPr>
          <w:lang w:val="es-ES_tradnl"/>
        </w:rPr>
      </w:pPr>
      <w:r w:rsidRPr="0056409E">
        <w:rPr>
          <w:b/>
          <w:bCs/>
          <w:lang w:val="es-ES_tradnl"/>
        </w:rPr>
        <w:tab/>
      </w:r>
      <w:r w:rsidRPr="0056409E">
        <w:rPr>
          <w:i/>
          <w:iCs/>
          <w:lang w:val="es-ES_tradnl"/>
        </w:rPr>
        <w:t>E</w:t>
      </w:r>
      <w:r w:rsidRPr="0056409E">
        <w:rPr>
          <w:rFonts w:ascii="Tms Rmn" w:hAnsi="Tms Rmn"/>
          <w:sz w:val="12"/>
          <w:lang w:val="es-ES_tradnl"/>
        </w:rPr>
        <w:t> </w:t>
      </w:r>
      <w:r w:rsidRPr="0056409E">
        <w:rPr>
          <w:lang w:val="es-ES_tradnl"/>
        </w:rPr>
        <w:t>:</w:t>
      </w:r>
      <w:r w:rsidRPr="0056409E">
        <w:rPr>
          <w:lang w:val="es-ES_tradnl"/>
        </w:rPr>
        <w:tab/>
        <w:t xml:space="preserve">campo eléctrico producido por las corrientes y cargas de la estructura </w:t>
      </w:r>
    </w:p>
    <w:p w14:paraId="1F091DB7" w14:textId="77777777" w:rsidR="0086339D" w:rsidRPr="0056409E" w:rsidRDefault="0086339D" w:rsidP="0086339D">
      <w:pPr>
        <w:pStyle w:val="Equationlegend"/>
        <w:rPr>
          <w:lang w:val="es-ES_tradnl"/>
        </w:rPr>
      </w:pPr>
      <w:r w:rsidRPr="0056409E">
        <w:rPr>
          <w:b/>
          <w:bCs/>
          <w:lang w:val="es-ES_tradnl"/>
        </w:rPr>
        <w:tab/>
      </w:r>
      <w:r w:rsidRPr="0056409E">
        <w:rPr>
          <w:i/>
          <w:iCs/>
          <w:lang w:val="es-ES_tradnl"/>
        </w:rPr>
        <w:t>E</w:t>
      </w:r>
      <w:r w:rsidRPr="0056409E">
        <w:rPr>
          <w:i/>
          <w:iCs/>
          <w:vertAlign w:val="subscript"/>
          <w:lang w:val="es-ES_tradnl"/>
        </w:rPr>
        <w:t>i</w:t>
      </w:r>
      <w:r w:rsidRPr="0056409E">
        <w:rPr>
          <w:rFonts w:ascii="Tms Rmn" w:hAnsi="Tms Rmn"/>
          <w:sz w:val="12"/>
          <w:lang w:val="es-ES_tradnl"/>
        </w:rPr>
        <w:t> </w:t>
      </w:r>
      <w:r w:rsidRPr="0056409E">
        <w:rPr>
          <w:lang w:val="es-ES_tradnl"/>
        </w:rPr>
        <w:t>:</w:t>
      </w:r>
      <w:r w:rsidRPr="0056409E">
        <w:rPr>
          <w:lang w:val="es-ES_tradnl"/>
        </w:rPr>
        <w:tab/>
        <w:t>campo eléctrico aplicado, que modela la excitación al sistema.</w:t>
      </w:r>
    </w:p>
    <w:p w14:paraId="3BC5C0B6" w14:textId="77777777" w:rsidR="0086339D" w:rsidRPr="0056409E" w:rsidRDefault="0086339D" w:rsidP="0086339D">
      <w:pPr>
        <w:rPr>
          <w:lang w:val="es-ES_tradnl"/>
        </w:rPr>
      </w:pPr>
      <w:r w:rsidRPr="0056409E">
        <w:rPr>
          <w:lang w:val="es-ES_tradnl"/>
        </w:rPr>
        <w:t>El campo aplicado puede ser, por ejemplo, el campo eléctrico de una onda plana incidente en la estructura (cuando se analizan dispersores o antenas receptoras) o un campo situado en una pequeña región en los terminales de antena, que modela el generador que excita la antena (cuando se analizan antenas transmisoras).</w:t>
      </w:r>
    </w:p>
    <w:p w14:paraId="2C7EC7AE" w14:textId="77777777" w:rsidR="0086339D" w:rsidRPr="0056409E" w:rsidRDefault="0086339D" w:rsidP="0086339D">
      <w:pPr>
        <w:rPr>
          <w:lang w:val="es-ES_tradnl"/>
        </w:rPr>
      </w:pPr>
      <w:r w:rsidRPr="0056409E">
        <w:rPr>
          <w:lang w:val="es-ES_tradnl"/>
        </w:rPr>
        <w:t xml:space="preserve">El campo eléctrico producido por las corrientes y cargas de los hilos puede expresarse en función del vector potencial magnético, </w:t>
      </w:r>
      <w:r w:rsidRPr="0056409E">
        <w:rPr>
          <w:i/>
          <w:iCs/>
          <w:lang w:val="es-ES_tradnl"/>
        </w:rPr>
        <w:t>A</w:t>
      </w:r>
      <w:r w:rsidRPr="0056409E">
        <w:rPr>
          <w:lang w:val="es-ES_tradnl"/>
        </w:rPr>
        <w:t xml:space="preserve">, y del </w:t>
      </w:r>
      <w:r w:rsidRPr="00FB0882">
        <w:rPr>
          <w:lang w:val="es-ES_tradnl"/>
        </w:rPr>
        <w:t>potencial eléctrico escalar</w:t>
      </w:r>
      <w:r w:rsidRPr="0056409E">
        <w:rPr>
          <w:lang w:val="es-ES_tradnl"/>
        </w:rPr>
        <w:t xml:space="preserve">, </w:t>
      </w:r>
      <w:r w:rsidRPr="0056409E">
        <w:rPr>
          <w:i/>
          <w:iCs/>
          <w:lang w:val="es-ES_tradnl"/>
        </w:rPr>
        <w:t>V</w:t>
      </w:r>
      <w:r w:rsidRPr="0056409E">
        <w:rPr>
          <w:lang w:val="es-ES_tradnl"/>
        </w:rPr>
        <w:t>, como sigue:</w:t>
      </w:r>
    </w:p>
    <w:p w14:paraId="16BF3595" w14:textId="77777777" w:rsidR="0086339D" w:rsidRPr="0056409E" w:rsidRDefault="0086339D" w:rsidP="0086339D">
      <w:pPr>
        <w:pStyle w:val="Equation"/>
        <w:rPr>
          <w:lang w:val="es-ES_tradnl"/>
        </w:rPr>
      </w:pPr>
      <w:r w:rsidRPr="0056409E">
        <w:rPr>
          <w:lang w:val="es-ES_tradnl"/>
        </w:rPr>
        <w:tab/>
      </w:r>
      <w:r w:rsidRPr="0056409E">
        <w:rPr>
          <w:lang w:val="es-ES_tradnl"/>
        </w:rPr>
        <w:tab/>
      </w:r>
      <m:oMath>
        <m:r>
          <w:rPr>
            <w:rFonts w:ascii="Cambria Math" w:hAnsi="Cambria Math"/>
            <w:lang w:val="es-ES_tradnl"/>
          </w:rPr>
          <m:t>E=-j</m:t>
        </m:r>
        <m:r>
          <m:rPr>
            <m:sty m:val="p"/>
          </m:rPr>
          <w:rPr>
            <w:rFonts w:ascii="Cambria Math" w:hAnsi="Cambria Math"/>
            <w:lang w:val="es-ES_tradnl"/>
          </w:rPr>
          <m:t>ω</m:t>
        </m:r>
        <m:r>
          <w:rPr>
            <w:rFonts w:ascii="Cambria Math" w:hAnsi="Cambria Math"/>
            <w:lang w:val="es-ES_tradnl"/>
          </w:rPr>
          <m:t xml:space="preserve"> A-</m:t>
        </m:r>
        <m:r>
          <m:rPr>
            <m:sty m:val="p"/>
          </m:rPr>
          <w:rPr>
            <w:rFonts w:ascii="Cambria Math" w:hAnsi="Cambria Math"/>
            <w:lang w:val="es-ES_tradnl"/>
          </w:rPr>
          <m:t>grad</m:t>
        </m:r>
        <m:r>
          <w:rPr>
            <w:rFonts w:ascii="Cambria Math" w:hAnsi="Cambria Math"/>
            <w:lang w:val="es-ES_tradnl"/>
          </w:rPr>
          <m:t xml:space="preserve"> V</m:t>
        </m:r>
      </m:oMath>
      <w:r w:rsidRPr="0056409E">
        <w:rPr>
          <w:lang w:val="es-ES_tradnl"/>
        </w:rPr>
        <w:tab/>
        <w:t>(18)</w:t>
      </w:r>
    </w:p>
    <w:p w14:paraId="407740AA" w14:textId="77777777" w:rsidR="0086339D" w:rsidRPr="0056409E" w:rsidRDefault="0086339D" w:rsidP="00304703">
      <w:pPr>
        <w:rPr>
          <w:lang w:val="es-ES_tradnl"/>
        </w:rPr>
      </w:pPr>
      <w:r w:rsidRPr="0056409E">
        <w:rPr>
          <w:lang w:val="es-ES_tradnl"/>
        </w:rPr>
        <w:t>siendo:</w:t>
      </w:r>
    </w:p>
    <w:p w14:paraId="39F881B1" w14:textId="77777777" w:rsidR="0086339D" w:rsidRPr="0056409E" w:rsidRDefault="0086339D" w:rsidP="0086339D">
      <w:pPr>
        <w:pStyle w:val="Equationlegend"/>
        <w:rPr>
          <w:lang w:val="es-ES_tradnl"/>
        </w:rPr>
      </w:pPr>
      <w:r w:rsidRPr="0056409E">
        <w:rPr>
          <w:lang w:val="es-ES_tradnl"/>
        </w:rPr>
        <w:tab/>
      </w:r>
      <w:r w:rsidRPr="0056409E">
        <w:rPr>
          <w:lang w:val="es-ES_tradnl"/>
        </w:rPr>
        <w:sym w:font="Symbol" w:char="F077"/>
      </w:r>
      <w:r w:rsidRPr="0056409E">
        <w:rPr>
          <w:rFonts w:ascii="Tms Rmn" w:hAnsi="Tms Rmn"/>
          <w:sz w:val="12"/>
          <w:lang w:val="es-ES_tradnl"/>
        </w:rPr>
        <w:t> </w:t>
      </w:r>
      <w:r w:rsidRPr="0056409E">
        <w:rPr>
          <w:lang w:val="es-ES_tradnl"/>
        </w:rPr>
        <w:t xml:space="preserve">: </w:t>
      </w:r>
      <w:r w:rsidRPr="0056409E">
        <w:rPr>
          <w:lang w:val="es-ES_tradnl"/>
        </w:rPr>
        <w:tab/>
        <w:t>frecuencia angular (</w:t>
      </w:r>
      <w:r w:rsidRPr="0056409E">
        <w:rPr>
          <w:rFonts w:ascii="Symbol" w:hAnsi="Symbol"/>
          <w:lang w:val="es-ES_tradnl"/>
        </w:rPr>
        <w:sym w:font="Symbol" w:char="F077"/>
      </w:r>
      <w:r w:rsidRPr="0056409E">
        <w:rPr>
          <w:lang w:val="es-ES_tradnl"/>
        </w:rPr>
        <w:t> </w:t>
      </w:r>
      <w:r w:rsidRPr="0056409E">
        <w:rPr>
          <w:rFonts w:ascii="Symbol" w:hAnsi="Symbol"/>
          <w:lang w:val="es-ES_tradnl"/>
        </w:rPr>
        <w:t></w:t>
      </w:r>
      <w:r w:rsidRPr="0056409E">
        <w:rPr>
          <w:lang w:val="es-ES_tradnl"/>
        </w:rPr>
        <w:t> 2</w:t>
      </w:r>
      <w:r w:rsidRPr="0056409E">
        <w:rPr>
          <w:rFonts w:ascii="Symbol" w:hAnsi="Symbol"/>
          <w:lang w:val="es-ES_tradnl"/>
        </w:rPr>
        <w:sym w:font="Symbol" w:char="F070"/>
      </w:r>
      <w:r w:rsidRPr="0056409E">
        <w:rPr>
          <w:lang w:val="es-ES_tradnl"/>
        </w:rPr>
        <w:t xml:space="preserve"> </w:t>
      </w:r>
      <w:r w:rsidRPr="0056409E">
        <w:rPr>
          <w:i/>
          <w:iCs/>
          <w:lang w:val="es-ES_tradnl"/>
        </w:rPr>
        <w:t>f</w:t>
      </w:r>
      <w:r w:rsidRPr="0056409E">
        <w:rPr>
          <w:rFonts w:ascii="Tms Rmn" w:hAnsi="Tms Rmn"/>
          <w:sz w:val="12"/>
          <w:lang w:val="es-ES_tradnl"/>
        </w:rPr>
        <w:t> </w:t>
      </w:r>
      <w:r w:rsidRPr="0056409E">
        <w:rPr>
          <w:lang w:val="es-ES_tradnl"/>
        </w:rPr>
        <w:t>).</w:t>
      </w:r>
    </w:p>
    <w:p w14:paraId="0D94252B" w14:textId="77777777" w:rsidR="0086339D" w:rsidRPr="0056409E" w:rsidRDefault="0086339D" w:rsidP="00304703">
      <w:pPr>
        <w:rPr>
          <w:lang w:val="es-ES_tradnl"/>
        </w:rPr>
      </w:pPr>
      <w:r w:rsidRPr="0056409E">
        <w:rPr>
          <w:lang w:val="es-ES_tradnl"/>
        </w:rPr>
        <w:t>A su vez, los dos potenciales pueden expresarse en función de las densidades de las corrientes (</w:t>
      </w:r>
      <w:r w:rsidRPr="0056409E">
        <w:rPr>
          <w:b/>
          <w:bCs/>
          <w:lang w:val="es-ES_tradnl"/>
        </w:rPr>
        <w:t>J</w:t>
      </w:r>
      <w:r w:rsidRPr="0056409E">
        <w:rPr>
          <w:i/>
          <w:iCs/>
          <w:vertAlign w:val="subscript"/>
          <w:lang w:val="es-ES_tradnl"/>
        </w:rPr>
        <w:t>s</w:t>
      </w:r>
      <w:r w:rsidRPr="0056409E">
        <w:rPr>
          <w:lang w:val="es-ES_tradnl"/>
        </w:rPr>
        <w:t>) y cargas (</w:t>
      </w:r>
      <w:r w:rsidRPr="0056409E">
        <w:rPr>
          <w:rFonts w:ascii="Symbol" w:hAnsi="Symbol"/>
          <w:lang w:val="es-ES_tradnl"/>
        </w:rPr>
        <w:sym w:font="Symbol" w:char="F072"/>
      </w:r>
      <w:r w:rsidRPr="0056409E">
        <w:rPr>
          <w:i/>
          <w:iCs/>
          <w:vertAlign w:val="subscript"/>
          <w:lang w:val="es-ES_tradnl"/>
        </w:rPr>
        <w:t>s</w:t>
      </w:r>
      <w:r w:rsidRPr="0056409E">
        <w:rPr>
          <w:lang w:val="es-ES_tradnl"/>
        </w:rPr>
        <w:t xml:space="preserve">) en la superficie, que están relacionadas por la ecuación de continuidad. A continuación, las corrientes y cargas en la superficie se aproximan mediante corrientes y cargas de línea (aproximación de hilo delgado) y la estructura del hilo se divide en </w:t>
      </w:r>
      <w:r w:rsidRPr="0056409E">
        <w:rPr>
          <w:i/>
          <w:lang w:val="es-ES_tradnl"/>
        </w:rPr>
        <w:t>N</w:t>
      </w:r>
      <w:r w:rsidRPr="0056409E">
        <w:rPr>
          <w:lang w:val="es-ES_tradnl"/>
        </w:rPr>
        <w:t xml:space="preserve"> segmentos (cada uno de ellos con un eje local, </w:t>
      </w:r>
      <w:r w:rsidRPr="0056409E">
        <w:rPr>
          <w:i/>
          <w:iCs/>
          <w:lang w:val="es-ES_tradnl"/>
        </w:rPr>
        <w:t>s</w:t>
      </w:r>
      <w:r w:rsidRPr="0056409E">
        <w:rPr>
          <w:i/>
          <w:iCs/>
          <w:vertAlign w:val="subscript"/>
          <w:lang w:val="es-ES_tradnl"/>
        </w:rPr>
        <w:t>m</w:t>
      </w:r>
      <w:r w:rsidRPr="0056409E">
        <w:rPr>
          <w:lang w:val="es-ES_tradnl"/>
        </w:rPr>
        <w:t xml:space="preserve">). Por último, la ecuación de dos potenciales (denominada también ecuación de </w:t>
      </w:r>
      <w:r w:rsidRPr="00FB0882">
        <w:rPr>
          <w:lang w:val="es-ES_tradnl"/>
        </w:rPr>
        <w:t>potencial escalar vectorial</w:t>
      </w:r>
      <w:r w:rsidRPr="0056409E">
        <w:rPr>
          <w:lang w:val="es-ES_tradnl"/>
        </w:rPr>
        <w:t>) para la distribución de corrientes se obtiene como sigue:</w:t>
      </w:r>
    </w:p>
    <w:p w14:paraId="07628923" w14:textId="77777777" w:rsidR="0086339D" w:rsidRPr="0056409E" w:rsidRDefault="0086339D" w:rsidP="0086339D">
      <w:pPr>
        <w:pStyle w:val="Equation"/>
        <w:rPr>
          <w:lang w:val="es-ES_tradnl"/>
        </w:rPr>
      </w:pPr>
      <w:r w:rsidRPr="0056409E">
        <w:rPr>
          <w:lang w:val="es-ES_tradnl"/>
        </w:rPr>
        <w:tab/>
      </w:r>
      <w:r w:rsidRPr="0056409E">
        <w:rPr>
          <w:lang w:val="es-ES_tradnl"/>
        </w:rPr>
        <w:tab/>
      </w:r>
      <w:r w:rsidRPr="0056409E">
        <w:rPr>
          <w:lang w:val="es-ES_tradnl"/>
        </w:rPr>
        <w:object w:dxaOrig="7119" w:dyaOrig="940" w14:anchorId="09E7C7A4">
          <v:shape id="_x0000_i1226" type="#_x0000_t75" style="width:357.3pt;height:45.5pt" o:ole="">
            <v:imagedata r:id="rId85" o:title=""/>
          </v:shape>
          <o:OLEObject Type="Embed" ProgID="Equation.3" ShapeID="_x0000_i1226" DrawAspect="Content" ObjectID="_1773141091" r:id="rId86"/>
        </w:object>
      </w:r>
      <w:r w:rsidRPr="0056409E">
        <w:rPr>
          <w:position w:val="32"/>
          <w:lang w:val="es-ES_tradnl"/>
        </w:rPr>
        <w:tab/>
        <w:t>(19)</w:t>
      </w:r>
    </w:p>
    <w:p w14:paraId="6A33C520" w14:textId="77777777" w:rsidR="0086339D" w:rsidRPr="0056409E" w:rsidRDefault="0086339D" w:rsidP="0086339D">
      <w:pPr>
        <w:rPr>
          <w:lang w:val="es-ES_tradnl"/>
        </w:rPr>
      </w:pPr>
      <w:r w:rsidRPr="0056409E">
        <w:rPr>
          <w:lang w:val="es-ES_tradnl"/>
        </w:rPr>
        <w:t>siendo:</w:t>
      </w:r>
    </w:p>
    <w:p w14:paraId="5F1E4C6B" w14:textId="77777777" w:rsidR="0086339D" w:rsidRPr="0056409E" w:rsidRDefault="0086339D" w:rsidP="0086339D">
      <w:pPr>
        <w:pStyle w:val="Equationlegend"/>
        <w:tabs>
          <w:tab w:val="clear" w:pos="1701"/>
          <w:tab w:val="clear" w:pos="1985"/>
          <w:tab w:val="right" w:pos="2590"/>
          <w:tab w:val="left" w:pos="2880"/>
        </w:tabs>
        <w:ind w:left="2880" w:hanging="2880"/>
        <w:rPr>
          <w:lang w:val="es-ES_tradnl"/>
        </w:rPr>
      </w:pPr>
      <w:r w:rsidRPr="0056409E">
        <w:rPr>
          <w:i/>
          <w:iCs/>
          <w:lang w:val="es-ES_tradnl"/>
        </w:rPr>
        <w:tab/>
        <w:t>I</w:t>
      </w:r>
      <w:r w:rsidRPr="0056409E">
        <w:rPr>
          <w:i/>
          <w:iCs/>
          <w:vertAlign w:val="subscript"/>
          <w:lang w:val="es-ES_tradnl"/>
        </w:rPr>
        <w:t>m</w:t>
      </w:r>
      <w:r w:rsidRPr="0056409E">
        <w:rPr>
          <w:rFonts w:ascii="Tms Rmn" w:hAnsi="Tms Rmn"/>
          <w:sz w:val="12"/>
          <w:lang w:val="es-ES_tradnl"/>
        </w:rPr>
        <w:t> </w:t>
      </w:r>
      <w:r w:rsidRPr="0056409E">
        <w:rPr>
          <w:lang w:val="es-ES_tradnl"/>
        </w:rPr>
        <w:t>:</w:t>
      </w:r>
      <w:r w:rsidRPr="0056409E">
        <w:rPr>
          <w:lang w:val="es-ES_tradnl"/>
        </w:rPr>
        <w:tab/>
        <w:t>intensidad de la corriente a lo largo del segmento de hilo</w:t>
      </w:r>
    </w:p>
    <w:p w14:paraId="28667F03" w14:textId="77777777" w:rsidR="0086339D" w:rsidRPr="0056409E" w:rsidRDefault="0086339D" w:rsidP="0086339D">
      <w:pPr>
        <w:pStyle w:val="Equationlegend"/>
        <w:tabs>
          <w:tab w:val="clear" w:pos="1701"/>
          <w:tab w:val="clear" w:pos="1985"/>
          <w:tab w:val="right" w:pos="2590"/>
          <w:tab w:val="left" w:pos="2880"/>
        </w:tabs>
        <w:ind w:left="2880" w:hanging="2880"/>
        <w:rPr>
          <w:lang w:val="es-ES_tradnl"/>
        </w:rPr>
      </w:pPr>
      <w:r w:rsidRPr="0056409E">
        <w:rPr>
          <w:lang w:val="es-ES_tradnl"/>
        </w:rPr>
        <w:tab/>
      </w:r>
      <w:r w:rsidRPr="0056409E">
        <w:rPr>
          <w:position w:val="-14"/>
          <w:sz w:val="20"/>
          <w:lang w:val="es-ES_tradnl"/>
        </w:rPr>
        <w:object w:dxaOrig="1320" w:dyaOrig="420" w14:anchorId="1BE297C0">
          <v:shape id="_x0000_i1227" type="#_x0000_t75" style="width:65.9pt;height:21.05pt" o:ole="">
            <v:imagedata r:id="rId87" o:title=""/>
          </v:shape>
          <o:OLEObject Type="Embed" ProgID="Equation.3" ShapeID="_x0000_i1227" DrawAspect="Content" ObjectID="_1773141092" r:id="rId88"/>
        </w:object>
      </w:r>
      <w:r w:rsidRPr="0056409E">
        <w:rPr>
          <w:rFonts w:ascii="Tms Rmn" w:hAnsi="Tms Rmn"/>
          <w:sz w:val="12"/>
          <w:lang w:val="es-ES_tradnl"/>
        </w:rPr>
        <w:t> </w:t>
      </w:r>
      <w:r w:rsidRPr="0056409E">
        <w:rPr>
          <w:lang w:val="es-ES_tradnl"/>
        </w:rPr>
        <w:t>:</w:t>
      </w:r>
      <w:r w:rsidRPr="0056409E">
        <w:rPr>
          <w:lang w:val="es-ES_tradnl"/>
        </w:rPr>
        <w:tab/>
        <w:t>coeficiente de fase en el espacio libre</w:t>
      </w:r>
    </w:p>
    <w:p w14:paraId="7F235D45" w14:textId="77777777" w:rsidR="0086339D" w:rsidRPr="0056409E" w:rsidRDefault="0086339D" w:rsidP="0086339D">
      <w:pPr>
        <w:pStyle w:val="Equationlegend"/>
        <w:tabs>
          <w:tab w:val="clear" w:pos="1701"/>
          <w:tab w:val="clear" w:pos="1985"/>
          <w:tab w:val="right" w:pos="2590"/>
          <w:tab w:val="left" w:pos="2880"/>
        </w:tabs>
        <w:ind w:left="2880" w:hanging="2880"/>
        <w:rPr>
          <w:lang w:val="es-ES_tradnl"/>
        </w:rPr>
      </w:pPr>
      <w:r w:rsidRPr="0056409E">
        <w:rPr>
          <w:lang w:val="es-ES_tradnl"/>
        </w:rPr>
        <w:lastRenderedPageBreak/>
        <w:tab/>
      </w:r>
      <w:r w:rsidRPr="0056409E">
        <w:rPr>
          <w:position w:val="-30"/>
          <w:lang w:val="es-ES_tradnl"/>
        </w:rPr>
        <w:object w:dxaOrig="2480" w:dyaOrig="680" w14:anchorId="5EE46AED">
          <v:shape id="_x0000_i1228" type="#_x0000_t75" style="width:124.3pt;height:33.95pt" o:ole="">
            <v:imagedata r:id="rId89" o:title=""/>
          </v:shape>
          <o:OLEObject Type="Embed" ProgID="Equation.3" ShapeID="_x0000_i1228" DrawAspect="Content" ObjectID="_1773141093" r:id="rId90"/>
        </w:object>
      </w:r>
      <w:r w:rsidRPr="0056409E">
        <w:rPr>
          <w:rFonts w:ascii="Tms Rmn" w:hAnsi="Tms Rmn"/>
          <w:sz w:val="12"/>
          <w:lang w:val="es-ES_tradnl"/>
        </w:rPr>
        <w:t> </w:t>
      </w:r>
      <w:r w:rsidRPr="0056409E">
        <w:rPr>
          <w:lang w:val="es-ES_tradnl"/>
        </w:rPr>
        <w:t>:</w:t>
      </w:r>
      <w:r w:rsidRPr="0056409E">
        <w:rPr>
          <w:lang w:val="es-ES_tradnl"/>
        </w:rPr>
        <w:tab/>
        <w:t xml:space="preserve">correspondiente función de Green </w:t>
      </w:r>
    </w:p>
    <w:p w14:paraId="0ABE0F57" w14:textId="77777777" w:rsidR="0086339D" w:rsidRPr="0056409E" w:rsidRDefault="0086339D" w:rsidP="0086339D">
      <w:pPr>
        <w:pStyle w:val="Equationlegend"/>
        <w:tabs>
          <w:tab w:val="clear" w:pos="1701"/>
          <w:tab w:val="clear" w:pos="1985"/>
          <w:tab w:val="right" w:pos="2590"/>
          <w:tab w:val="left" w:pos="2880"/>
        </w:tabs>
        <w:ind w:left="2880" w:hanging="2880"/>
        <w:rPr>
          <w:lang w:val="es-ES_tradnl"/>
        </w:rPr>
      </w:pPr>
      <w:r w:rsidRPr="0056409E">
        <w:rPr>
          <w:i/>
          <w:iCs/>
          <w:lang w:val="es-ES_tradnl"/>
        </w:rPr>
        <w:tab/>
        <w:t>r</w:t>
      </w:r>
      <w:r w:rsidRPr="0056409E">
        <w:rPr>
          <w:i/>
          <w:iCs/>
          <w:vertAlign w:val="subscript"/>
          <w:lang w:val="es-ES_tradnl"/>
        </w:rPr>
        <w:t>a</w:t>
      </w:r>
      <w:r w:rsidRPr="0056409E">
        <w:rPr>
          <w:rFonts w:ascii="Tms Rmn" w:hAnsi="Tms Rmn"/>
          <w:sz w:val="12"/>
          <w:lang w:val="es-ES_tradnl"/>
        </w:rPr>
        <w:t> </w:t>
      </w:r>
      <w:r w:rsidRPr="0056409E">
        <w:rPr>
          <w:lang w:val="es-ES_tradnl"/>
        </w:rPr>
        <w:t>:</w:t>
      </w:r>
      <w:r w:rsidRPr="0056409E">
        <w:rPr>
          <w:lang w:val="es-ES_tradnl"/>
        </w:rPr>
        <w:tab/>
        <w:t>distancia media aproximada entre el punto situado en la superficie del elemento de hilo d</w:t>
      </w:r>
      <w:r w:rsidRPr="0056409E">
        <w:rPr>
          <w:i/>
          <w:iCs/>
          <w:lang w:val="es-ES_tradnl"/>
        </w:rPr>
        <w:t>s</w:t>
      </w:r>
      <w:r w:rsidRPr="0056409E">
        <w:rPr>
          <w:i/>
          <w:iCs/>
          <w:vertAlign w:val="subscript"/>
          <w:lang w:val="es-ES_tradnl"/>
        </w:rPr>
        <w:t>m</w:t>
      </w:r>
      <w:r w:rsidRPr="0056409E">
        <w:rPr>
          <w:lang w:val="es-ES_tradnl"/>
        </w:rPr>
        <w:t xml:space="preserve"> y el punto de campo.</w:t>
      </w:r>
    </w:p>
    <w:p w14:paraId="385F260B" w14:textId="77777777" w:rsidR="0086339D" w:rsidRPr="0056409E" w:rsidRDefault="0086339D" w:rsidP="0086339D">
      <w:pPr>
        <w:rPr>
          <w:lang w:val="es-ES_tradnl"/>
        </w:rPr>
      </w:pPr>
      <w:r w:rsidRPr="0056409E">
        <w:rPr>
          <w:lang w:val="es-ES_tradnl"/>
        </w:rPr>
        <w:t xml:space="preserve">La ecuación (19) es una ecuación íntegrodiferencial para la distribución de corriente y sólo puede resolverse por métodos numéricos. Para ello se siguen las directrices generales del método y se aproxima la función desconocida </w:t>
      </w:r>
      <w:r w:rsidRPr="0056409E">
        <w:rPr>
          <w:i/>
          <w:iCs/>
          <w:lang w:val="es-ES_tradnl"/>
        </w:rPr>
        <w:t>I</w:t>
      </w:r>
      <w:r w:rsidRPr="0056409E">
        <w:rPr>
          <w:i/>
          <w:iCs/>
          <w:vertAlign w:val="subscript"/>
          <w:lang w:val="es-ES_tradnl"/>
        </w:rPr>
        <w:t>m</w:t>
      </w:r>
      <w:r w:rsidRPr="0056409E">
        <w:rPr>
          <w:i/>
          <w:iCs/>
          <w:lang w:val="es-ES_tradnl"/>
        </w:rPr>
        <w:t xml:space="preserve"> </w:t>
      </w:r>
      <w:r w:rsidRPr="0056409E">
        <w:rPr>
          <w:lang w:val="es-ES_tradnl"/>
        </w:rPr>
        <w:t>(</w:t>
      </w:r>
      <w:r w:rsidRPr="0056409E">
        <w:rPr>
          <w:i/>
          <w:iCs/>
          <w:lang w:val="es-ES_tradnl"/>
        </w:rPr>
        <w:t>s</w:t>
      </w:r>
      <w:r w:rsidRPr="0056409E">
        <w:rPr>
          <w:i/>
          <w:iCs/>
          <w:vertAlign w:val="subscript"/>
          <w:lang w:val="es-ES_tradnl"/>
        </w:rPr>
        <w:t>m</w:t>
      </w:r>
      <w:r w:rsidRPr="0056409E">
        <w:rPr>
          <w:lang w:val="es-ES_tradnl"/>
        </w:rPr>
        <w:t>) mediante una serie de funciones conocidas (funciones de base) con unos coeficientes de ponderación desconocidos. Como funciones de base se eligen las funciones de potencia simples, que equivalen a la aproximación polinómica de la distribución de corriente, es decir:</w:t>
      </w:r>
    </w:p>
    <w:p w14:paraId="354338A2" w14:textId="77777777" w:rsidR="0086339D" w:rsidRPr="0056409E" w:rsidRDefault="0086339D" w:rsidP="0086339D">
      <w:pPr>
        <w:pStyle w:val="Equation"/>
        <w:rPr>
          <w:lang w:val="es-ES_tradnl"/>
        </w:rPr>
      </w:pPr>
      <w:r w:rsidRPr="0056409E">
        <w:rPr>
          <w:lang w:val="es-ES_tradnl"/>
        </w:rPr>
        <w:tab/>
      </w:r>
      <w:r w:rsidRPr="0056409E">
        <w:rPr>
          <w:lang w:val="es-ES_tradnl"/>
        </w:rPr>
        <w:tab/>
      </w:r>
      <w:r w:rsidRPr="0056409E">
        <w:rPr>
          <w:b/>
          <w:position w:val="-40"/>
          <w:sz w:val="20"/>
          <w:lang w:val="es-ES_tradnl"/>
        </w:rPr>
        <w:object w:dxaOrig="2320" w:dyaOrig="920" w14:anchorId="7BE6FF8E">
          <v:shape id="_x0000_i1229" type="#_x0000_t75" style="width:116.15pt;height:44.15pt" o:ole="">
            <v:imagedata r:id="rId91" o:title=""/>
          </v:shape>
          <o:OLEObject Type="Embed" ProgID="Equation.3" ShapeID="_x0000_i1229" DrawAspect="Content" ObjectID="_1773141094" r:id="rId92"/>
        </w:object>
      </w:r>
      <w:r w:rsidRPr="0056409E">
        <w:rPr>
          <w:lang w:val="es-ES_tradnl"/>
        </w:rPr>
        <w:tab/>
        <w:t>(20)</w:t>
      </w:r>
    </w:p>
    <w:p w14:paraId="6EE06103" w14:textId="77777777" w:rsidR="0086339D" w:rsidRPr="0056409E" w:rsidRDefault="0086339D" w:rsidP="0086339D">
      <w:pPr>
        <w:rPr>
          <w:lang w:val="es-ES_tradnl"/>
        </w:rPr>
      </w:pPr>
      <w:r w:rsidRPr="0056409E">
        <w:rPr>
          <w:lang w:val="es-ES_tradnl"/>
        </w:rPr>
        <w:t>siendo:</w:t>
      </w:r>
    </w:p>
    <w:p w14:paraId="30F698D7" w14:textId="77777777" w:rsidR="0086339D" w:rsidRPr="0056409E" w:rsidRDefault="0086339D" w:rsidP="0086339D">
      <w:pPr>
        <w:pStyle w:val="Equationlegend"/>
        <w:rPr>
          <w:lang w:val="es-ES_tradnl"/>
        </w:rPr>
      </w:pPr>
      <w:r w:rsidRPr="0056409E">
        <w:rPr>
          <w:lang w:val="es-ES_tradnl"/>
        </w:rPr>
        <w:tab/>
      </w:r>
      <w:r w:rsidRPr="0056409E">
        <w:rPr>
          <w:i/>
          <w:iCs/>
          <w:lang w:val="es-ES_tradnl"/>
        </w:rPr>
        <w:t>h</w:t>
      </w:r>
      <w:r w:rsidRPr="0056409E">
        <w:rPr>
          <w:i/>
          <w:iCs/>
          <w:vertAlign w:val="subscript"/>
          <w:lang w:val="es-ES_tradnl"/>
        </w:rPr>
        <w:t>m</w:t>
      </w:r>
      <w:r w:rsidRPr="0056409E">
        <w:rPr>
          <w:rFonts w:ascii="Tms Rmn" w:hAnsi="Tms Rmn"/>
          <w:sz w:val="12"/>
          <w:lang w:val="es-ES_tradnl"/>
        </w:rPr>
        <w:t> </w:t>
      </w:r>
      <w:r w:rsidRPr="0056409E">
        <w:rPr>
          <w:lang w:val="es-ES_tradnl"/>
        </w:rPr>
        <w:t>:</w:t>
      </w:r>
      <w:r w:rsidRPr="0056409E">
        <w:rPr>
          <w:lang w:val="es-ES_tradnl"/>
        </w:rPr>
        <w:tab/>
        <w:t xml:space="preserve">longitud del segmento </w:t>
      </w:r>
    </w:p>
    <w:p w14:paraId="7F52478B" w14:textId="77777777" w:rsidR="0086339D" w:rsidRPr="0056409E" w:rsidRDefault="0086339D" w:rsidP="0086339D">
      <w:pPr>
        <w:pStyle w:val="Equationlegend"/>
        <w:rPr>
          <w:lang w:val="es-ES_tradnl"/>
        </w:rPr>
      </w:pPr>
      <w:r w:rsidRPr="0056409E">
        <w:rPr>
          <w:lang w:val="es-ES_tradnl"/>
        </w:rPr>
        <w:tab/>
      </w:r>
      <w:r w:rsidRPr="0056409E">
        <w:rPr>
          <w:i/>
          <w:iCs/>
          <w:lang w:val="es-ES_tradnl"/>
        </w:rPr>
        <w:t>I</w:t>
      </w:r>
      <w:r w:rsidRPr="0056409E">
        <w:rPr>
          <w:i/>
          <w:iCs/>
          <w:vertAlign w:val="subscript"/>
          <w:lang w:val="es-ES_tradnl"/>
        </w:rPr>
        <w:t>mi</w:t>
      </w:r>
      <w:r w:rsidRPr="0056409E">
        <w:rPr>
          <w:rFonts w:ascii="Tms Rmn" w:hAnsi="Tms Rmn"/>
          <w:sz w:val="12"/>
          <w:lang w:val="es-ES_tradnl"/>
        </w:rPr>
        <w:t> </w:t>
      </w:r>
      <w:r w:rsidRPr="0056409E">
        <w:rPr>
          <w:lang w:val="es-ES_tradnl"/>
        </w:rPr>
        <w:t>:</w:t>
      </w:r>
      <w:r w:rsidRPr="0056409E">
        <w:rPr>
          <w:lang w:val="es-ES_tradnl"/>
        </w:rPr>
        <w:tab/>
        <w:t>coeficientes de ponderación.</w:t>
      </w:r>
    </w:p>
    <w:p w14:paraId="128F9EBA" w14:textId="4C2EA4A8" w:rsidR="0086339D" w:rsidRPr="0056409E" w:rsidRDefault="0086339D" w:rsidP="0086339D">
      <w:pPr>
        <w:rPr>
          <w:lang w:val="es-ES_tradnl"/>
        </w:rPr>
      </w:pPr>
      <w:r w:rsidRPr="0056409E">
        <w:rPr>
          <w:lang w:val="es-ES_tradnl"/>
        </w:rPr>
        <w:t xml:space="preserve">La ecuación (19) no puede satisfacerse exactamente en todos los puntos de los segmentos de hilo, sino sólo aproximadamente. De acuerdo con el método MOM, se selecciona un conjunto de funciones de ponderación y se evalúan los puntos internos de la ecuación (19) y estas funciones. Como funciones de ponderación se utilizan impulsos. Cada impulso es una constante de valor unidad en un subsegmento corto y de valor cero fuera de ese subsegmento. En la </w:t>
      </w:r>
      <w:r w:rsidR="0042201F">
        <w:rPr>
          <w:lang w:val="es-ES_tradnl"/>
        </w:rPr>
        <w:t>Fig.</w:t>
      </w:r>
      <w:r w:rsidRPr="0056409E">
        <w:rPr>
          <w:lang w:val="es-ES_tradnl"/>
        </w:rPr>
        <w:t xml:space="preserve"> 37 se representa una distribución típica de los impulsos.</w:t>
      </w:r>
    </w:p>
    <w:p w14:paraId="2AC90988" w14:textId="77777777" w:rsidR="0086339D" w:rsidRPr="0056409E" w:rsidRDefault="0086339D" w:rsidP="0086339D">
      <w:pPr>
        <w:pStyle w:val="FigureNo"/>
        <w:rPr>
          <w:rFonts w:eastAsia="Calibri"/>
          <w:lang w:val="es-ES_tradnl" w:bidi="he-IL"/>
        </w:rPr>
      </w:pPr>
      <w:r w:rsidRPr="0056409E">
        <w:rPr>
          <w:rFonts w:eastAsia="Calibri"/>
          <w:lang w:val="es-ES_tradnl" w:bidi="he-IL"/>
        </w:rPr>
        <w:t>FIGURA 37</w:t>
      </w:r>
    </w:p>
    <w:p w14:paraId="7D7F7693" w14:textId="77777777" w:rsidR="0086339D" w:rsidRPr="0056409E" w:rsidRDefault="0086339D" w:rsidP="0086339D">
      <w:pPr>
        <w:pStyle w:val="Figuretitle"/>
        <w:rPr>
          <w:lang w:val="es-ES_tradnl"/>
        </w:rPr>
      </w:pPr>
      <w:r w:rsidRPr="0056409E">
        <w:rPr>
          <w:lang w:val="es-ES_tradnl"/>
        </w:rPr>
        <w:t>Distribución típica de las funciones de ponderación de impulsos utilizadas en el programa AWAS</w:t>
      </w:r>
    </w:p>
    <w:p w14:paraId="1DF4F33E" w14:textId="77777777" w:rsidR="0086339D" w:rsidRPr="0056409E" w:rsidRDefault="0086339D" w:rsidP="0086339D">
      <w:pPr>
        <w:pStyle w:val="Figure"/>
        <w:rPr>
          <w:b/>
          <w:bCs/>
          <w:sz w:val="20"/>
          <w:lang w:val="es-ES_tradnl"/>
        </w:rPr>
      </w:pPr>
      <w:r w:rsidRPr="0056409E">
        <w:rPr>
          <w:b/>
          <w:bCs/>
          <w:noProof/>
          <w:sz w:val="20"/>
          <w:lang w:val="es-ES_tradnl"/>
        </w:rPr>
        <w:drawing>
          <wp:inline distT="0" distB="0" distL="0" distR="0" wp14:anchorId="44F509FF" wp14:editId="078D5781">
            <wp:extent cx="3974600" cy="1819660"/>
            <wp:effectExtent l="0" t="0" r="6985" b="9525"/>
            <wp:docPr id="69" name="Picture 69" descr="A drawing of a corn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drawing of a corner&#10;&#10;Description automatically generated with low confidenc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974600" cy="1819660"/>
                    </a:xfrm>
                    <a:prstGeom prst="rect">
                      <a:avLst/>
                    </a:prstGeom>
                  </pic:spPr>
                </pic:pic>
              </a:graphicData>
            </a:graphic>
          </wp:inline>
        </w:drawing>
      </w:r>
    </w:p>
    <w:p w14:paraId="59246584" w14:textId="77777777" w:rsidR="0086339D" w:rsidRPr="0056409E" w:rsidRDefault="0086339D" w:rsidP="00664AF6">
      <w:pPr>
        <w:pStyle w:val="Normalaftertitle"/>
        <w:rPr>
          <w:lang w:val="es-ES_tradnl"/>
        </w:rPr>
      </w:pPr>
      <w:r w:rsidRPr="0056409E">
        <w:rPr>
          <w:lang w:val="es-ES_tradnl"/>
        </w:rPr>
        <w:t>Para un impulso definido en el subsegmento (</w:t>
      </w:r>
      <w:r w:rsidRPr="0056409E">
        <w:rPr>
          <w:i/>
          <w:iCs/>
          <w:lang w:val="es-ES_tradnl"/>
        </w:rPr>
        <w:t>s</w:t>
      </w:r>
      <w:r w:rsidRPr="0056409E">
        <w:rPr>
          <w:i/>
          <w:iCs/>
          <w:vertAlign w:val="subscript"/>
          <w:lang w:val="es-ES_tradnl"/>
        </w:rPr>
        <w:t>p</w:t>
      </w:r>
      <w:r w:rsidRPr="0056409E">
        <w:rPr>
          <w:vertAlign w:val="subscript"/>
          <w:lang w:val="es-ES_tradnl"/>
        </w:rPr>
        <w:t>1</w:t>
      </w:r>
      <w:r w:rsidRPr="0056409E">
        <w:rPr>
          <w:lang w:val="es-ES_tradnl"/>
        </w:rPr>
        <w:t xml:space="preserve">, </w:t>
      </w:r>
      <w:r w:rsidRPr="0056409E">
        <w:rPr>
          <w:i/>
          <w:iCs/>
          <w:lang w:val="es-ES_tradnl"/>
        </w:rPr>
        <w:t>s</w:t>
      </w:r>
      <w:r w:rsidRPr="0056409E">
        <w:rPr>
          <w:i/>
          <w:iCs/>
          <w:vertAlign w:val="subscript"/>
          <w:lang w:val="es-ES_tradnl"/>
        </w:rPr>
        <w:t>p</w:t>
      </w:r>
      <w:r w:rsidRPr="0056409E">
        <w:rPr>
          <w:vertAlign w:val="subscript"/>
          <w:lang w:val="es-ES_tradnl"/>
        </w:rPr>
        <w:t>2</w:t>
      </w:r>
      <w:r w:rsidRPr="0056409E">
        <w:rPr>
          <w:lang w:val="es-ES_tradnl"/>
        </w:rPr>
        <w:t>) a lo largo del eje del segmento de hilos </w:t>
      </w:r>
      <w:r w:rsidRPr="0056409E">
        <w:rPr>
          <w:i/>
          <w:lang w:val="es-ES_tradnl"/>
        </w:rPr>
        <w:t>p</w:t>
      </w:r>
      <w:r w:rsidRPr="0056409E">
        <w:rPr>
          <w:lang w:val="es-ES_tradnl"/>
        </w:rPr>
        <w:t>, la evaluación del producto interno da lugar a la ecuación (21):</w:t>
      </w:r>
    </w:p>
    <w:p w14:paraId="64576A8B" w14:textId="562325EA" w:rsidR="0086339D" w:rsidRPr="0056409E" w:rsidRDefault="0086339D" w:rsidP="0086339D">
      <w:pPr>
        <w:pStyle w:val="Equation"/>
        <w:jc w:val="right"/>
        <w:rPr>
          <w:lang w:val="es-ES_tradnl"/>
        </w:rPr>
      </w:pPr>
      <w:r w:rsidRPr="0056409E">
        <w:rPr>
          <w:position w:val="-100"/>
          <w:lang w:val="es-ES_tradnl"/>
        </w:rPr>
        <w:object w:dxaOrig="9200" w:dyaOrig="2120" w14:anchorId="67E6D548">
          <v:shape id="_x0000_i1230" type="#_x0000_t75" style="width:421.15pt;height:97.15pt" o:ole="">
            <v:imagedata r:id="rId94" o:title=""/>
          </v:shape>
          <o:OLEObject Type="Embed" ProgID="Equation.3" ShapeID="_x0000_i1230" DrawAspect="Content" ObjectID="_1773141095" r:id="rId95"/>
        </w:object>
      </w:r>
      <w:r w:rsidRPr="0056409E">
        <w:rPr>
          <w:lang w:val="es-ES_tradnl"/>
        </w:rPr>
        <w:tab/>
        <w:t>(21)</w:t>
      </w:r>
    </w:p>
    <w:p w14:paraId="089F3E6D" w14:textId="40402E5F" w:rsidR="0086339D" w:rsidRPr="0056409E" w:rsidRDefault="0086339D" w:rsidP="0086339D">
      <w:pPr>
        <w:rPr>
          <w:lang w:val="es-ES_tradnl"/>
        </w:rPr>
      </w:pPr>
      <w:r w:rsidRPr="0056409E">
        <w:rPr>
          <w:lang w:val="es-ES_tradnl"/>
        </w:rPr>
        <w:lastRenderedPageBreak/>
        <w:t xml:space="preserve">En esta ecuación, </w:t>
      </w:r>
      <w:r w:rsidRPr="0056409E">
        <w:rPr>
          <w:b/>
          <w:bCs/>
          <w:lang w:val="es-ES_tradnl"/>
        </w:rPr>
        <w:t>u</w:t>
      </w:r>
      <w:r w:rsidRPr="0056409E">
        <w:rPr>
          <w:b/>
          <w:bCs/>
          <w:i/>
          <w:iCs/>
          <w:vertAlign w:val="subscript"/>
          <w:lang w:val="es-ES_tradnl"/>
        </w:rPr>
        <w:t>p</w:t>
      </w:r>
      <w:r w:rsidRPr="0056409E">
        <w:rPr>
          <w:lang w:val="es-ES_tradnl"/>
        </w:rPr>
        <w:t xml:space="preserve"> es el vector unitario del segmento de hilo </w:t>
      </w:r>
      <w:r w:rsidRPr="0056409E">
        <w:rPr>
          <w:i/>
          <w:lang w:val="es-ES_tradnl"/>
        </w:rPr>
        <w:t xml:space="preserve">p </w:t>
      </w:r>
      <w:r w:rsidRPr="0056409E">
        <w:rPr>
          <w:lang w:val="es-ES_tradnl"/>
        </w:rPr>
        <w:t>y </w:t>
      </w:r>
      <w:r w:rsidRPr="0056409E">
        <w:rPr>
          <w:i/>
          <w:iCs/>
          <w:lang w:val="es-ES_tradnl"/>
        </w:rPr>
        <w:t>Z</w:t>
      </w:r>
      <w:r w:rsidRPr="0056409E">
        <w:rPr>
          <w:lang w:val="es-ES_tradnl"/>
        </w:rPr>
        <w:sym w:font="Symbol" w:char="F0A2"/>
      </w:r>
      <w:r w:rsidRPr="0056409E">
        <w:rPr>
          <w:lang w:val="es-ES_tradnl"/>
        </w:rPr>
        <w:t xml:space="preserve"> es la impedancia por unidad de longitud de una posible impedancia de carga distribuida a lo largo del segmento. Cuando se evalúan para todos los impulsos, las ecuaciones de la forma (21) comprenden un sistema de ecuaciones lineales en </w:t>
      </w:r>
      <w:r w:rsidRPr="0056409E">
        <w:rPr>
          <w:i/>
          <w:iCs/>
          <w:lang w:val="es-ES_tradnl"/>
        </w:rPr>
        <w:t>I</w:t>
      </w:r>
      <w:r w:rsidRPr="0056409E">
        <w:rPr>
          <w:i/>
          <w:iCs/>
          <w:vertAlign w:val="subscript"/>
          <w:lang w:val="es-ES_tradnl"/>
        </w:rPr>
        <w:t>mi</w:t>
      </w:r>
      <w:r w:rsidRPr="0056409E">
        <w:rPr>
          <w:lang w:val="es-ES_tradnl"/>
        </w:rPr>
        <w:t xml:space="preserve"> que puede resolverse numéricamente.</w:t>
      </w:r>
    </w:p>
    <w:p w14:paraId="602A8C99" w14:textId="77777777" w:rsidR="0086339D" w:rsidRPr="0056409E" w:rsidRDefault="0086339D" w:rsidP="0086339D">
      <w:pPr>
        <w:rPr>
          <w:lang w:val="es-ES_tradnl"/>
        </w:rPr>
      </w:pPr>
      <w:r w:rsidRPr="0056409E">
        <w:rPr>
          <w:lang w:val="es-ES_tradnl"/>
        </w:rPr>
        <w:t>Una vez conocidos los coeficientes </w:t>
      </w:r>
      <w:r w:rsidRPr="0056409E">
        <w:rPr>
          <w:i/>
          <w:iCs/>
          <w:lang w:val="es-ES_tradnl"/>
        </w:rPr>
        <w:t>I</w:t>
      </w:r>
      <w:r w:rsidRPr="0056409E">
        <w:rPr>
          <w:i/>
          <w:iCs/>
          <w:vertAlign w:val="subscript"/>
          <w:lang w:val="es-ES_tradnl"/>
        </w:rPr>
        <w:t>mi</w:t>
      </w:r>
      <w:r w:rsidRPr="0056409E">
        <w:rPr>
          <w:lang w:val="es-ES_tradnl"/>
        </w:rPr>
        <w:t>, se determina la distribución de corriente aproximada a lo largo de los segmentos de hilo y se evalúan las diversas características de la estructura filiforme. Esta parte de la Recomendación trata fundamentalmente de los campos eléctrico y magnético cercanos. El campo eléctrico puede evaluarse en términos de los dos potenciales, de forma similar a la que se obtiene en la ecuación de dos potenciales, es decir:</w:t>
      </w:r>
    </w:p>
    <w:p w14:paraId="5B60C1D7" w14:textId="4E9302E5" w:rsidR="0086339D" w:rsidRPr="0056409E" w:rsidRDefault="0086339D" w:rsidP="0086339D">
      <w:pPr>
        <w:pStyle w:val="Equation"/>
        <w:rPr>
          <w:lang w:val="es-ES_tradnl"/>
        </w:rPr>
      </w:pPr>
      <w:r w:rsidRPr="0056409E">
        <w:rPr>
          <w:lang w:val="es-ES_tradnl"/>
        </w:rPr>
        <w:tab/>
      </w:r>
      <w:r w:rsidRPr="0056409E">
        <w:rPr>
          <w:position w:val="-42"/>
          <w:sz w:val="20"/>
          <w:lang w:val="es-ES_tradnl"/>
        </w:rPr>
        <w:object w:dxaOrig="7760" w:dyaOrig="960" w14:anchorId="1D911E2C">
          <v:shape id="_x0000_i1231" type="#_x0000_t75" style="width:386.5pt;height:46.85pt" o:ole="">
            <v:imagedata r:id="rId96" o:title=""/>
          </v:shape>
          <o:OLEObject Type="Embed" ProgID="Equation.3" ShapeID="_x0000_i1231" DrawAspect="Content" ObjectID="_1773141096" r:id="rId97"/>
        </w:object>
      </w:r>
      <w:r w:rsidRPr="0056409E">
        <w:rPr>
          <w:lang w:val="es-ES_tradnl"/>
        </w:rPr>
        <w:tab/>
        <w:t>(22)</w:t>
      </w:r>
    </w:p>
    <w:p w14:paraId="29F94367" w14:textId="77777777" w:rsidR="0086339D" w:rsidRPr="0056409E" w:rsidRDefault="0086339D" w:rsidP="0086339D">
      <w:pPr>
        <w:rPr>
          <w:lang w:val="es-ES_tradnl"/>
        </w:rPr>
      </w:pPr>
      <w:r w:rsidRPr="0056409E">
        <w:rPr>
          <w:lang w:val="es-ES_tradnl"/>
        </w:rPr>
        <w:t>El campo magnético puede expresarse en función del potencial vectorial magnético como sigue:</w:t>
      </w:r>
    </w:p>
    <w:p w14:paraId="5A9B8847" w14:textId="77777777" w:rsidR="0086339D" w:rsidRPr="0056409E" w:rsidRDefault="0086339D" w:rsidP="0086339D">
      <w:pPr>
        <w:pStyle w:val="Equation"/>
        <w:rPr>
          <w:lang w:val="es-ES_tradnl"/>
        </w:rPr>
      </w:pPr>
      <w:r w:rsidRPr="0056409E">
        <w:rPr>
          <w:lang w:val="es-ES_tradnl"/>
        </w:rPr>
        <w:tab/>
      </w:r>
      <w:r w:rsidRPr="0056409E">
        <w:rPr>
          <w:lang w:val="es-ES_tradnl"/>
        </w:rPr>
        <w:tab/>
      </w:r>
      <w:r w:rsidRPr="0056409E">
        <w:rPr>
          <w:b/>
          <w:position w:val="-30"/>
          <w:sz w:val="20"/>
          <w:lang w:val="es-ES_tradnl"/>
        </w:rPr>
        <w:object w:dxaOrig="1380" w:dyaOrig="680" w14:anchorId="633F50DA">
          <v:shape id="_x0000_i1232" type="#_x0000_t75" style="width:69.3pt;height:36.7pt" o:ole="">
            <v:imagedata r:id="rId98" o:title=""/>
          </v:shape>
          <o:OLEObject Type="Embed" ProgID="Equation.3" ShapeID="_x0000_i1232" DrawAspect="Content" ObjectID="_1773141097" r:id="rId99"/>
        </w:object>
      </w:r>
      <w:r w:rsidRPr="0056409E">
        <w:rPr>
          <w:lang w:val="es-ES_tradnl"/>
        </w:rPr>
        <w:tab/>
        <w:t>(23)</w:t>
      </w:r>
    </w:p>
    <w:p w14:paraId="1BC7FF09" w14:textId="77777777" w:rsidR="0086339D" w:rsidRPr="0056409E" w:rsidRDefault="0086339D" w:rsidP="0086339D">
      <w:pPr>
        <w:rPr>
          <w:lang w:val="es-ES_tradnl"/>
        </w:rPr>
      </w:pPr>
      <w:r w:rsidRPr="0056409E">
        <w:rPr>
          <w:lang w:val="es-ES_tradnl"/>
        </w:rPr>
        <w:t>Cuando este potencial se expresa en términos de las corrientes de los hilos, se obtiene por último:</w:t>
      </w:r>
    </w:p>
    <w:p w14:paraId="628FBDAE" w14:textId="77777777" w:rsidR="0086339D" w:rsidRPr="0056409E" w:rsidRDefault="0086339D" w:rsidP="0086339D">
      <w:pPr>
        <w:pStyle w:val="Equation"/>
        <w:rPr>
          <w:lang w:val="es-ES_tradnl"/>
        </w:rPr>
      </w:pPr>
      <w:r w:rsidRPr="0056409E">
        <w:rPr>
          <w:lang w:val="es-ES_tradnl"/>
        </w:rPr>
        <w:tab/>
      </w:r>
      <w:r w:rsidRPr="0056409E">
        <w:rPr>
          <w:lang w:val="es-ES_tradnl"/>
        </w:rPr>
        <w:tab/>
      </w:r>
      <w:r w:rsidRPr="0056409E">
        <w:rPr>
          <w:b/>
          <w:position w:val="-40"/>
          <w:sz w:val="20"/>
          <w:lang w:val="es-ES_tradnl"/>
        </w:rPr>
        <w:object w:dxaOrig="4660" w:dyaOrig="940" w14:anchorId="0F0DB75B">
          <v:shape id="_x0000_i1233" type="#_x0000_t75" style="width:231.6pt;height:46.85pt" o:ole="">
            <v:imagedata r:id="rId100" o:title=""/>
          </v:shape>
          <o:OLEObject Type="Embed" ProgID="Equation.3" ShapeID="_x0000_i1233" DrawAspect="Content" ObjectID="_1773141098" r:id="rId101"/>
        </w:object>
      </w:r>
      <w:r w:rsidRPr="0056409E">
        <w:rPr>
          <w:lang w:val="es-ES_tradnl"/>
        </w:rPr>
        <w:tab/>
        <w:t>(24)</w:t>
      </w:r>
    </w:p>
    <w:p w14:paraId="3F6CAC01" w14:textId="77777777" w:rsidR="0086339D" w:rsidRPr="0056409E" w:rsidRDefault="0086339D" w:rsidP="0086339D">
      <w:pPr>
        <w:pStyle w:val="Heading1"/>
        <w:rPr>
          <w:lang w:val="es-ES_tradnl"/>
        </w:rPr>
      </w:pPr>
      <w:bookmarkStart w:id="783" w:name="_Toc162005952"/>
      <w:bookmarkStart w:id="784" w:name="_Toc162006280"/>
      <w:bookmarkStart w:id="785" w:name="_Toc162444627"/>
      <w:bookmarkStart w:id="786" w:name="_Toc162518235"/>
      <w:bookmarkStart w:id="787" w:name="_Toc162518758"/>
      <w:r w:rsidRPr="0056409E">
        <w:rPr>
          <w:lang w:val="es-ES_tradnl"/>
        </w:rPr>
        <w:t>3</w:t>
      </w:r>
      <w:r w:rsidRPr="0056409E">
        <w:rPr>
          <w:lang w:val="es-ES_tradnl"/>
        </w:rPr>
        <w:tab/>
        <w:t>Dosimetría</w:t>
      </w:r>
      <w:bookmarkEnd w:id="727"/>
      <w:bookmarkEnd w:id="728"/>
      <w:bookmarkEnd w:id="729"/>
      <w:bookmarkEnd w:id="730"/>
      <w:bookmarkEnd w:id="783"/>
      <w:bookmarkEnd w:id="784"/>
      <w:bookmarkEnd w:id="785"/>
      <w:bookmarkEnd w:id="786"/>
      <w:bookmarkEnd w:id="787"/>
    </w:p>
    <w:p w14:paraId="470F7C80" w14:textId="77777777" w:rsidR="0086339D" w:rsidRPr="0056409E" w:rsidRDefault="0086339D" w:rsidP="0086339D">
      <w:pPr>
        <w:rPr>
          <w:lang w:val="es-ES_tradnl"/>
        </w:rPr>
      </w:pPr>
      <w:r w:rsidRPr="0056409E">
        <w:rPr>
          <w:lang w:val="es-ES_tradnl"/>
        </w:rPr>
        <w:t>La aplicación de los conceptos de dosimetría permite relacionar las intensidades de campo externas (es decir, fuera del cuerpo) e internas, la densidad de corriente inducida y la tasa de absorción de energía en los tejidos. El desarrollo de la dosimetría experimental y numérica ha sido complementario. Ambos métodos requieren aproximaciones a la simulación de la exposición del cuerpo humano; sin embargo, el desarrollo de materiales equivalentes a los tejidos y de sondas que introducen una perturbación mínima en el dominio experimental así como la utilización de modelos anatómicos realistas a efectos de cálculo ha mejorado la comprensión de la interacción de los campos de radiofrecuencia con el cuerpo humano.</w:t>
      </w:r>
    </w:p>
    <w:p w14:paraId="3828280C" w14:textId="77777777" w:rsidR="0086339D" w:rsidRPr="0056409E" w:rsidRDefault="0086339D" w:rsidP="0086339D">
      <w:pPr>
        <w:rPr>
          <w:lang w:val="es-ES_tradnl"/>
        </w:rPr>
      </w:pPr>
      <w:r w:rsidRPr="0056409E">
        <w:rPr>
          <w:lang w:val="es-ES_tradnl"/>
        </w:rPr>
        <w:t>Si bien la densidad de corriente y la intensidad del campo eléctrico interno son las magnitudes que, a simple vista, más relación guardan con los efectos biológicos a bajas frecuencias, la tasa de absorción específica (SAR) de energía es el parámetro más significativo a medida que la frecuencia aumenta hasta llegar a longitudes de onda comparables a las dimensiones del cuerpo humano.</w:t>
      </w:r>
    </w:p>
    <w:p w14:paraId="77951D43" w14:textId="57A4CB90" w:rsidR="0086339D" w:rsidRPr="0056409E" w:rsidRDefault="0086339D" w:rsidP="0086339D">
      <w:pPr>
        <w:rPr>
          <w:lang w:val="es-ES_tradnl"/>
        </w:rPr>
      </w:pPr>
      <w:r w:rsidRPr="0056409E">
        <w:rPr>
          <w:lang w:val="es-ES_tradnl"/>
        </w:rPr>
        <w:t>En muchas situaciones de exposición, la SAR puede determinarse únicamente a partir de las intensidades de campo medidas en el entorno utilizando modelos dosimétricos. En frecuencias por debajo de 100 MHz se han utilizado técnicas no invasoras para medir la corriente inducida y en campos uniformes amplios se han relacionado las intensidades de campo eléctrico externo con las corrientes inducidas en función de la frecuencia. En la región de resonancia del cuerpo, pueden aparecer exposiciones significativas en el campo cercano reactivo donde el acoplamiento del campo incidente con el cuerpo es difícil de establecer debido a la no uniformidad del campo y al alineamiento cambiante entre el campo y el cuerpo. Además, pueden aparecer aumentos localizados en la densidad de corriente y en la tasa de absorción de energía en partes del cuerpo como consecuencia de la sección transversal geométrica restringida de los tejidos más conductores.</w:t>
      </w:r>
    </w:p>
    <w:p w14:paraId="2E90896E" w14:textId="77777777" w:rsidR="0086339D" w:rsidRPr="0056409E" w:rsidRDefault="0086339D" w:rsidP="0086339D">
      <w:pPr>
        <w:rPr>
          <w:lang w:val="es-ES_tradnl"/>
        </w:rPr>
      </w:pPr>
      <w:r w:rsidRPr="0056409E">
        <w:rPr>
          <w:lang w:val="es-ES_tradnl"/>
        </w:rPr>
        <w:lastRenderedPageBreak/>
        <w:t>Las cantidades dosimétricas pueden calcularse utilizando los procedimientos numéricos correspon</w:t>
      </w:r>
      <w:r w:rsidRPr="0056409E">
        <w:rPr>
          <w:lang w:val="es-ES_tradnl"/>
        </w:rPr>
        <w:softHyphen/>
        <w:t>dientes y modelos de cálculo del cuerpo humano. Por otro lado, tales cantidades pueden medirse empleando modelos físicos adecuados.</w:t>
      </w:r>
    </w:p>
    <w:p w14:paraId="79F4FEA0" w14:textId="77777777" w:rsidR="0086339D" w:rsidRPr="0056409E" w:rsidRDefault="0086339D" w:rsidP="00304703">
      <w:pPr>
        <w:pStyle w:val="Heading2"/>
        <w:rPr>
          <w:lang w:val="es-ES_tradnl"/>
        </w:rPr>
      </w:pPr>
      <w:bookmarkStart w:id="788" w:name="_Toc162005953"/>
      <w:bookmarkStart w:id="789" w:name="_Toc162006281"/>
      <w:bookmarkStart w:id="790" w:name="_Toc162444628"/>
      <w:bookmarkStart w:id="791" w:name="_Toc162518236"/>
      <w:bookmarkStart w:id="792" w:name="_Toc162518759"/>
      <w:r w:rsidRPr="0056409E">
        <w:rPr>
          <w:lang w:val="es-ES_tradnl"/>
        </w:rPr>
        <w:t>3.1</w:t>
      </w:r>
      <w:r w:rsidRPr="0056409E">
        <w:rPr>
          <w:lang w:val="es-ES_tradnl"/>
        </w:rPr>
        <w:tab/>
        <w:t>Cálculos de la tasa de absorción específica</w:t>
      </w:r>
      <w:bookmarkEnd w:id="788"/>
      <w:bookmarkEnd w:id="789"/>
      <w:bookmarkEnd w:id="790"/>
      <w:bookmarkEnd w:id="791"/>
      <w:bookmarkEnd w:id="792"/>
    </w:p>
    <w:p w14:paraId="46D92CC5" w14:textId="77777777" w:rsidR="0086339D" w:rsidRPr="0056409E" w:rsidRDefault="0086339D" w:rsidP="0086339D">
      <w:pPr>
        <w:rPr>
          <w:lang w:val="es-ES_tradnl"/>
        </w:rPr>
      </w:pPr>
      <w:r w:rsidRPr="0056409E">
        <w:rPr>
          <w:lang w:val="es-ES_tradnl"/>
        </w:rPr>
        <w:t>Dada la dificultad de medir la SAR promediada en todo el cuerpo o la SAR de cresta local en muchas situaciones de exposición, cabe la posibilidad de utilizar varios cálculos numéricos de las técnicas numéricas mencionadas anteriormente para estimar la distribución de la SAR en un cuerpo biológico expuesto a una radiación electromagnética de campo cercano o de campo lejano, por ejemplo, el FDTD, el MOM y el MMP.</w:t>
      </w:r>
    </w:p>
    <w:p w14:paraId="14976A18" w14:textId="77777777" w:rsidR="0086339D" w:rsidRPr="0056409E" w:rsidRDefault="0086339D" w:rsidP="0086339D">
      <w:pPr>
        <w:rPr>
          <w:lang w:val="es-ES_tradnl"/>
        </w:rPr>
      </w:pPr>
      <w:r w:rsidRPr="0056409E">
        <w:rPr>
          <w:lang w:val="es-ES_tradnl"/>
        </w:rPr>
        <w:t>La pertinencia de cada uno de estos métodos para resolver un problema particular depende, por ejemplo, de la frecuencia, de las condiciones de exposición, del tamaño del objeto expuesto, de la precisión requerida y del máximo tiempo de cálculo tolerable. Cada método requiere tener una experiencia en el análisis biofísico y numérico.</w:t>
      </w:r>
    </w:p>
    <w:p w14:paraId="0FCDDD1C" w14:textId="1AFE1DC6" w:rsidR="0086339D" w:rsidRPr="0056409E" w:rsidRDefault="0086339D" w:rsidP="0086339D">
      <w:pPr>
        <w:rPr>
          <w:lang w:val="es-ES_tradnl"/>
        </w:rPr>
      </w:pPr>
      <w:r w:rsidRPr="0056409E">
        <w:rPr>
          <w:lang w:val="es-ES_tradnl"/>
        </w:rPr>
        <w:t>Para utilizar cualquiera de estos modelos se necesita un modelo numérico geométrico tridi</w:t>
      </w:r>
      <w:r w:rsidRPr="0056409E">
        <w:rPr>
          <w:lang w:val="es-ES_tradnl"/>
        </w:rPr>
        <w:softHyphen/>
        <w:t>mensional del cuerpo expuesto o de la parte del cuerpo expuesta. Las propiedades eléctricas a la frecuencia de exposición deben ser conocidas para las distintas partes del cuerpo. Dependiendo de la precisión necesaria, pueden utilizarse modelos de diversa complejidad. En algunas situaciones, pueden utilizarse como modelo del cuerpo formas sencillas tales como esferas y cilindros. Las propiedades eléctricas de los tejidos humanos aparecen en muchos textos. Utilizando imágenes de resonancia magnética del cuerpo humano pueden elaborarse modelos corporales numéricos muy complejos y precisos. Para calcular la distribución de la SAR con el método FDTD en seres humanos expuestos a campos electromagnéticos procedentes de transmisores radioeléctricos portátiles se han empleado modelos de resonancia magnética con varios tipos de tejidos y una resolución espacial inferior a unos pocos milímetros. En el mercado, existen diversos paquetes de programas informáticos que permiten elaborar este tipo de modelos.</w:t>
      </w:r>
    </w:p>
    <w:p w14:paraId="67A82C19" w14:textId="77777777" w:rsidR="0086339D" w:rsidRPr="0056409E" w:rsidRDefault="0086339D" w:rsidP="00933B07">
      <w:pPr>
        <w:pStyle w:val="Heading2"/>
        <w:rPr>
          <w:lang w:val="es-ES_tradnl"/>
        </w:rPr>
      </w:pPr>
      <w:bookmarkStart w:id="793" w:name="_Toc65546054"/>
      <w:bookmarkStart w:id="794" w:name="_Toc65546236"/>
      <w:bookmarkStart w:id="795" w:name="_Toc65546366"/>
      <w:bookmarkStart w:id="796" w:name="_Toc86461585"/>
      <w:bookmarkStart w:id="797" w:name="_Toc162005954"/>
      <w:bookmarkStart w:id="798" w:name="_Toc162006282"/>
      <w:bookmarkStart w:id="799" w:name="_Toc162444629"/>
      <w:bookmarkStart w:id="800" w:name="_Toc162518237"/>
      <w:bookmarkStart w:id="801" w:name="_Toc162518760"/>
      <w:r w:rsidRPr="0056409E">
        <w:rPr>
          <w:lang w:val="es-ES_tradnl"/>
        </w:rPr>
        <w:t>3.2</w:t>
      </w:r>
      <w:r w:rsidRPr="0056409E">
        <w:rPr>
          <w:lang w:val="es-ES_tradnl"/>
        </w:rPr>
        <w:tab/>
        <w:t>M</w:t>
      </w:r>
      <w:bookmarkEnd w:id="793"/>
      <w:bookmarkEnd w:id="794"/>
      <w:bookmarkEnd w:id="795"/>
      <w:bookmarkEnd w:id="796"/>
      <w:r w:rsidRPr="0056409E">
        <w:rPr>
          <w:lang w:val="es-ES_tradnl"/>
        </w:rPr>
        <w:t>edición de la tasa de absorción específica</w:t>
      </w:r>
      <w:bookmarkEnd w:id="797"/>
      <w:bookmarkEnd w:id="798"/>
      <w:bookmarkEnd w:id="799"/>
      <w:bookmarkEnd w:id="800"/>
      <w:bookmarkEnd w:id="801"/>
    </w:p>
    <w:p w14:paraId="39B0AC60" w14:textId="77777777" w:rsidR="0086339D" w:rsidRPr="0056409E" w:rsidRDefault="0086339D" w:rsidP="0086339D">
      <w:pPr>
        <w:rPr>
          <w:lang w:val="es-ES_tradnl"/>
        </w:rPr>
      </w:pPr>
      <w:r w:rsidRPr="0056409E">
        <w:rPr>
          <w:lang w:val="es-ES_tradnl"/>
        </w:rPr>
        <w:t>La tasa de absorción específica (SAR) (W/kg) es la cantidad límite básica que establece la mayor parte de las normas y los reglamentos en materia de exposición a RF. La SAR es una medida de la tasa de energía electromagnética disipada por unidad de masa del tejido, o sea, la potencia absorbida por unidad de masa.</w:t>
      </w:r>
    </w:p>
    <w:p w14:paraId="49D1AAED" w14:textId="77777777" w:rsidR="0086339D" w:rsidRPr="0056409E" w:rsidRDefault="0086339D" w:rsidP="0086339D">
      <w:pPr>
        <w:rPr>
          <w:lang w:val="es-ES_tradnl"/>
        </w:rPr>
      </w:pPr>
      <w:r w:rsidRPr="0056409E">
        <w:rPr>
          <w:lang w:val="es-ES_tradnl"/>
        </w:rPr>
        <w:t>La SAR puede especificarse como el valor normalizado en toda la masa del cuerpo (a menudo denominada «SAR promediada en todo el cuerpo») o como el valor localizado en un pequeño volumen de tejido («SAR localizada»).</w:t>
      </w:r>
    </w:p>
    <w:p w14:paraId="0B972DF4" w14:textId="77777777" w:rsidR="0086339D" w:rsidRPr="0056409E" w:rsidRDefault="0086339D" w:rsidP="0086339D">
      <w:pPr>
        <w:rPr>
          <w:lang w:val="es-ES_tradnl"/>
        </w:rPr>
      </w:pPr>
      <w:r w:rsidRPr="0056409E">
        <w:rPr>
          <w:lang w:val="es-ES_tradnl"/>
        </w:rPr>
        <w:t>La SAR puede determinarse a partir de ciertas cantidades internas de tres formas, como se indica en la siguiente ecuación:</w:t>
      </w:r>
    </w:p>
    <w:p w14:paraId="41CA93AD" w14:textId="69B2A948" w:rsidR="0086339D" w:rsidRPr="0056409E" w:rsidRDefault="0086339D" w:rsidP="0086339D">
      <w:pPr>
        <w:pStyle w:val="Equation"/>
        <w:rPr>
          <w:lang w:val="es-ES_tradnl"/>
        </w:rPr>
      </w:pPr>
      <w:r w:rsidRPr="0056409E">
        <w:rPr>
          <w:lang w:val="es-ES_tradnl"/>
        </w:rPr>
        <w:tab/>
      </w:r>
      <w:r w:rsidRPr="0056409E">
        <w:rPr>
          <w:lang w:val="es-ES_tradnl"/>
        </w:rPr>
        <w:tab/>
      </w:r>
      <m:oMath>
        <m:r>
          <m:rPr>
            <m:nor/>
          </m:rPr>
          <w:rPr>
            <w:i/>
            <w:iCs/>
            <w:lang w:val="es-ES_tradnl"/>
          </w:rPr>
          <m:t>SAR</m:t>
        </m:r>
        <m:r>
          <m:rPr>
            <m:sty m:val="p"/>
          </m:rPr>
          <w:rPr>
            <w:rFonts w:ascii="Cambria Math" w:hAnsi="Cambria Math"/>
            <w:lang w:val="es-ES_tradnl"/>
          </w:rPr>
          <m:t> = </m:t>
        </m:r>
        <m:f>
          <m:fPr>
            <m:ctrlPr>
              <w:rPr>
                <w:rFonts w:ascii="Cambria Math" w:hAnsi="Cambria Math"/>
                <w:lang w:val="es-ES_tradnl"/>
              </w:rPr>
            </m:ctrlPr>
          </m:fPr>
          <m:num>
            <m:r>
              <m:rPr>
                <m:sty m:val="p"/>
              </m:rPr>
              <w:rPr>
                <w:rFonts w:ascii="Cambria Math" w:hAnsi="Cambria Math"/>
                <w:lang w:val="es-ES_tradnl"/>
              </w:rPr>
              <m:t>σ</m:t>
            </m:r>
            <m:sSup>
              <m:sSupPr>
                <m:ctrlPr>
                  <w:rPr>
                    <w:rFonts w:ascii="Cambria Math" w:hAnsi="Cambria Math"/>
                    <w:lang w:val="es-ES_tradnl"/>
                  </w:rPr>
                </m:ctrlPr>
              </m:sSupPr>
              <m:e>
                <m:r>
                  <w:rPr>
                    <w:rFonts w:ascii="Cambria Math" w:hAnsi="Cambria Math"/>
                    <w:lang w:val="es-ES_tradnl"/>
                  </w:rPr>
                  <m:t>E</m:t>
                </m:r>
              </m:e>
              <m:sup>
                <m:r>
                  <m:rPr>
                    <m:sty m:val="p"/>
                  </m:rPr>
                  <w:rPr>
                    <w:rFonts w:ascii="Cambria Math" w:hAnsi="Cambria Math"/>
                    <w:lang w:val="es-ES_tradnl"/>
                  </w:rPr>
                  <m:t>2</m:t>
                </m:r>
              </m:sup>
            </m:sSup>
          </m:num>
          <m:den>
            <m:r>
              <m:rPr>
                <m:sty m:val="p"/>
              </m:rPr>
              <w:rPr>
                <w:rFonts w:ascii="Cambria Math" w:hAnsi="Cambria Math"/>
                <w:lang w:val="es-ES_tradnl"/>
              </w:rPr>
              <m:t>ρ</m:t>
            </m:r>
          </m:den>
        </m:f>
        <m:r>
          <m:rPr>
            <m:sty m:val="p"/>
          </m:rPr>
          <w:rPr>
            <w:rFonts w:ascii="Cambria Math" w:hAnsi="Cambria Math"/>
            <w:lang w:val="es-ES_tradnl"/>
          </w:rPr>
          <m:t> = </m:t>
        </m:r>
        <m:sSub>
          <m:sSubPr>
            <m:ctrlPr>
              <w:rPr>
                <w:rFonts w:ascii="Cambria Math" w:hAnsi="Cambria Math"/>
                <w:lang w:val="es-ES_tradnl"/>
              </w:rPr>
            </m:ctrlPr>
          </m:sSubPr>
          <m:e>
            <m:r>
              <w:rPr>
                <w:rFonts w:ascii="Cambria Math" w:hAnsi="Cambria Math"/>
                <w:lang w:val="es-ES_tradnl"/>
              </w:rPr>
              <m:t>C</m:t>
            </m:r>
          </m:e>
          <m:sub>
            <m:r>
              <w:rPr>
                <w:rFonts w:ascii="Cambria Math" w:hAnsi="Cambria Math"/>
                <w:lang w:val="es-ES_tradnl"/>
              </w:rPr>
              <m:t>i</m:t>
            </m:r>
          </m:sub>
        </m:sSub>
        <m:r>
          <m:rPr>
            <m:sty m:val="p"/>
          </m:rPr>
          <w:rPr>
            <w:rFonts w:ascii="Cambria Math" w:hAnsi="Cambria Math"/>
            <w:lang w:val="es-ES_tradnl"/>
          </w:rPr>
          <m:t> </m:t>
        </m:r>
        <m:f>
          <m:fPr>
            <m:ctrlPr>
              <w:rPr>
                <w:rFonts w:ascii="Cambria Math" w:hAnsi="Cambria Math"/>
                <w:lang w:val="es-ES_tradnl"/>
              </w:rPr>
            </m:ctrlPr>
          </m:fPr>
          <m:num>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T</m:t>
                </m:r>
              </m:sub>
            </m:sSub>
          </m:num>
          <m:den>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t</m:t>
                </m:r>
              </m:sub>
            </m:sSub>
          </m:den>
        </m:f>
        <m:r>
          <m:rPr>
            <m:sty m:val="p"/>
          </m:rPr>
          <w:rPr>
            <w:rFonts w:ascii="Cambria Math" w:hAnsi="Cambria Math"/>
            <w:lang w:val="es-ES_tradnl"/>
          </w:rPr>
          <m:t xml:space="preserve">  = </m:t>
        </m:r>
        <m:f>
          <m:fPr>
            <m:ctrlPr>
              <w:rPr>
                <w:rFonts w:ascii="Cambria Math" w:hAnsi="Cambria Math"/>
                <w:lang w:val="es-ES_tradnl"/>
              </w:rPr>
            </m:ctrlPr>
          </m:fPr>
          <m:num>
            <m:sSup>
              <m:sSupPr>
                <m:ctrlPr>
                  <w:rPr>
                    <w:rFonts w:ascii="Cambria Math" w:hAnsi="Cambria Math"/>
                    <w:lang w:val="es-ES_tradnl"/>
                  </w:rPr>
                </m:ctrlPr>
              </m:sSupPr>
              <m:e>
                <m:r>
                  <w:rPr>
                    <w:rFonts w:ascii="Cambria Math" w:hAnsi="Cambria Math"/>
                    <w:lang w:val="es-ES_tradnl"/>
                  </w:rPr>
                  <m:t>J</m:t>
                </m:r>
              </m:e>
              <m:sup>
                <m:r>
                  <m:rPr>
                    <m:sty m:val="p"/>
                  </m:rPr>
                  <w:rPr>
                    <w:rFonts w:ascii="Cambria Math" w:hAnsi="Cambria Math"/>
                    <w:lang w:val="es-ES_tradnl"/>
                  </w:rPr>
                  <m:t>2</m:t>
                </m:r>
              </m:sup>
            </m:sSup>
          </m:num>
          <m:den>
            <m:r>
              <m:rPr>
                <m:sty m:val="p"/>
              </m:rPr>
              <w:rPr>
                <w:rFonts w:ascii="Cambria Math" w:hAnsi="Cambria Math"/>
                <w:lang w:val="es-ES_tradnl"/>
              </w:rPr>
              <m:t>σρ</m:t>
            </m:r>
          </m:den>
        </m:f>
        <m:r>
          <m:rPr>
            <m:sty m:val="p"/>
          </m:rPr>
          <w:rPr>
            <w:rFonts w:ascii="Cambria Math" w:hAnsi="Cambria Math"/>
            <w:lang w:val="es-ES_tradnl"/>
          </w:rPr>
          <m:t xml:space="preserve">  </m:t>
        </m:r>
      </m:oMath>
      <w:r w:rsidRPr="0056409E">
        <w:rPr>
          <w:lang w:val="es-ES_tradnl"/>
        </w:rPr>
        <w:tab/>
        <w:t>(25)</w:t>
      </w:r>
    </w:p>
    <w:p w14:paraId="139029DE" w14:textId="77777777" w:rsidR="0086339D" w:rsidRPr="0056409E" w:rsidRDefault="0086339D" w:rsidP="0086339D">
      <w:pPr>
        <w:rPr>
          <w:lang w:val="es-ES_tradnl"/>
        </w:rPr>
      </w:pPr>
      <w:r w:rsidRPr="0056409E">
        <w:rPr>
          <w:lang w:val="es-ES_tradnl"/>
        </w:rPr>
        <w:t>siendo:</w:t>
      </w:r>
    </w:p>
    <w:p w14:paraId="1CA2F135" w14:textId="77777777" w:rsidR="0086339D" w:rsidRPr="0056409E" w:rsidRDefault="0086339D" w:rsidP="0086339D">
      <w:pPr>
        <w:pStyle w:val="Equationlegend"/>
        <w:rPr>
          <w:szCs w:val="16"/>
          <w:lang w:val="es-ES_tradnl"/>
        </w:rPr>
      </w:pPr>
      <w:r w:rsidRPr="0056409E">
        <w:rPr>
          <w:lang w:val="es-ES_tradnl"/>
        </w:rPr>
        <w:tab/>
      </w:r>
      <w:r w:rsidRPr="0056409E">
        <w:rPr>
          <w:i/>
          <w:iCs/>
          <w:lang w:val="es-ES_tradnl"/>
        </w:rPr>
        <w:t>E</w:t>
      </w:r>
      <w:r w:rsidRPr="0056409E">
        <w:rPr>
          <w:rFonts w:ascii="Tms Rmn" w:hAnsi="Tms Rmn"/>
          <w:sz w:val="12"/>
          <w:lang w:val="es-ES_tradnl"/>
        </w:rPr>
        <w:t> </w:t>
      </w:r>
      <w:r w:rsidRPr="0056409E">
        <w:rPr>
          <w:lang w:val="es-ES_tradnl"/>
        </w:rPr>
        <w:t>:</w:t>
      </w:r>
      <w:r w:rsidRPr="0056409E">
        <w:rPr>
          <w:lang w:val="es-ES_tradnl"/>
        </w:rPr>
        <w:tab/>
        <w:t>intensidad de campo eléctrico interno en el tejido corporal (V/m</w:t>
      </w:r>
      <w:r w:rsidRPr="0056409E">
        <w:rPr>
          <w:vertAlign w:val="superscript"/>
          <w:lang w:val="es-ES_tradnl"/>
        </w:rPr>
        <w:t>–1</w:t>
      </w:r>
      <w:r w:rsidRPr="0056409E">
        <w:rPr>
          <w:lang w:val="es-ES_tradnl"/>
        </w:rPr>
        <w:t>)</w:t>
      </w:r>
    </w:p>
    <w:p w14:paraId="320C43A4" w14:textId="77777777" w:rsidR="0086339D" w:rsidRPr="0056409E" w:rsidRDefault="0086339D" w:rsidP="0086339D">
      <w:pPr>
        <w:pStyle w:val="Equationlegend"/>
        <w:rPr>
          <w:szCs w:val="16"/>
          <w:lang w:val="es-ES_tradnl"/>
        </w:rPr>
      </w:pPr>
      <w:r w:rsidRPr="0056409E">
        <w:rPr>
          <w:lang w:val="es-ES_tradnl"/>
        </w:rPr>
        <w:tab/>
      </w:r>
      <w:r w:rsidRPr="0056409E">
        <w:rPr>
          <w:rFonts w:ascii="Symbol" w:hAnsi="Symbol"/>
          <w:lang w:val="es-ES_tradnl"/>
        </w:rPr>
        <w:t></w:t>
      </w:r>
      <w:r w:rsidRPr="0056409E">
        <w:rPr>
          <w:rFonts w:ascii="Tms Rmn" w:hAnsi="Tms Rmn"/>
          <w:sz w:val="12"/>
          <w:lang w:val="es-ES_tradnl"/>
        </w:rPr>
        <w:t> </w:t>
      </w:r>
      <w:r w:rsidRPr="0056409E">
        <w:rPr>
          <w:lang w:val="es-ES_tradnl"/>
        </w:rPr>
        <w:t>:</w:t>
      </w:r>
      <w:r w:rsidRPr="0056409E">
        <w:rPr>
          <w:lang w:val="es-ES_tradnl"/>
        </w:rPr>
        <w:tab/>
        <w:t>conductividad del tejido corporal (S/m</w:t>
      </w:r>
      <w:r w:rsidRPr="0056409E">
        <w:rPr>
          <w:vertAlign w:val="superscript"/>
          <w:lang w:val="es-ES_tradnl"/>
        </w:rPr>
        <w:t>–1</w:t>
      </w:r>
      <w:r w:rsidRPr="0056409E">
        <w:rPr>
          <w:lang w:val="es-ES_tradnl"/>
        </w:rPr>
        <w:t>)</w:t>
      </w:r>
    </w:p>
    <w:p w14:paraId="1B8BA5B3" w14:textId="77777777" w:rsidR="0086339D" w:rsidRPr="0056409E" w:rsidRDefault="0086339D" w:rsidP="0086339D">
      <w:pPr>
        <w:pStyle w:val="Equationlegend"/>
        <w:rPr>
          <w:szCs w:val="16"/>
          <w:lang w:val="es-ES_tradnl"/>
        </w:rPr>
      </w:pPr>
      <w:r w:rsidRPr="0056409E">
        <w:rPr>
          <w:lang w:val="es-ES_tradnl"/>
        </w:rPr>
        <w:tab/>
      </w:r>
      <w:r w:rsidRPr="0056409E">
        <w:rPr>
          <w:rFonts w:ascii="Symbol" w:hAnsi="Symbol"/>
          <w:lang w:val="es-ES_tradnl"/>
        </w:rPr>
        <w:t></w:t>
      </w:r>
      <w:r w:rsidRPr="0056409E">
        <w:rPr>
          <w:rFonts w:ascii="Tms Rmn" w:hAnsi="Tms Rmn"/>
          <w:sz w:val="12"/>
          <w:lang w:val="es-ES_tradnl"/>
        </w:rPr>
        <w:t> </w:t>
      </w:r>
      <w:r w:rsidRPr="0056409E">
        <w:rPr>
          <w:lang w:val="es-ES_tradnl"/>
        </w:rPr>
        <w:t>:</w:t>
      </w:r>
      <w:r w:rsidRPr="0056409E">
        <w:rPr>
          <w:lang w:val="es-ES_tradnl"/>
        </w:rPr>
        <w:tab/>
        <w:t>densidad del tejido corporal (kg/m</w:t>
      </w:r>
      <w:r w:rsidRPr="0056409E">
        <w:rPr>
          <w:vertAlign w:val="superscript"/>
          <w:lang w:val="es-ES_tradnl"/>
        </w:rPr>
        <w:t>–3</w:t>
      </w:r>
      <w:r w:rsidRPr="0056409E">
        <w:rPr>
          <w:lang w:val="es-ES_tradnl"/>
        </w:rPr>
        <w:t>)</w:t>
      </w:r>
    </w:p>
    <w:p w14:paraId="57608391" w14:textId="77777777" w:rsidR="0086339D" w:rsidRPr="0056409E" w:rsidRDefault="0086339D" w:rsidP="0086339D">
      <w:pPr>
        <w:pStyle w:val="Equationlegend"/>
        <w:rPr>
          <w:lang w:val="es-ES_tradnl"/>
        </w:rPr>
      </w:pPr>
      <w:r w:rsidRPr="0056409E">
        <w:rPr>
          <w:lang w:val="es-ES_tradnl"/>
        </w:rPr>
        <w:tab/>
      </w:r>
      <w:r w:rsidRPr="0056409E">
        <w:rPr>
          <w:i/>
          <w:iCs/>
          <w:lang w:val="es-ES_tradnl"/>
        </w:rPr>
        <w:t>C</w:t>
      </w:r>
      <w:r w:rsidRPr="0056409E">
        <w:rPr>
          <w:i/>
          <w:iCs/>
          <w:vertAlign w:val="subscript"/>
          <w:lang w:val="es-ES_tradnl"/>
        </w:rPr>
        <w:t>i</w:t>
      </w:r>
      <w:r w:rsidRPr="0056409E">
        <w:rPr>
          <w:rFonts w:ascii="Tms Rmn" w:hAnsi="Tms Rmn"/>
          <w:sz w:val="12"/>
          <w:lang w:val="es-ES_tradnl"/>
        </w:rPr>
        <w:t> </w:t>
      </w:r>
      <w:r w:rsidRPr="0056409E">
        <w:rPr>
          <w:lang w:val="es-ES_tradnl"/>
        </w:rPr>
        <w:t>:</w:t>
      </w:r>
      <w:r w:rsidRPr="0056409E">
        <w:rPr>
          <w:lang w:val="es-ES_tradnl"/>
        </w:rPr>
        <w:tab/>
        <w:t>capacidad térmica del tejido corporal (J/kg</w:t>
      </w:r>
      <w:r w:rsidRPr="0056409E">
        <w:rPr>
          <w:vertAlign w:val="superscript"/>
          <w:lang w:val="es-ES_tradnl"/>
        </w:rPr>
        <w:t xml:space="preserve">–1 </w:t>
      </w:r>
      <w:r w:rsidRPr="0056409E">
        <w:rPr>
          <w:rFonts w:ascii="Symbol" w:hAnsi="Symbol"/>
          <w:lang w:val="es-ES_tradnl"/>
        </w:rPr>
        <w:t></w:t>
      </w:r>
      <w:r w:rsidRPr="0056409E">
        <w:rPr>
          <w:lang w:val="es-ES_tradnl"/>
        </w:rPr>
        <w:t>C</w:t>
      </w:r>
      <w:r w:rsidRPr="0056409E">
        <w:rPr>
          <w:vertAlign w:val="superscript"/>
          <w:lang w:val="es-ES_tradnl"/>
        </w:rPr>
        <w:t>–1</w:t>
      </w:r>
      <w:r w:rsidRPr="0056409E">
        <w:rPr>
          <w:lang w:val="es-ES_tradnl"/>
        </w:rPr>
        <w:t>)</w:t>
      </w:r>
    </w:p>
    <w:p w14:paraId="2CA42CB7" w14:textId="77777777" w:rsidR="0086339D" w:rsidRPr="0056409E" w:rsidRDefault="0086339D" w:rsidP="0086339D">
      <w:pPr>
        <w:pStyle w:val="Equationlegend"/>
        <w:rPr>
          <w:lang w:val="es-ES_tradnl"/>
        </w:rPr>
      </w:pPr>
      <w:r w:rsidRPr="0056409E">
        <w:rPr>
          <w:lang w:val="es-ES_tradnl"/>
        </w:rPr>
        <w:tab/>
      </w:r>
      <w:r w:rsidRPr="00CE5A2F">
        <w:rPr>
          <w:i/>
          <w:iCs/>
          <w:lang w:val="es-ES_tradnl"/>
        </w:rPr>
        <w:t>d</w:t>
      </w:r>
      <w:r w:rsidRPr="00CE5A2F">
        <w:rPr>
          <w:i/>
          <w:iCs/>
          <w:vertAlign w:val="subscript"/>
          <w:lang w:val="es-ES_tradnl"/>
        </w:rPr>
        <w:t>T</w:t>
      </w:r>
      <w:r w:rsidRPr="0056409E">
        <w:rPr>
          <w:lang w:val="es-ES_tradnl"/>
        </w:rPr>
        <w:t>/</w:t>
      </w:r>
      <w:r w:rsidRPr="00CE5A2F">
        <w:rPr>
          <w:i/>
          <w:iCs/>
          <w:lang w:val="es-ES_tradnl"/>
        </w:rPr>
        <w:t>d</w:t>
      </w:r>
      <w:r w:rsidRPr="00CE5A2F">
        <w:rPr>
          <w:i/>
          <w:iCs/>
          <w:vertAlign w:val="subscript"/>
          <w:lang w:val="es-ES_tradnl"/>
        </w:rPr>
        <w:t>t</w:t>
      </w:r>
      <w:r w:rsidRPr="00CE5A2F">
        <w:rPr>
          <w:rFonts w:ascii="Tms Rmn" w:hAnsi="Tms Rmn"/>
          <w:sz w:val="12"/>
          <w:vertAlign w:val="subscript"/>
          <w:lang w:val="es-ES_tradnl"/>
        </w:rPr>
        <w:t> </w:t>
      </w:r>
      <w:r w:rsidRPr="0056409E">
        <w:rPr>
          <w:lang w:val="es-ES_tradnl"/>
        </w:rPr>
        <w:t>:</w:t>
      </w:r>
      <w:r w:rsidRPr="0056409E">
        <w:rPr>
          <w:lang w:val="es-ES_tradnl"/>
        </w:rPr>
        <w:tab/>
        <w:t>derivada con respecto al tiempo de la temperatura en el tejido corporal (</w:t>
      </w:r>
      <w:r w:rsidRPr="0056409E">
        <w:rPr>
          <w:rFonts w:ascii="Symbol" w:hAnsi="Symbol"/>
          <w:lang w:val="es-ES_tradnl"/>
        </w:rPr>
        <w:t></w:t>
      </w:r>
      <w:r w:rsidRPr="0056409E">
        <w:rPr>
          <w:lang w:val="es-ES_tradnl"/>
        </w:rPr>
        <w:t>C/s</w:t>
      </w:r>
      <w:r w:rsidRPr="0056409E">
        <w:rPr>
          <w:rFonts w:ascii="Symbol" w:hAnsi="Symbol"/>
          <w:vertAlign w:val="superscript"/>
          <w:lang w:val="es-ES_tradnl"/>
        </w:rPr>
        <w:noBreakHyphen/>
      </w:r>
      <w:r w:rsidRPr="0056409E">
        <w:rPr>
          <w:vertAlign w:val="superscript"/>
          <w:lang w:val="es-ES_tradnl"/>
        </w:rPr>
        <w:t>1</w:t>
      </w:r>
      <w:r w:rsidRPr="0056409E">
        <w:rPr>
          <w:lang w:val="es-ES_tradnl"/>
        </w:rPr>
        <w:t>)</w:t>
      </w:r>
    </w:p>
    <w:p w14:paraId="3154368F" w14:textId="77777777" w:rsidR="0086339D" w:rsidRPr="0056409E" w:rsidRDefault="0086339D" w:rsidP="0086339D">
      <w:pPr>
        <w:pStyle w:val="Equationlegend"/>
        <w:rPr>
          <w:lang w:val="es-ES_tradnl"/>
        </w:rPr>
      </w:pPr>
      <w:r w:rsidRPr="0056409E">
        <w:rPr>
          <w:lang w:val="es-ES_tradnl"/>
        </w:rPr>
        <w:tab/>
      </w:r>
      <w:r w:rsidRPr="00CE5A2F">
        <w:rPr>
          <w:i/>
          <w:iCs/>
          <w:lang w:val="es-ES_tradnl"/>
        </w:rPr>
        <w:t>J</w:t>
      </w:r>
      <w:r w:rsidRPr="00CE5A2F">
        <w:rPr>
          <w:rFonts w:ascii="Tms Rmn" w:hAnsi="Tms Rmn"/>
          <w:i/>
          <w:iCs/>
          <w:sz w:val="12"/>
          <w:lang w:val="es-ES_tradnl"/>
        </w:rPr>
        <w:t> </w:t>
      </w:r>
      <w:r w:rsidRPr="0056409E">
        <w:rPr>
          <w:lang w:val="es-ES_tradnl"/>
        </w:rPr>
        <w:t>:</w:t>
      </w:r>
      <w:r w:rsidRPr="0056409E">
        <w:rPr>
          <w:lang w:val="es-ES_tradnl"/>
        </w:rPr>
        <w:tab/>
        <w:t>densidad de corriente inducida en el tejido corporal (A/m</w:t>
      </w:r>
      <w:r w:rsidRPr="0056409E">
        <w:rPr>
          <w:vertAlign w:val="superscript"/>
          <w:lang w:val="es-ES_tradnl"/>
        </w:rPr>
        <w:t>2</w:t>
      </w:r>
      <w:r w:rsidRPr="0056409E">
        <w:rPr>
          <w:lang w:val="es-ES_tradnl"/>
        </w:rPr>
        <w:t>).</w:t>
      </w:r>
    </w:p>
    <w:p w14:paraId="06BDC9C5" w14:textId="77777777" w:rsidR="0086339D" w:rsidRPr="0056409E" w:rsidRDefault="0086339D" w:rsidP="0086339D">
      <w:pPr>
        <w:rPr>
          <w:lang w:val="es-ES_tradnl"/>
        </w:rPr>
      </w:pPr>
      <w:r w:rsidRPr="0056409E">
        <w:rPr>
          <w:lang w:val="es-ES_tradnl"/>
        </w:rPr>
        <w:lastRenderedPageBreak/>
        <w:t>La SAR local en una masa incremental (dm) se define como la derivada con respecto al tiempo de la energía incremental (dW) absorbida dividida por la masa:</w:t>
      </w:r>
    </w:p>
    <w:p w14:paraId="39F2386C" w14:textId="77777777" w:rsidR="0086339D" w:rsidRPr="00890396" w:rsidRDefault="0086339D" w:rsidP="0086339D">
      <w:pPr>
        <w:pStyle w:val="Equation"/>
      </w:pPr>
      <w:r w:rsidRPr="0056409E">
        <w:rPr>
          <w:lang w:val="es-ES_tradnl"/>
        </w:rPr>
        <w:tab/>
      </w:r>
      <w:r w:rsidRPr="0056409E">
        <w:rPr>
          <w:lang w:val="es-ES_tradnl"/>
        </w:rPr>
        <w:tab/>
      </w:r>
      <m:oMath>
        <m:r>
          <w:rPr>
            <w:rFonts w:ascii="Cambria Math" w:hAnsi="Cambria Math"/>
            <w:lang w:val="es-ES_tradnl"/>
          </w:rPr>
          <m:t>SAR</m:t>
        </m:r>
        <m:r>
          <w:rPr>
            <w:rFonts w:ascii="Cambria Math" w:hAnsi="Cambria Math"/>
          </w:rPr>
          <m:t>=</m:t>
        </m:r>
        <m:f>
          <m:fPr>
            <m:type m:val="lin"/>
            <m:ctrlPr>
              <w:rPr>
                <w:rFonts w:ascii="Cambria Math" w:hAnsi="Cambria Math"/>
                <w:i/>
                <w:lang w:val="es-ES_tradnl"/>
              </w:rPr>
            </m:ctrlPr>
          </m:fPr>
          <m:num>
            <m:r>
              <w:rPr>
                <w:rFonts w:ascii="Cambria Math" w:hAnsi="Cambria Math"/>
                <w:lang w:val="es-ES_tradnl"/>
              </w:rPr>
              <m:t>d</m:t>
            </m:r>
          </m:num>
          <m:den>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t</m:t>
                </m:r>
              </m:sub>
            </m:sSub>
          </m:den>
        </m:f>
      </m:oMath>
      <w:r w:rsidRPr="00890396">
        <w:rPr>
          <w:i/>
          <w:iCs/>
        </w:rPr>
        <w:t>         </w:t>
      </w:r>
      <w:r w:rsidRPr="00890396">
        <w:t>dW/dm</w:t>
      </w:r>
      <w:r w:rsidRPr="00890396">
        <w:tab/>
        <w:t>(26)</w:t>
      </w:r>
    </w:p>
    <w:p w14:paraId="1C6B675F" w14:textId="77777777" w:rsidR="0086339D" w:rsidRPr="0056409E" w:rsidRDefault="0086339D" w:rsidP="0086339D">
      <w:pPr>
        <w:rPr>
          <w:lang w:val="es-ES_tradnl"/>
        </w:rPr>
      </w:pPr>
      <w:r w:rsidRPr="0056409E">
        <w:rPr>
          <w:lang w:val="es-ES_tradnl"/>
        </w:rPr>
        <w:t>Este valor es importante desde dos puntos de vista; la distribución no uniforme resultante de la absorción de energía cuando se expone a una onda plana uniforme y la absorción de energía localizada procedente de campos no uniformes muy próximos a una fuente de exposición.</w:t>
      </w:r>
    </w:p>
    <w:p w14:paraId="5F695CB6" w14:textId="77777777" w:rsidR="0086339D" w:rsidRPr="0056409E" w:rsidRDefault="0086339D" w:rsidP="0086339D">
      <w:pPr>
        <w:rPr>
          <w:lang w:val="es-ES_tradnl"/>
        </w:rPr>
      </w:pPr>
      <w:r w:rsidRPr="006150E0">
        <w:rPr>
          <w:lang w:val="es-ES_tradnl"/>
        </w:rPr>
        <w:t>La reglamentación o las normas sobre exposición contienen los límites de campo eléctrico y magnético obtenidos. El concepto dosimétrico básico garantiza que la conformidad con los niveles obtenidos (externos) asegurará el cumplimiento de los límites de SAR básicos. Sin embargo, también pueden utilizarse las mediciones de la SAR internas o externas para demostrar la conformidad. En condiciones de exposición de una parte del cuerpo al campo cercano, puede ser difícil medir los CEM externos o pueden rebasarse los límites obtenidos, aunque la SAR local esté por debajo de los límites básicos. En estos casos, deben realizarse mediciones de la SAR interna en modelos del cuerpo. A continuación se describen los métodos más importantes para medir la SAR.</w:t>
      </w:r>
      <w:bookmarkStart w:id="802" w:name="_Toc65546055"/>
      <w:bookmarkStart w:id="803" w:name="_Toc65546237"/>
      <w:bookmarkStart w:id="804" w:name="_Toc65546367"/>
      <w:bookmarkStart w:id="805" w:name="_Toc86461586"/>
    </w:p>
    <w:p w14:paraId="68168A9B" w14:textId="77777777" w:rsidR="0086339D" w:rsidRPr="0056409E" w:rsidRDefault="0086339D" w:rsidP="00304703">
      <w:pPr>
        <w:pStyle w:val="Heading3"/>
        <w:rPr>
          <w:lang w:val="es-ES_tradnl"/>
        </w:rPr>
      </w:pPr>
      <w:bookmarkStart w:id="806" w:name="_Toc162005955"/>
      <w:bookmarkStart w:id="807" w:name="_Toc162006283"/>
      <w:bookmarkStart w:id="808" w:name="_Toc162008639"/>
      <w:bookmarkStart w:id="809" w:name="_Toc162443849"/>
      <w:bookmarkStart w:id="810" w:name="_Toc162444079"/>
      <w:bookmarkStart w:id="811" w:name="_Toc162444630"/>
      <w:r w:rsidRPr="0056409E">
        <w:rPr>
          <w:lang w:val="es-ES_tradnl"/>
        </w:rPr>
        <w:t>3.2.1</w:t>
      </w:r>
      <w:r w:rsidRPr="0056409E">
        <w:rPr>
          <w:lang w:val="es-ES_tradnl"/>
        </w:rPr>
        <w:tab/>
        <w:t>Medición del campo eléctrico</w:t>
      </w:r>
      <w:bookmarkEnd w:id="802"/>
      <w:bookmarkEnd w:id="803"/>
      <w:bookmarkEnd w:id="804"/>
      <w:bookmarkEnd w:id="805"/>
      <w:bookmarkEnd w:id="806"/>
      <w:bookmarkEnd w:id="807"/>
      <w:bookmarkEnd w:id="808"/>
      <w:bookmarkEnd w:id="809"/>
      <w:bookmarkEnd w:id="810"/>
      <w:bookmarkEnd w:id="811"/>
    </w:p>
    <w:p w14:paraId="43D04A01" w14:textId="77777777" w:rsidR="0086339D" w:rsidRPr="0056409E" w:rsidRDefault="0086339D" w:rsidP="0086339D">
      <w:pPr>
        <w:rPr>
          <w:lang w:val="es-ES_tradnl"/>
        </w:rPr>
      </w:pPr>
      <w:r w:rsidRPr="0056409E">
        <w:rPr>
          <w:lang w:val="es-ES_tradnl"/>
        </w:rPr>
        <w:t>La SAR también es proporcional al valor eficaz de la intensidad de campo eléctrico </w:t>
      </w:r>
      <w:r w:rsidRPr="0056409E">
        <w:rPr>
          <w:i/>
          <w:iCs/>
          <w:lang w:val="es-ES_tradnl"/>
        </w:rPr>
        <w:t>E</w:t>
      </w:r>
      <w:r w:rsidRPr="0056409E">
        <w:rPr>
          <w:lang w:val="es-ES_tradnl"/>
        </w:rPr>
        <w:t> (V/m) dentro del tejido expuesto:</w:t>
      </w:r>
    </w:p>
    <w:p w14:paraId="28B3DF35" w14:textId="77777777" w:rsidR="0086339D" w:rsidRPr="0056409E" w:rsidRDefault="0086339D" w:rsidP="0086339D">
      <w:pPr>
        <w:pStyle w:val="Equation"/>
        <w:rPr>
          <w:lang w:val="es-ES_tradnl"/>
        </w:rPr>
      </w:pPr>
      <w:r w:rsidRPr="0056409E">
        <w:rPr>
          <w:lang w:val="es-ES_tradnl"/>
        </w:rPr>
        <w:tab/>
      </w:r>
      <w:r w:rsidRPr="0056409E">
        <w:rPr>
          <w:lang w:val="es-ES_tradnl"/>
        </w:rPr>
        <w:tab/>
      </w:r>
      <m:oMath>
        <m:r>
          <w:rPr>
            <w:rFonts w:ascii="Cambria Math" w:hAnsi="Cambria Math"/>
            <w:lang w:val="es-ES_tradnl"/>
          </w:rPr>
          <m:t>SAR=</m:t>
        </m:r>
        <m:f>
          <m:fPr>
            <m:type m:val="lin"/>
            <m:ctrlPr>
              <w:rPr>
                <w:rFonts w:ascii="Cambria Math" w:hAnsi="Cambria Math"/>
                <w:i/>
                <w:lang w:val="es-ES_tradnl"/>
              </w:rPr>
            </m:ctrlPr>
          </m:fPr>
          <m:num>
            <m:r>
              <m:rPr>
                <m:sty m:val="p"/>
              </m:rPr>
              <w:rPr>
                <w:rFonts w:ascii="Cambria Math" w:hAnsi="Cambria Math"/>
                <w:lang w:val="es-ES_tradnl"/>
              </w:rPr>
              <m:t>σ</m:t>
            </m:r>
            <m:sSup>
              <m:sSupPr>
                <m:ctrlPr>
                  <w:rPr>
                    <w:rFonts w:ascii="Cambria Math" w:hAnsi="Cambria Math"/>
                    <w:i/>
                    <w:lang w:val="es-ES_tradnl"/>
                  </w:rPr>
                </m:ctrlPr>
              </m:sSupPr>
              <m:e>
                <m:r>
                  <w:rPr>
                    <w:rFonts w:ascii="Cambria Math" w:hAnsi="Cambria Math"/>
                    <w:lang w:val="es-ES_tradnl"/>
                  </w:rPr>
                  <m:t>E</m:t>
                </m:r>
              </m:e>
              <m:sup>
                <m:r>
                  <w:rPr>
                    <w:rFonts w:ascii="Cambria Math" w:hAnsi="Cambria Math"/>
                    <w:lang w:val="es-ES_tradnl"/>
                  </w:rPr>
                  <m:t>2</m:t>
                </m:r>
              </m:sup>
            </m:sSup>
          </m:num>
          <m:den>
            <m:r>
              <m:rPr>
                <m:sty m:val="p"/>
              </m:rPr>
              <w:rPr>
                <w:rFonts w:ascii="Cambria Math" w:hAnsi="Cambria Math"/>
                <w:lang w:val="es-ES_tradnl"/>
              </w:rPr>
              <m:t>ρ</m:t>
            </m:r>
          </m:den>
        </m:f>
      </m:oMath>
      <w:r w:rsidRPr="0056409E">
        <w:rPr>
          <w:lang w:val="es-ES_tradnl"/>
        </w:rPr>
        <w:tab/>
      </w:r>
      <w:r w:rsidRPr="0056409E">
        <w:rPr>
          <w:rFonts w:ascii="Symbol" w:hAnsi="Symbol"/>
          <w:lang w:val="es-ES_tradnl"/>
        </w:rPr>
        <w:t></w:t>
      </w:r>
      <w:r w:rsidRPr="0056409E">
        <w:rPr>
          <w:rFonts w:ascii="Symbol" w:hAnsi="Symbol"/>
          <w:lang w:val="es-ES_tradnl"/>
        </w:rPr>
        <w:t></w:t>
      </w:r>
      <w:r w:rsidRPr="0056409E">
        <w:rPr>
          <w:rFonts w:ascii="Symbol" w:hAnsi="Symbol"/>
          <w:lang w:val="es-ES_tradnl"/>
        </w:rPr>
        <w:t></w:t>
      </w:r>
      <w:r w:rsidRPr="0056409E">
        <w:rPr>
          <w:rFonts w:ascii="Symbol" w:hAnsi="Symbol"/>
          <w:lang w:val="es-ES_tradnl"/>
        </w:rPr>
        <w:t></w:t>
      </w:r>
    </w:p>
    <w:p w14:paraId="3FDA8358" w14:textId="2BAA0417" w:rsidR="00CE5A2F" w:rsidRPr="00CE5A2F" w:rsidRDefault="00CE5A2F" w:rsidP="0086339D">
      <w:pPr>
        <w:pStyle w:val="Equationlegend"/>
        <w:rPr>
          <w:lang w:val="es-ES_tradnl"/>
        </w:rPr>
      </w:pPr>
      <w:r>
        <w:rPr>
          <w:lang w:val="es-ES_tradnl"/>
        </w:rPr>
        <w:t>siendo:</w:t>
      </w:r>
    </w:p>
    <w:p w14:paraId="1786BBBD" w14:textId="712BFECA" w:rsidR="0086339D" w:rsidRPr="0056409E" w:rsidRDefault="0086339D" w:rsidP="0086339D">
      <w:pPr>
        <w:pStyle w:val="Equationlegend"/>
        <w:rPr>
          <w:lang w:val="es-ES_tradnl"/>
        </w:rPr>
      </w:pPr>
      <w:r w:rsidRPr="0056409E">
        <w:rPr>
          <w:rFonts w:ascii="Symbol" w:hAnsi="Symbol"/>
          <w:lang w:val="es-ES_tradnl"/>
        </w:rPr>
        <w:tab/>
      </w:r>
      <w:r w:rsidRPr="0056409E">
        <w:rPr>
          <w:rFonts w:ascii="Symbol" w:hAnsi="Symbol"/>
          <w:lang w:val="es-ES_tradnl"/>
        </w:rPr>
        <w:sym w:font="Symbol" w:char="F073"/>
      </w:r>
      <w:r w:rsidRPr="0056409E">
        <w:rPr>
          <w:lang w:val="es-ES_tradnl"/>
        </w:rPr>
        <w:t xml:space="preserve"> (S/m)</w:t>
      </w:r>
      <w:r w:rsidRPr="0056409E">
        <w:rPr>
          <w:rFonts w:ascii="Tms Rmn" w:hAnsi="Tms Rmn"/>
          <w:sz w:val="12"/>
          <w:lang w:val="es-ES_tradnl"/>
        </w:rPr>
        <w:t> </w:t>
      </w:r>
      <w:r w:rsidRPr="0056409E">
        <w:rPr>
          <w:lang w:val="es-ES_tradnl"/>
        </w:rPr>
        <w:t>:</w:t>
      </w:r>
      <w:r w:rsidRPr="0056409E">
        <w:rPr>
          <w:lang w:val="es-ES_tradnl"/>
        </w:rPr>
        <w:tab/>
        <w:t>conductividad y</w:t>
      </w:r>
    </w:p>
    <w:p w14:paraId="26DD0014" w14:textId="77777777" w:rsidR="0086339D" w:rsidRPr="0056409E" w:rsidRDefault="0086339D" w:rsidP="0086339D">
      <w:pPr>
        <w:pStyle w:val="Equationlegend"/>
        <w:rPr>
          <w:lang w:val="es-ES_tradnl"/>
        </w:rPr>
      </w:pPr>
      <w:r w:rsidRPr="0056409E">
        <w:rPr>
          <w:rFonts w:ascii="Symbol" w:hAnsi="Symbol"/>
          <w:lang w:val="es-ES_tradnl"/>
        </w:rPr>
        <w:tab/>
      </w:r>
      <w:r w:rsidRPr="0056409E">
        <w:rPr>
          <w:rFonts w:ascii="Symbol" w:hAnsi="Symbol"/>
          <w:lang w:val="es-ES_tradnl"/>
        </w:rPr>
        <w:sym w:font="Symbol" w:char="F072"/>
      </w:r>
      <w:r w:rsidRPr="0056409E">
        <w:rPr>
          <w:lang w:val="es-ES_tradnl"/>
        </w:rPr>
        <w:t xml:space="preserve"> (kg/m</w:t>
      </w:r>
      <w:r w:rsidRPr="0056409E">
        <w:rPr>
          <w:vertAlign w:val="superscript"/>
          <w:lang w:val="es-ES_tradnl"/>
        </w:rPr>
        <w:t>3</w:t>
      </w:r>
      <w:r w:rsidRPr="0056409E">
        <w:rPr>
          <w:lang w:val="es-ES_tradnl"/>
        </w:rPr>
        <w:t>)</w:t>
      </w:r>
      <w:r w:rsidRPr="0056409E">
        <w:rPr>
          <w:rFonts w:ascii="Tms Rmn" w:hAnsi="Tms Rmn"/>
          <w:sz w:val="12"/>
          <w:lang w:val="es-ES_tradnl"/>
        </w:rPr>
        <w:t> </w:t>
      </w:r>
      <w:r w:rsidRPr="0056409E">
        <w:rPr>
          <w:lang w:val="es-ES_tradnl"/>
        </w:rPr>
        <w:t>:</w:t>
      </w:r>
      <w:r w:rsidRPr="0056409E">
        <w:rPr>
          <w:lang w:val="es-ES_tradnl"/>
        </w:rPr>
        <w:tab/>
        <w:t xml:space="preserve">densidad de masa del material de tejido en la posición de interés. </w:t>
      </w:r>
    </w:p>
    <w:p w14:paraId="0758BE82" w14:textId="77777777" w:rsidR="0086339D" w:rsidRPr="0056409E" w:rsidRDefault="0086339D" w:rsidP="0086339D">
      <w:pPr>
        <w:rPr>
          <w:lang w:val="es-ES_tradnl"/>
        </w:rPr>
      </w:pPr>
      <w:r w:rsidRPr="0056409E">
        <w:rPr>
          <w:lang w:val="es-ES_tradnl"/>
        </w:rPr>
        <w:t>Utilizando una sonda de campo eléctrico isótropa, puede determinarse la SAR local dentro de un modelo de cuerpo irradiado. Desplazando la sonda y repitiendo las mediciones de campo eléctrico en todo el cuerpo o parte del mismo, puede obtenerse la distribución de la SAR así como sus valores promediados en todo el cuerpo o en parte del cuerpo. La medición de un solo campo eléctrico lleva únicamente unos pocos segundos, lo que significa que las distribuciones de SAR tridimensionales pueden determinarse con una elevada resolución espacial en un tiempo de medición razonable (normalmente menos de una hora).</w:t>
      </w:r>
    </w:p>
    <w:p w14:paraId="72914063" w14:textId="77777777" w:rsidR="0086339D" w:rsidRPr="0056409E" w:rsidRDefault="0086339D" w:rsidP="0098138B">
      <w:pPr>
        <w:pStyle w:val="Heading3"/>
        <w:rPr>
          <w:lang w:val="es-ES_tradnl"/>
        </w:rPr>
      </w:pPr>
      <w:bookmarkStart w:id="812" w:name="_Toc65546056"/>
      <w:bookmarkStart w:id="813" w:name="_Toc65546238"/>
      <w:bookmarkStart w:id="814" w:name="_Toc65546368"/>
      <w:bookmarkStart w:id="815" w:name="_Toc86461587"/>
      <w:bookmarkStart w:id="816" w:name="_Toc162005956"/>
      <w:bookmarkStart w:id="817" w:name="_Toc162006284"/>
      <w:bookmarkStart w:id="818" w:name="_Toc162008640"/>
      <w:bookmarkStart w:id="819" w:name="_Toc162443850"/>
      <w:bookmarkStart w:id="820" w:name="_Toc162444080"/>
      <w:bookmarkStart w:id="821" w:name="_Toc162444631"/>
      <w:r w:rsidRPr="0056409E">
        <w:rPr>
          <w:lang w:val="es-ES_tradnl"/>
        </w:rPr>
        <w:t>3.2.2</w:t>
      </w:r>
      <w:r w:rsidRPr="0056409E">
        <w:rPr>
          <w:lang w:val="es-ES_tradnl"/>
        </w:rPr>
        <w:tab/>
        <w:t>Medición de la temperatura</w:t>
      </w:r>
      <w:bookmarkEnd w:id="812"/>
      <w:bookmarkEnd w:id="813"/>
      <w:bookmarkEnd w:id="814"/>
      <w:bookmarkEnd w:id="815"/>
      <w:bookmarkEnd w:id="816"/>
      <w:bookmarkEnd w:id="817"/>
      <w:bookmarkEnd w:id="818"/>
      <w:bookmarkEnd w:id="819"/>
      <w:bookmarkEnd w:id="820"/>
      <w:bookmarkEnd w:id="821"/>
    </w:p>
    <w:p w14:paraId="49601AE3" w14:textId="77777777" w:rsidR="0086339D" w:rsidRPr="0056409E" w:rsidRDefault="0086339D" w:rsidP="0086339D">
      <w:pPr>
        <w:rPr>
          <w:lang w:val="es-ES_tradnl"/>
        </w:rPr>
      </w:pPr>
      <w:r w:rsidRPr="0056409E">
        <w:rPr>
          <w:lang w:val="es-ES_tradnl"/>
        </w:rPr>
        <w:t>La SAR es proporcional a la tasa inicial de elevación de la temperatura</w:t>
      </w:r>
      <w:r w:rsidRPr="0056409E">
        <w:rPr>
          <w:i/>
          <w:iCs/>
          <w:lang w:val="es-ES_tradnl"/>
        </w:rPr>
        <w:t xml:space="preserve"> d</w:t>
      </w:r>
      <w:r w:rsidRPr="0056409E">
        <w:rPr>
          <w:i/>
          <w:iCs/>
          <w:vertAlign w:val="subscript"/>
          <w:lang w:val="es-ES_tradnl"/>
        </w:rPr>
        <w:t>T</w:t>
      </w:r>
      <w:r w:rsidRPr="0056409E">
        <w:rPr>
          <w:lang w:val="es-ES_tradnl"/>
        </w:rPr>
        <w:t>/</w:t>
      </w:r>
      <w:r w:rsidRPr="0056409E">
        <w:rPr>
          <w:i/>
          <w:iCs/>
          <w:lang w:val="es-ES_tradnl"/>
        </w:rPr>
        <w:t>d</w:t>
      </w:r>
      <w:r w:rsidRPr="0056409E">
        <w:rPr>
          <w:i/>
          <w:iCs/>
          <w:vertAlign w:val="subscript"/>
          <w:lang w:val="es-ES_tradnl"/>
        </w:rPr>
        <w:t>t</w:t>
      </w:r>
      <w:r w:rsidRPr="0056409E">
        <w:rPr>
          <w:lang w:val="es-ES_tradnl"/>
        </w:rPr>
        <w:t xml:space="preserve"> (K/s) en el tejido de un objeto expuesto:</w:t>
      </w:r>
    </w:p>
    <w:p w14:paraId="06F4594D" w14:textId="77777777" w:rsidR="0086339D" w:rsidRPr="0056409E" w:rsidRDefault="0086339D" w:rsidP="0086339D">
      <w:pPr>
        <w:pStyle w:val="Equation"/>
        <w:rPr>
          <w:lang w:val="es-ES_tradnl"/>
        </w:rPr>
      </w:pPr>
      <w:r w:rsidRPr="0056409E">
        <w:rPr>
          <w:lang w:val="es-ES_tradnl"/>
        </w:rPr>
        <w:tab/>
      </w:r>
      <w:r w:rsidRPr="0056409E">
        <w:rPr>
          <w:lang w:val="es-ES_tradnl"/>
        </w:rPr>
        <w:tab/>
      </w:r>
      <m:oMath>
        <m:r>
          <w:rPr>
            <w:rFonts w:ascii="Cambria Math" w:hAnsi="Cambria Math"/>
            <w:lang w:val="es-ES_tradnl"/>
          </w:rPr>
          <m:t>SAR=</m:t>
        </m:r>
        <m:f>
          <m:fPr>
            <m:type m:val="lin"/>
            <m:ctrlPr>
              <w:rPr>
                <w:rFonts w:ascii="Cambria Math" w:hAnsi="Cambria Math"/>
                <w:i/>
                <w:lang w:val="es-ES_tradnl"/>
              </w:rPr>
            </m:ctrlPr>
          </m:fPr>
          <m:num>
            <m:r>
              <w:rPr>
                <w:rFonts w:ascii="Cambria Math" w:hAnsi="Cambria Math"/>
                <w:lang w:val="es-ES_tradnl"/>
              </w:rPr>
              <m:t>c</m:t>
            </m:r>
            <m:r>
              <m:rPr>
                <m:sty m:val="p"/>
              </m:rPr>
              <w:rPr>
                <w:rFonts w:ascii="Cambria Math" w:hAnsi="Cambria Math"/>
                <w:lang w:val="es-ES_tradnl"/>
              </w:rPr>
              <m:t xml:space="preserve"> </m:t>
            </m:r>
            <m:sSub>
              <m:sSubPr>
                <m:ctrlPr>
                  <w:rPr>
                    <w:rFonts w:ascii="Cambria Math" w:hAnsi="Cambria Math"/>
                    <w:lang w:val="es-ES_tradnl"/>
                  </w:rPr>
                </m:ctrlPr>
              </m:sSubPr>
              <m:e>
                <m:r>
                  <m:rPr>
                    <m:sty m:val="p"/>
                  </m:rPr>
                  <w:rPr>
                    <w:rFonts w:ascii="Cambria Math" w:hAnsi="Cambria Math"/>
                    <w:lang w:val="es-ES_tradnl"/>
                  </w:rPr>
                  <m:t>Δ</m:t>
                </m:r>
              </m:e>
              <m:sub>
                <m:r>
                  <w:rPr>
                    <w:rFonts w:ascii="Cambria Math" w:hAnsi="Cambria Math"/>
                    <w:lang w:val="es-ES_tradnl"/>
                  </w:rPr>
                  <m:t>T</m:t>
                </m:r>
              </m:sub>
            </m:sSub>
          </m:num>
          <m:den>
            <m:sSub>
              <m:sSubPr>
                <m:ctrlPr>
                  <w:rPr>
                    <w:rFonts w:ascii="Cambria Math" w:hAnsi="Cambria Math"/>
                    <w:i/>
                    <w:lang w:val="es-ES_tradnl"/>
                  </w:rPr>
                </m:ctrlPr>
              </m:sSubPr>
              <m:e>
                <m:r>
                  <m:rPr>
                    <m:sty m:val="p"/>
                  </m:rPr>
                  <w:rPr>
                    <w:rFonts w:ascii="Cambria Math" w:hAnsi="Cambria Math"/>
                    <w:lang w:val="es-ES_tradnl"/>
                  </w:rPr>
                  <m:t>Δ</m:t>
                </m:r>
              </m:e>
              <m:sub>
                <m:r>
                  <w:rPr>
                    <w:rFonts w:ascii="Cambria Math" w:hAnsi="Cambria Math"/>
                    <w:lang w:val="es-ES_tradnl"/>
                  </w:rPr>
                  <m:t>t</m:t>
                </m:r>
              </m:sub>
            </m:sSub>
          </m:den>
        </m:f>
      </m:oMath>
      <w:r w:rsidRPr="0056409E">
        <w:rPr>
          <w:lang w:val="es-ES_tradnl"/>
        </w:rPr>
        <w:tab/>
        <w:t>(28)</w:t>
      </w:r>
    </w:p>
    <w:p w14:paraId="6712827D" w14:textId="24CC4A8A" w:rsidR="0086339D" w:rsidRPr="0056409E" w:rsidRDefault="0086339D" w:rsidP="0098138B">
      <w:pPr>
        <w:rPr>
          <w:lang w:val="es-ES_tradnl"/>
        </w:rPr>
      </w:pPr>
      <w:r w:rsidRPr="0056409E">
        <w:rPr>
          <w:lang w:val="es-ES_tradnl"/>
        </w:rPr>
        <w:t xml:space="preserve">siendo </w:t>
      </w:r>
      <w:r w:rsidRPr="0056409E">
        <w:rPr>
          <w:i/>
          <w:iCs/>
          <w:lang w:val="es-ES_tradnl"/>
        </w:rPr>
        <w:t xml:space="preserve">c </w:t>
      </w:r>
      <w:r w:rsidRPr="0056409E">
        <w:rPr>
          <w:lang w:val="es-ES_tradnl"/>
        </w:rPr>
        <w:t>la capacidad térmica específica del material del tejido (J kg</w:t>
      </w:r>
      <w:r w:rsidRPr="0056409E">
        <w:rPr>
          <w:vertAlign w:val="superscript"/>
          <w:lang w:val="es-ES_tradnl"/>
        </w:rPr>
        <w:t>–1 </w:t>
      </w:r>
      <w:r w:rsidRPr="0056409E">
        <w:rPr>
          <w:lang w:val="es-ES_tradnl"/>
        </w:rPr>
        <w:t>K</w:t>
      </w:r>
      <w:r w:rsidRPr="0056409E">
        <w:rPr>
          <w:vertAlign w:val="superscript"/>
          <w:lang w:val="es-ES_tradnl"/>
        </w:rPr>
        <w:t>–1</w:t>
      </w:r>
      <w:r w:rsidRPr="0056409E">
        <w:rPr>
          <w:lang w:val="es-ES_tradnl"/>
        </w:rPr>
        <w:t xml:space="preserve">). Utilizando algunas sondas de temperatura, puede determinarse la SAR local dentro de un modelo de cuerpo irradiado. Se utilizan una o más sondas para determinar el incremento de temperatura </w:t>
      </w:r>
      <w:r w:rsidRPr="0056409E">
        <w:rPr>
          <w:rFonts w:ascii="Symbol" w:hAnsi="Symbol"/>
          <w:lang w:val="es-ES_tradnl"/>
        </w:rPr>
        <w:sym w:font="Symbol" w:char="F044"/>
      </w:r>
      <w:r w:rsidRPr="0056409E">
        <w:rPr>
          <w:i/>
          <w:iCs/>
          <w:lang w:val="es-ES_tradnl"/>
        </w:rPr>
        <w:t>T</w:t>
      </w:r>
      <w:r w:rsidRPr="0056409E">
        <w:rPr>
          <w:lang w:val="es-ES_tradnl"/>
        </w:rPr>
        <w:t xml:space="preserve"> durante un breve tiempo de exposición </w:t>
      </w:r>
      <w:r w:rsidRPr="0056409E">
        <w:rPr>
          <w:rFonts w:ascii="Symbol" w:hAnsi="Symbol"/>
          <w:lang w:val="es-ES_tradnl"/>
        </w:rPr>
        <w:sym w:font="Symbol" w:char="F044"/>
      </w:r>
      <w:r w:rsidRPr="0056409E">
        <w:rPr>
          <w:i/>
          <w:iCs/>
          <w:lang w:val="es-ES_tradnl"/>
        </w:rPr>
        <w:t>t</w:t>
      </w:r>
      <w:r w:rsidRPr="0056409E">
        <w:rPr>
          <w:lang w:val="es-ES_tradnl"/>
        </w:rPr>
        <w:t xml:space="preserve"> (normalmente menos de 30 s para evitar la transferencia de calor). La tasa inicial de elevación de la temperatura se aproxima mediante </w:t>
      </w:r>
      <w:r w:rsidRPr="0056409E">
        <w:rPr>
          <w:rFonts w:ascii="Symbol" w:hAnsi="Symbol"/>
          <w:lang w:val="es-ES_tradnl"/>
        </w:rPr>
        <w:sym w:font="Symbol" w:char="F044"/>
      </w:r>
      <w:r w:rsidRPr="0056409E">
        <w:rPr>
          <w:i/>
          <w:iCs/>
          <w:lang w:val="es-ES_tradnl"/>
        </w:rPr>
        <w:t>T</w:t>
      </w:r>
      <w:r w:rsidRPr="0056409E">
        <w:rPr>
          <w:lang w:val="es-ES_tradnl"/>
        </w:rPr>
        <w:t>/</w:t>
      </w:r>
      <w:r w:rsidRPr="0056409E">
        <w:rPr>
          <w:rFonts w:ascii="Symbol" w:hAnsi="Symbol"/>
          <w:lang w:val="es-ES_tradnl"/>
        </w:rPr>
        <w:sym w:font="Symbol" w:char="F044"/>
      </w:r>
      <w:r w:rsidRPr="0056409E">
        <w:rPr>
          <w:i/>
          <w:iCs/>
          <w:lang w:val="es-ES_tradnl"/>
        </w:rPr>
        <w:t>t</w:t>
      </w:r>
      <w:r w:rsidRPr="0056409E">
        <w:rPr>
          <w:lang w:val="es-ES_tradnl"/>
        </w:rPr>
        <w:t>, y el valor de la SAR local se calcula para cada posición de medición. Repitiendo las mediciones de temperatura en todo el cuerpo o en una parte del cuerpo puede determinarse la distribución de la SAR y sus valores promediados en todo el cuerpo o en parte del cuerpo.</w:t>
      </w:r>
    </w:p>
    <w:p w14:paraId="4C24D2FF" w14:textId="77777777" w:rsidR="0086339D" w:rsidRPr="0056409E" w:rsidRDefault="0086339D" w:rsidP="0086339D">
      <w:pPr>
        <w:rPr>
          <w:lang w:val="es-ES_tradnl"/>
        </w:rPr>
      </w:pPr>
      <w:r w:rsidRPr="0056409E">
        <w:rPr>
          <w:lang w:val="es-ES_tradnl"/>
        </w:rPr>
        <w:t xml:space="preserve">Las mediciones de la distribución SAR tridimensional llevan tiempo debido al gran número de puntos de medición. Para lograr un tiempo de medición razonable debe limitarse el número de puntos, lo que significa que es difícil medir con precisión distribuciones de SAR intensa no uniforme. La precisión </w:t>
      </w:r>
      <w:r w:rsidRPr="0056409E">
        <w:rPr>
          <w:lang w:val="es-ES_tradnl"/>
        </w:rPr>
        <w:lastRenderedPageBreak/>
        <w:t>de las mediciones de temperatura también puede resultar afectada por la conducción y convección térmica durante las mediciones, o entre mediciones.</w:t>
      </w:r>
    </w:p>
    <w:p w14:paraId="3BBF5575" w14:textId="77777777" w:rsidR="0086339D" w:rsidRPr="0056409E" w:rsidRDefault="0086339D" w:rsidP="006150E0">
      <w:pPr>
        <w:pStyle w:val="Heading3"/>
        <w:rPr>
          <w:lang w:val="es-ES_tradnl"/>
        </w:rPr>
      </w:pPr>
      <w:bookmarkStart w:id="822" w:name="_Toc65546057"/>
      <w:bookmarkStart w:id="823" w:name="_Toc65546239"/>
      <w:bookmarkStart w:id="824" w:name="_Toc65546369"/>
      <w:bookmarkStart w:id="825" w:name="_Toc86461588"/>
      <w:bookmarkStart w:id="826" w:name="_Toc162005957"/>
      <w:bookmarkStart w:id="827" w:name="_Toc162006285"/>
      <w:bookmarkStart w:id="828" w:name="_Toc162008641"/>
      <w:bookmarkStart w:id="829" w:name="_Toc162443851"/>
      <w:bookmarkStart w:id="830" w:name="_Toc162444081"/>
      <w:bookmarkStart w:id="831" w:name="_Toc162444632"/>
      <w:r w:rsidRPr="0056409E">
        <w:rPr>
          <w:lang w:val="es-ES_tradnl"/>
        </w:rPr>
        <w:t>3.2.3</w:t>
      </w:r>
      <w:r w:rsidRPr="0056409E">
        <w:rPr>
          <w:lang w:val="es-ES_tradnl"/>
        </w:rPr>
        <w:tab/>
        <w:t>Medición calorimétrica</w:t>
      </w:r>
      <w:bookmarkEnd w:id="822"/>
      <w:bookmarkEnd w:id="823"/>
      <w:bookmarkEnd w:id="824"/>
      <w:bookmarkEnd w:id="825"/>
      <w:bookmarkEnd w:id="826"/>
      <w:bookmarkEnd w:id="827"/>
      <w:bookmarkEnd w:id="828"/>
      <w:bookmarkEnd w:id="829"/>
      <w:bookmarkEnd w:id="830"/>
      <w:bookmarkEnd w:id="831"/>
    </w:p>
    <w:p w14:paraId="363E34A8" w14:textId="77777777" w:rsidR="0086339D" w:rsidRPr="0056409E" w:rsidRDefault="0086339D" w:rsidP="0086339D">
      <w:pPr>
        <w:rPr>
          <w:lang w:val="es-ES_tradnl"/>
        </w:rPr>
      </w:pPr>
      <w:r w:rsidRPr="0056409E">
        <w:rPr>
          <w:lang w:val="es-ES_tradnl"/>
        </w:rPr>
        <w:t>La SAR promediada en todo cuerpo puede determinarse utilizando métodos calorimétricos. En una medición calorimétrica normal, se irradia durante un determinado periodo de tiempo un modelo de cuerpo a tamaño natural o a escala que se encuentre en equilibrio térmico. A continuación, se utiliza un calorímetro para medir el flujo de calor despedido por el cuerpo hasta que el modelo se encuentra nuevamente en equilibrio térmico. La energía absorbida total obtenida se divide por el tiempo de exposición y la masa del modelo de cuerpo con lo que se obtiene la SAR de todo el cuerpo. La técnica de fuentes gemelas calorimétrica utiliza dos calorímetros y dos modelos de cuerpo idénticos. Uno de los modelos se irradia y el otro se utiliza como referencia térmica, lo que significa que la medición puede realizarse en condiciones térmicas controladas con menos precisión que en el caso de una medición calorimétrica normal.</w:t>
      </w:r>
    </w:p>
    <w:p w14:paraId="0B76F1FE" w14:textId="26265EDD" w:rsidR="0086339D" w:rsidRPr="0056409E" w:rsidRDefault="0086339D" w:rsidP="0086339D">
      <w:pPr>
        <w:rPr>
          <w:lang w:val="es-ES_tradnl"/>
        </w:rPr>
      </w:pPr>
      <w:r w:rsidRPr="0056409E">
        <w:rPr>
          <w:lang w:val="es-ES_tradnl"/>
        </w:rPr>
        <w:t>Las mediciones calorimétricas proporcionan determinaciones bastante precisas de la SAR de todo cuerpo pero no dan información alguna sobre la distribución de la SAR interna. Para conseguir resultados precisos es necesario un volumen suficiente de deposición de energía. El tiempo total de una medición, que viene determinado por el tiempo que tarda en alcanzarse el equilibrio térmico tras la exposición, puede ser de hasta varias horas. La SAR de parte de un cuerpo puede medirse utilizando modelos de cuerpo parcial y pequeños calorímetros.</w:t>
      </w:r>
    </w:p>
    <w:p w14:paraId="6D2E5265" w14:textId="77777777" w:rsidR="0086339D" w:rsidRPr="0056409E" w:rsidRDefault="0086339D" w:rsidP="0086339D">
      <w:pPr>
        <w:pStyle w:val="Heading1"/>
        <w:rPr>
          <w:lang w:val="es-ES_tradnl"/>
        </w:rPr>
      </w:pPr>
      <w:bookmarkStart w:id="832" w:name="_Toc65546058"/>
      <w:bookmarkStart w:id="833" w:name="_Toc65546240"/>
      <w:bookmarkStart w:id="834" w:name="_Toc65546370"/>
      <w:bookmarkStart w:id="835" w:name="_Toc86461589"/>
      <w:bookmarkStart w:id="836" w:name="_Toc162005958"/>
      <w:bookmarkStart w:id="837" w:name="_Toc162006286"/>
      <w:bookmarkStart w:id="838" w:name="_Toc162444633"/>
      <w:bookmarkStart w:id="839" w:name="_Toc162518238"/>
      <w:bookmarkStart w:id="840" w:name="_Toc162518761"/>
      <w:r w:rsidRPr="0056409E">
        <w:rPr>
          <w:lang w:val="es-ES_tradnl"/>
        </w:rPr>
        <w:t>4</w:t>
      </w:r>
      <w:r w:rsidRPr="0056409E">
        <w:rPr>
          <w:lang w:val="es-ES_tradnl"/>
        </w:rPr>
        <w:tab/>
        <w:t>Medición de la corriente del cuerpo</w:t>
      </w:r>
      <w:bookmarkEnd w:id="832"/>
      <w:bookmarkEnd w:id="833"/>
      <w:bookmarkEnd w:id="834"/>
      <w:bookmarkEnd w:id="835"/>
      <w:bookmarkEnd w:id="836"/>
      <w:bookmarkEnd w:id="837"/>
      <w:bookmarkEnd w:id="838"/>
      <w:bookmarkEnd w:id="839"/>
      <w:bookmarkEnd w:id="840"/>
    </w:p>
    <w:p w14:paraId="251BE494" w14:textId="77777777" w:rsidR="0086339D" w:rsidRPr="0056409E" w:rsidRDefault="0086339D" w:rsidP="0086339D">
      <w:pPr>
        <w:rPr>
          <w:lang w:val="es-ES_tradnl"/>
        </w:rPr>
      </w:pPr>
      <w:r w:rsidRPr="0056409E">
        <w:rPr>
          <w:lang w:val="es-ES_tradnl"/>
        </w:rPr>
        <w:t>Los dispositivos de medición de la corriente del cuerpo pueden ser de dos categorías:</w:t>
      </w:r>
    </w:p>
    <w:p w14:paraId="3A1CCD38" w14:textId="77777777" w:rsidR="0086339D" w:rsidRPr="0056409E" w:rsidRDefault="0086339D" w:rsidP="0086339D">
      <w:pPr>
        <w:pStyle w:val="enumlev1"/>
        <w:rPr>
          <w:lang w:val="es-ES_tradnl"/>
        </w:rPr>
      </w:pPr>
      <w:r w:rsidRPr="0056409E">
        <w:rPr>
          <w:lang w:val="es-ES_tradnl"/>
        </w:rPr>
        <w:t>–</w:t>
      </w:r>
      <w:r w:rsidRPr="0056409E">
        <w:rPr>
          <w:lang w:val="es-ES_tradnl"/>
        </w:rPr>
        <w:tab/>
        <w:t>Dispositivos de medición para determinar la corriente entre el cuerpo y el suelo.</w:t>
      </w:r>
    </w:p>
    <w:p w14:paraId="7DF9B3CF" w14:textId="77777777" w:rsidR="0086339D" w:rsidRPr="0056409E" w:rsidRDefault="0086339D" w:rsidP="0086339D">
      <w:pPr>
        <w:pStyle w:val="enumlev1"/>
        <w:rPr>
          <w:lang w:val="es-ES_tradnl"/>
        </w:rPr>
      </w:pPr>
      <w:r w:rsidRPr="0056409E">
        <w:rPr>
          <w:lang w:val="es-ES_tradnl"/>
        </w:rPr>
        <w:t>–</w:t>
      </w:r>
      <w:r w:rsidRPr="0056409E">
        <w:rPr>
          <w:lang w:val="es-ES_tradnl"/>
        </w:rPr>
        <w:tab/>
        <w:t>Dispositivos de medición para determinar la corriente de contacto.</w:t>
      </w:r>
    </w:p>
    <w:p w14:paraId="6F73FD90" w14:textId="77777777" w:rsidR="0086339D" w:rsidRPr="0056409E" w:rsidRDefault="0086339D" w:rsidP="0086339D">
      <w:pPr>
        <w:pStyle w:val="Heading2"/>
        <w:rPr>
          <w:lang w:val="es-ES_tradnl"/>
        </w:rPr>
      </w:pPr>
      <w:bookmarkStart w:id="841" w:name="_Toc65546059"/>
      <w:bookmarkStart w:id="842" w:name="_Toc65546241"/>
      <w:bookmarkStart w:id="843" w:name="_Toc65546371"/>
      <w:bookmarkStart w:id="844" w:name="_Toc86461590"/>
      <w:bookmarkStart w:id="845" w:name="_Toc162005959"/>
      <w:bookmarkStart w:id="846" w:name="_Toc162006287"/>
      <w:bookmarkStart w:id="847" w:name="_Toc162444634"/>
      <w:bookmarkStart w:id="848" w:name="_Toc162518239"/>
      <w:bookmarkStart w:id="849" w:name="_Toc162518762"/>
      <w:r w:rsidRPr="0056409E">
        <w:rPr>
          <w:lang w:val="es-ES_tradnl"/>
        </w:rPr>
        <w:t>4.1</w:t>
      </w:r>
      <w:r w:rsidRPr="0056409E">
        <w:rPr>
          <w:lang w:val="es-ES_tradnl"/>
        </w:rPr>
        <w:tab/>
        <w:t>Corrientes inducidas por el cuerpo</w:t>
      </w:r>
      <w:bookmarkEnd w:id="841"/>
      <w:bookmarkEnd w:id="842"/>
      <w:bookmarkEnd w:id="843"/>
      <w:bookmarkEnd w:id="844"/>
      <w:bookmarkEnd w:id="845"/>
      <w:bookmarkEnd w:id="846"/>
      <w:bookmarkEnd w:id="847"/>
      <w:bookmarkEnd w:id="848"/>
      <w:bookmarkEnd w:id="849"/>
    </w:p>
    <w:p w14:paraId="4FD376C5" w14:textId="77777777" w:rsidR="0086339D" w:rsidRPr="0056409E" w:rsidRDefault="0086339D" w:rsidP="0086339D">
      <w:pPr>
        <w:rPr>
          <w:lang w:val="es-ES_tradnl"/>
        </w:rPr>
      </w:pPr>
      <w:r w:rsidRPr="0056409E">
        <w:rPr>
          <w:lang w:val="es-ES_tradnl"/>
        </w:rPr>
        <w:t>Las corrientes internas del cuerpo son inducidas en personas debido a la exposición parcial o de todo el cuerpo a campos de RF en ausencia de contacto con otros objetos distintos del suelo.</w:t>
      </w:r>
    </w:p>
    <w:p w14:paraId="7E804E56" w14:textId="4B320667" w:rsidR="0086339D" w:rsidRPr="0056409E" w:rsidRDefault="0086339D" w:rsidP="0086339D">
      <w:pPr>
        <w:rPr>
          <w:lang w:val="es-ES_tradnl"/>
        </w:rPr>
      </w:pPr>
      <w:r w:rsidRPr="0056409E">
        <w:rPr>
          <w:lang w:val="es-ES_tradnl"/>
        </w:rPr>
        <w:t>Las dos técnicas principales utilizadas para medir las corrientes del cuerpo incluyen los transfo</w:t>
      </w:r>
      <w:r w:rsidR="006150E0">
        <w:rPr>
          <w:lang w:val="es-ES_tradnl"/>
        </w:rPr>
        <w:t>r</w:t>
      </w:r>
      <w:r w:rsidRPr="0056409E">
        <w:rPr>
          <w:lang w:val="es-ES_tradnl"/>
        </w:rPr>
        <w:t>madores de corriente de tipo mordaza (solenoidal) para medir el flujo de corriente en las extremidades y los sistemas de placas para las que permiten medir las corrientes que fluyen al suelo a través de los pies.</w:t>
      </w:r>
    </w:p>
    <w:p w14:paraId="1B4A333A" w14:textId="77777777" w:rsidR="0086339D" w:rsidRPr="0056409E" w:rsidRDefault="0086339D" w:rsidP="0086339D">
      <w:pPr>
        <w:rPr>
          <w:lang w:val="es-ES_tradnl"/>
        </w:rPr>
      </w:pPr>
      <w:r w:rsidRPr="0056409E">
        <w:rPr>
          <w:lang w:val="es-ES_tradnl"/>
        </w:rPr>
        <w:t>Se han desarrollado instrumentos con transformadores de corriente de tipo abrazadera que pueden llevarse puestos.</w:t>
      </w:r>
    </w:p>
    <w:p w14:paraId="089C06D3" w14:textId="77777777" w:rsidR="0086339D" w:rsidRPr="0056409E" w:rsidRDefault="0086339D" w:rsidP="0086339D">
      <w:pPr>
        <w:rPr>
          <w:lang w:val="es-ES_tradnl"/>
        </w:rPr>
      </w:pPr>
      <w:r w:rsidRPr="0056409E">
        <w:rPr>
          <w:lang w:val="es-ES_tradnl"/>
        </w:rPr>
        <w:t>La unidad medidora va montada directamente sobre el transformador o conectada a través de un enlace de fibra óptica para proporcionar una visualización de la corriente que fluye en un miembro (brazo o pierna) en torno al cual se sujeta el transformador de corriente. En estos dispositivos la corriente se determina utilizando técnicas de banda estrecha, por ejemplo, analizadores de espectro o receptores sintonizados (que ofrecen la ventaja de poder determinar la distribución de frecuencia de la corriente inducida en entornos multifuente) o técnicas de banda ancha que utilizan detección por diodo o conversión térmica.</w:t>
      </w:r>
    </w:p>
    <w:p w14:paraId="64BE7C74" w14:textId="77777777" w:rsidR="0086339D" w:rsidRPr="0056409E" w:rsidRDefault="0086339D" w:rsidP="0086339D">
      <w:pPr>
        <w:rPr>
          <w:lang w:val="es-ES_tradnl"/>
        </w:rPr>
      </w:pPr>
      <w:r w:rsidRPr="0056409E">
        <w:rPr>
          <w:lang w:val="es-ES_tradnl"/>
        </w:rPr>
        <w:t>Se han diseñado instrumentos para proporcionar indicaciones de valores eficaces verdaderos en presencia de múltiples frecuencias y/o ondas moduladas en amplitud.</w:t>
      </w:r>
    </w:p>
    <w:p w14:paraId="7AB969FE" w14:textId="77777777" w:rsidR="0086339D" w:rsidRPr="0056409E" w:rsidRDefault="0086339D" w:rsidP="0086339D">
      <w:pPr>
        <w:rPr>
          <w:lang w:val="es-ES_tradnl"/>
        </w:rPr>
      </w:pPr>
      <w:r w:rsidRPr="0056409E">
        <w:rPr>
          <w:lang w:val="es-ES_tradnl"/>
        </w:rPr>
        <w:t xml:space="preserve">La respuesta a la frecuencia superior de los transformadores de corriente está limitada normalmente a 100 MHz; sin embargo, se han utilizado transformadores con núcleo de aire (en contraposición con </w:t>
      </w:r>
      <w:r w:rsidRPr="0056409E">
        <w:rPr>
          <w:lang w:val="es-ES_tradnl"/>
        </w:rPr>
        <w:lastRenderedPageBreak/>
        <w:t>los transformadores con núcleo de ferrita) para ampliar la frecuencia superior de respuesta de estos instrumentos. Si bien estos transformadores con núcleo de aire son más ligeros y, por lo tanto, más útiles para realizar mediciones a largo plazo, son bastante menos sensibles que los dispositivos con núcleo de ferrita.</w:t>
      </w:r>
    </w:p>
    <w:p w14:paraId="36243F24" w14:textId="072E28BF" w:rsidR="0086339D" w:rsidRPr="0056409E" w:rsidRDefault="0086339D" w:rsidP="0086339D">
      <w:pPr>
        <w:rPr>
          <w:lang w:val="es-ES_tradnl"/>
        </w:rPr>
      </w:pPr>
      <w:r w:rsidRPr="0056409E">
        <w:rPr>
          <w:lang w:val="es-ES_tradnl"/>
        </w:rPr>
        <w:t>Una alternativa a un dispositivo de tipo abrazadera es el sistema de placas paralelas. En este instrumento, la corriente del cuerpo fluye por los pies hasta una placa conductora a través de una forma de sensor de corriente montado entre las placas y, por consiguiente, a tierra. La corriente que fluye entre las placas superior e inferior puede determinarse midiendo la caída de tensión de RF a través de la resistencia de baja impedancia. De forma alternativa, puede utilizarse un pequeño transformador de corriente de RF de apertura o un termoacoplador de vacío para medir la corriente que fluye a través del conductor entre las dos placas.</w:t>
      </w:r>
    </w:p>
    <w:p w14:paraId="27972A50" w14:textId="77777777" w:rsidR="0086339D" w:rsidRPr="0056409E" w:rsidRDefault="0086339D" w:rsidP="0086339D">
      <w:pPr>
        <w:rPr>
          <w:lang w:val="es-ES_tradnl"/>
        </w:rPr>
      </w:pPr>
      <w:r w:rsidRPr="0056409E">
        <w:rPr>
          <w:lang w:val="es-ES_tradnl"/>
        </w:rPr>
        <w:t>Se dispone de instrumentos con una respuesta en frecuencia plana entre 3 kHz y 100 MHz.</w:t>
      </w:r>
    </w:p>
    <w:p w14:paraId="6D3EF78E" w14:textId="77777777" w:rsidR="0086339D" w:rsidRPr="0056409E" w:rsidRDefault="0086339D" w:rsidP="0086339D">
      <w:pPr>
        <w:rPr>
          <w:lang w:val="es-ES_tradnl"/>
        </w:rPr>
      </w:pPr>
      <w:r w:rsidRPr="0056409E">
        <w:rPr>
          <w:lang w:val="es-ES_tradnl"/>
        </w:rPr>
        <w:t xml:space="preserve">Hay varios temas que deben considerarse cuando se selecciona un instrumento para medir la corriente inducida. </w:t>
      </w:r>
    </w:p>
    <w:p w14:paraId="23AC0124" w14:textId="1AD5A6E4" w:rsidR="0086339D" w:rsidRPr="0056409E" w:rsidRDefault="0086339D" w:rsidP="0086339D">
      <w:pPr>
        <w:rPr>
          <w:lang w:val="es-ES_tradnl"/>
        </w:rPr>
      </w:pPr>
      <w:r w:rsidRPr="0056409E">
        <w:rPr>
          <w:lang w:val="es-ES_tradnl"/>
        </w:rPr>
        <w:t>En primer lugar, los medidores fijos están sujetos a la influencia de las corrientes de desplazamiento inducidas por el campo eléctrico y causadas por los campos que terminan en la placa superior. Algunas investigaciones han demostrado que los errores aparentes que surgen en ausencia de una persona no son significativos en el funcionamiento de los medidores cuando está presente una persona.</w:t>
      </w:r>
    </w:p>
    <w:p w14:paraId="18B493FA" w14:textId="77777777" w:rsidR="0086339D" w:rsidRPr="0056409E" w:rsidRDefault="0086339D" w:rsidP="0086339D">
      <w:pPr>
        <w:rPr>
          <w:lang w:val="es-ES_tradnl"/>
        </w:rPr>
      </w:pPr>
      <w:r w:rsidRPr="0056409E">
        <w:rPr>
          <w:lang w:val="es-ES_tradnl"/>
        </w:rPr>
        <w:t>En segundo lugar, la suma de las corrientes de ambos tobillos medidas con medidores de tipo abrazadera tiende a ser ligeramente superior que el correspondiente valor indicado en los medidores de tipo de placa. La magnitud de este efecto, que es una función de la radiofrecuencia y de la geometría del medidor, es probable que no sea muy grande. No obstante, el método más preciso de determinar la corriente que fluye por los brazos o piernas es el transformador de corriente. El método preciso de medición puede depender de los requisitos establecidos en las directrices de protección cuya conformidad debe evaluarse.</w:t>
      </w:r>
    </w:p>
    <w:p w14:paraId="629DA5C0" w14:textId="77777777" w:rsidR="0086339D" w:rsidRPr="0056409E" w:rsidRDefault="0086339D" w:rsidP="0086339D">
      <w:pPr>
        <w:rPr>
          <w:lang w:val="es-ES_tradnl"/>
        </w:rPr>
      </w:pPr>
      <w:r w:rsidRPr="0056409E">
        <w:rPr>
          <w:lang w:val="es-ES_tradnl"/>
        </w:rPr>
        <w:t>En tercer lugar, debe considerarse la propia capacidad de medir corrientes inducidas en los brazos y piernas en condiciones realistas de puesta a tierra tal como se dan en la práctica. En particular, los distintos grados de contacto eléctrico entre la tierra y la placa inferior del sistema de placas paralelas y la superficie de tierra real pueden afectar el flujo aparente de corriente a tierra.</w:t>
      </w:r>
    </w:p>
    <w:p w14:paraId="54EC9EF9" w14:textId="77777777" w:rsidR="0086339D" w:rsidRPr="0056409E" w:rsidRDefault="0086339D" w:rsidP="0086339D">
      <w:pPr>
        <w:rPr>
          <w:lang w:val="es-ES_tradnl"/>
        </w:rPr>
      </w:pPr>
      <w:r w:rsidRPr="0056409E">
        <w:rPr>
          <w:lang w:val="es-ES_tradnl"/>
        </w:rPr>
        <w:t>Las mediciones pueden realizarse utilizando antenas diseñadas de manera que sean equivalentes a una persona, lo que permite utilizar un enfoque normalizado y posibilita efectuar mediciones de corriente sin necesidad de que los operarios se expongan a corrientes y campos posiblemente peligrosos.</w:t>
      </w:r>
    </w:p>
    <w:p w14:paraId="149BA9B3" w14:textId="77777777" w:rsidR="0086339D" w:rsidRPr="0056409E" w:rsidRDefault="0086339D" w:rsidP="0086339D">
      <w:pPr>
        <w:pStyle w:val="Heading2"/>
        <w:rPr>
          <w:lang w:val="es-ES_tradnl"/>
        </w:rPr>
      </w:pPr>
      <w:bookmarkStart w:id="850" w:name="_Toc65546060"/>
      <w:bookmarkStart w:id="851" w:name="_Toc65546242"/>
      <w:bookmarkStart w:id="852" w:name="_Toc65546372"/>
      <w:bookmarkStart w:id="853" w:name="_Toc86461591"/>
      <w:bookmarkStart w:id="854" w:name="_Toc162005960"/>
      <w:bookmarkStart w:id="855" w:name="_Toc162006288"/>
      <w:bookmarkStart w:id="856" w:name="_Toc162444635"/>
      <w:bookmarkStart w:id="857" w:name="_Toc162518240"/>
      <w:bookmarkStart w:id="858" w:name="_Toc162518763"/>
      <w:r w:rsidRPr="0056409E">
        <w:rPr>
          <w:lang w:val="es-ES_tradnl"/>
        </w:rPr>
        <w:t>4.2</w:t>
      </w:r>
      <w:r w:rsidRPr="0056409E">
        <w:rPr>
          <w:lang w:val="es-ES_tradnl"/>
        </w:rPr>
        <w:tab/>
        <w:t>Medición de la corriente de contacto</w:t>
      </w:r>
      <w:bookmarkEnd w:id="850"/>
      <w:bookmarkEnd w:id="851"/>
      <w:bookmarkEnd w:id="852"/>
      <w:bookmarkEnd w:id="853"/>
      <w:bookmarkEnd w:id="854"/>
      <w:bookmarkEnd w:id="855"/>
      <w:bookmarkEnd w:id="856"/>
      <w:bookmarkEnd w:id="857"/>
      <w:bookmarkEnd w:id="858"/>
    </w:p>
    <w:p w14:paraId="32C9F971" w14:textId="77777777" w:rsidR="0086339D" w:rsidRPr="0056409E" w:rsidRDefault="0086339D" w:rsidP="0086339D">
      <w:pPr>
        <w:rPr>
          <w:lang w:val="es-ES_tradnl"/>
        </w:rPr>
      </w:pPr>
      <w:r w:rsidRPr="0056409E">
        <w:rPr>
          <w:lang w:val="es-ES_tradnl"/>
        </w:rPr>
        <w:t>El dispositivo de medición de corriente debe insertarse entre la mano de la persona y el objeto conductor. La técnica de medición puede constar de una sonda metálica (zona de contacto definitivo) sujeta en un extremo por una mano mientras que el otro extremo está en contacto con el objeto conductor. Puede utilizarse un sensor de corriente de tipo abrazadera (transformador de corriente) para medir la corriente de contacto que fluye a través de la mano que está en contacto con el objeto conductor.</w:t>
      </w:r>
    </w:p>
    <w:p w14:paraId="09732D7C" w14:textId="77777777" w:rsidR="0086339D" w:rsidRPr="0056409E" w:rsidRDefault="0086339D" w:rsidP="0086339D">
      <w:pPr>
        <w:rPr>
          <w:lang w:val="es-ES_tradnl"/>
        </w:rPr>
      </w:pPr>
      <w:r w:rsidRPr="0056409E">
        <w:rPr>
          <w:lang w:val="es-ES_tradnl"/>
        </w:rPr>
        <w:t>Como métodos alternativos pueden citarse:</w:t>
      </w:r>
    </w:p>
    <w:p w14:paraId="22A4A1D3" w14:textId="77777777" w:rsidR="0086339D" w:rsidRPr="0056409E" w:rsidRDefault="0086339D" w:rsidP="0086339D">
      <w:pPr>
        <w:pStyle w:val="enumlev1"/>
        <w:rPr>
          <w:lang w:val="es-ES_tradnl"/>
        </w:rPr>
      </w:pPr>
      <w:r w:rsidRPr="0056409E">
        <w:rPr>
          <w:lang w:val="es-ES_tradnl"/>
        </w:rPr>
        <w:t>–</w:t>
      </w:r>
      <w:r w:rsidRPr="0056409E">
        <w:rPr>
          <w:lang w:val="es-ES_tradnl"/>
        </w:rPr>
        <w:tab/>
        <w:t xml:space="preserve">la medición de la diferencia de potencial (caída de tensión) a través de una resistencia no inductiva (en la gama de 5-10 </w:t>
      </w:r>
      <w:r w:rsidRPr="0056409E">
        <w:rPr>
          <w:rFonts w:ascii="Symbol" w:hAnsi="Symbol"/>
          <w:lang w:val="es-ES_tradnl"/>
        </w:rPr>
        <w:t></w:t>
      </w:r>
      <w:r w:rsidRPr="0056409E">
        <w:rPr>
          <w:lang w:val="es-ES_tradnl"/>
        </w:rPr>
        <w:t>) conectada en serie entre el objeto y la sonda metálica sostenida con la mano;</w:t>
      </w:r>
    </w:p>
    <w:p w14:paraId="20E0E2D6" w14:textId="77777777" w:rsidR="0086339D" w:rsidRPr="0056409E" w:rsidRDefault="0086339D" w:rsidP="0086339D">
      <w:pPr>
        <w:pStyle w:val="enumlev1"/>
        <w:rPr>
          <w:lang w:val="es-ES_tradnl"/>
        </w:rPr>
      </w:pPr>
      <w:r w:rsidRPr="0056409E">
        <w:rPr>
          <w:lang w:val="es-ES_tradnl"/>
        </w:rPr>
        <w:t>–</w:t>
      </w:r>
      <w:r w:rsidRPr="0056409E">
        <w:rPr>
          <w:lang w:val="es-ES_tradnl"/>
        </w:rPr>
        <w:tab/>
        <w:t>un miliamperímetro de acoplamiento térmico situado directamente en serie.</w:t>
      </w:r>
    </w:p>
    <w:p w14:paraId="6E6AF4A5" w14:textId="77777777" w:rsidR="0086339D" w:rsidRPr="0056409E" w:rsidRDefault="0086339D" w:rsidP="0086339D">
      <w:pPr>
        <w:rPr>
          <w:lang w:val="es-ES_tradnl"/>
        </w:rPr>
      </w:pPr>
      <w:r w:rsidRPr="0056409E">
        <w:rPr>
          <w:lang w:val="es-ES_tradnl"/>
        </w:rPr>
        <w:lastRenderedPageBreak/>
        <w:t>Las conexiones alámbricas y el medidor de corriente deben disponerse de tal manera que se minimice la interferencia y los errores debidos al propio sistema de captación.</w:t>
      </w:r>
    </w:p>
    <w:p w14:paraId="18385408" w14:textId="4BEE4EAB" w:rsidR="0086339D" w:rsidRPr="0056409E" w:rsidRDefault="0086339D" w:rsidP="0086339D">
      <w:pPr>
        <w:rPr>
          <w:lang w:val="es-ES_tradnl"/>
        </w:rPr>
      </w:pPr>
      <w:bookmarkStart w:id="859" w:name="_Toc65546061"/>
      <w:bookmarkStart w:id="860" w:name="_Toc65546243"/>
      <w:bookmarkStart w:id="861" w:name="_Toc65546373"/>
      <w:r w:rsidRPr="0056409E">
        <w:rPr>
          <w:lang w:val="es-ES_tradnl"/>
        </w:rPr>
        <w:t>En el caso de que puedan aparecer corrientes excesivamente elevadas, puede simularse la impedancia equivalente del cuerpo mediante una red eléctrica de resistencias y condensadores.</w:t>
      </w:r>
    </w:p>
    <w:p w14:paraId="43FC7493" w14:textId="77777777" w:rsidR="0086339D" w:rsidRPr="0056409E" w:rsidRDefault="0086339D" w:rsidP="0086339D">
      <w:pPr>
        <w:pStyle w:val="Heading2"/>
        <w:rPr>
          <w:lang w:val="es-ES_tradnl"/>
        </w:rPr>
      </w:pPr>
      <w:bookmarkStart w:id="862" w:name="_Toc86461592"/>
      <w:bookmarkStart w:id="863" w:name="_Toc162005961"/>
      <w:bookmarkStart w:id="864" w:name="_Toc162006289"/>
      <w:bookmarkStart w:id="865" w:name="_Toc162444636"/>
      <w:bookmarkStart w:id="866" w:name="_Toc162518241"/>
      <w:bookmarkStart w:id="867" w:name="_Toc162518764"/>
      <w:r w:rsidRPr="0056409E">
        <w:rPr>
          <w:lang w:val="es-ES_tradnl"/>
        </w:rPr>
        <w:t>4.3</w:t>
      </w:r>
      <w:r w:rsidRPr="0056409E">
        <w:rPr>
          <w:lang w:val="es-ES_tradnl"/>
        </w:rPr>
        <w:tab/>
        <w:t>Medición de la tensión de contacto</w:t>
      </w:r>
      <w:bookmarkEnd w:id="859"/>
      <w:bookmarkEnd w:id="860"/>
      <w:bookmarkEnd w:id="861"/>
      <w:bookmarkEnd w:id="862"/>
      <w:bookmarkEnd w:id="863"/>
      <w:bookmarkEnd w:id="864"/>
      <w:bookmarkEnd w:id="865"/>
      <w:bookmarkEnd w:id="866"/>
      <w:bookmarkEnd w:id="867"/>
    </w:p>
    <w:p w14:paraId="4710F1AF" w14:textId="77777777" w:rsidR="0086339D" w:rsidRDefault="0086339D" w:rsidP="006150E0">
      <w:pPr>
        <w:rPr>
          <w:lang w:val="es-ES_tradnl"/>
        </w:rPr>
      </w:pPr>
      <w:r w:rsidRPr="0056409E">
        <w:rPr>
          <w:lang w:val="es-ES_tradnl"/>
        </w:rPr>
        <w:t>La tensión de contacto (tensión sin carga) se mide utilizando un voltímetro u osciloscopio adecuado para la gama de frecuencias considerada. Los dispositivos de medición se conectan entre el objeto conductor cargado por la tensión inducida por el campo y un potencial de referencia (tierra). La impedancia de entrada del voltímetro no debe ser inferior a 10 k</w:t>
      </w:r>
      <w:r w:rsidRPr="0056409E">
        <w:rPr>
          <w:rFonts w:ascii="Symbol" w:hAnsi="Symbol"/>
          <w:lang w:val="es-ES_tradnl"/>
        </w:rPr>
        <w:t></w:t>
      </w:r>
      <w:r w:rsidRPr="0056409E">
        <w:rPr>
          <w:lang w:val="es-ES_tradnl"/>
        </w:rPr>
        <w:t>.</w:t>
      </w:r>
    </w:p>
    <w:p w14:paraId="0A2806E2" w14:textId="77777777" w:rsidR="00515B1E" w:rsidRDefault="00515B1E" w:rsidP="006150E0">
      <w:pPr>
        <w:rPr>
          <w:lang w:val="es-ES_tradnl"/>
        </w:rPr>
      </w:pPr>
    </w:p>
    <w:p w14:paraId="0D0844DD" w14:textId="77777777" w:rsidR="00515B1E" w:rsidRPr="0056409E" w:rsidRDefault="00515B1E" w:rsidP="006150E0">
      <w:pPr>
        <w:rPr>
          <w:lang w:val="es-ES_tradnl"/>
        </w:rPr>
      </w:pPr>
    </w:p>
    <w:p w14:paraId="64887B17" w14:textId="77777777" w:rsidR="0086339D" w:rsidRPr="0056409E" w:rsidRDefault="0086339D" w:rsidP="00B3615E">
      <w:pPr>
        <w:pStyle w:val="AnnexNoTitle"/>
        <w:rPr>
          <w:lang w:val="es-ES_tradnl"/>
        </w:rPr>
      </w:pPr>
      <w:bookmarkStart w:id="868" w:name="_Toc65546374"/>
      <w:bookmarkStart w:id="869" w:name="_Toc86461593"/>
      <w:bookmarkStart w:id="870" w:name="_Toc162006290"/>
      <w:bookmarkStart w:id="871" w:name="_Toc162444637"/>
      <w:bookmarkStart w:id="872" w:name="_Toc162518242"/>
      <w:bookmarkStart w:id="873" w:name="_Toc162518765"/>
      <w:r w:rsidRPr="0056409E">
        <w:rPr>
          <w:lang w:val="es-ES_tradnl"/>
        </w:rPr>
        <w:t>Adjunto 6</w:t>
      </w:r>
      <w:r w:rsidRPr="0056409E">
        <w:rPr>
          <w:lang w:val="es-ES_tradnl"/>
        </w:rPr>
        <w:br/>
        <w:t>al Anexo 1</w:t>
      </w:r>
      <w:r w:rsidRPr="0056409E">
        <w:rPr>
          <w:lang w:val="es-ES_tradnl"/>
        </w:rPr>
        <w:br/>
      </w:r>
      <w:r w:rsidRPr="0056409E">
        <w:rPr>
          <w:lang w:val="es-ES_tradnl"/>
        </w:rPr>
        <w:br/>
      </w:r>
      <w:bookmarkEnd w:id="868"/>
      <w:bookmarkEnd w:id="869"/>
      <w:r w:rsidRPr="0056409E">
        <w:rPr>
          <w:lang w:val="es-ES_tradnl"/>
        </w:rPr>
        <w:t>Dispositivos de electromedicina implantados y portátiles</w:t>
      </w:r>
      <w:bookmarkEnd w:id="870"/>
      <w:bookmarkEnd w:id="871"/>
      <w:bookmarkEnd w:id="872"/>
      <w:bookmarkEnd w:id="873"/>
    </w:p>
    <w:p w14:paraId="62E700E3" w14:textId="77777777" w:rsidR="0086339D" w:rsidRPr="0056409E" w:rsidRDefault="0086339D" w:rsidP="0086339D">
      <w:pPr>
        <w:pStyle w:val="Heading1"/>
        <w:rPr>
          <w:lang w:val="es-ES_tradnl"/>
        </w:rPr>
      </w:pPr>
      <w:bookmarkStart w:id="874" w:name="_Toc65546062"/>
      <w:bookmarkStart w:id="875" w:name="_Toc65546244"/>
      <w:bookmarkStart w:id="876" w:name="_Toc65546375"/>
      <w:bookmarkStart w:id="877" w:name="_Toc86461594"/>
      <w:bookmarkStart w:id="878" w:name="_Toc162005962"/>
      <w:bookmarkStart w:id="879" w:name="_Toc162006291"/>
      <w:bookmarkStart w:id="880" w:name="_Toc162444638"/>
      <w:bookmarkStart w:id="881" w:name="_Toc162518243"/>
      <w:bookmarkStart w:id="882" w:name="_Toc162518766"/>
      <w:r w:rsidRPr="0056409E">
        <w:rPr>
          <w:lang w:val="es-ES_tradnl"/>
        </w:rPr>
        <w:t>1</w:t>
      </w:r>
      <w:r w:rsidRPr="0056409E">
        <w:rPr>
          <w:lang w:val="es-ES_tradnl"/>
        </w:rPr>
        <w:tab/>
        <w:t xml:space="preserve">Dispositivos </w:t>
      </w:r>
      <w:bookmarkStart w:id="883" w:name="_Hlk161825783"/>
      <w:r w:rsidRPr="0056409E">
        <w:rPr>
          <w:lang w:val="es-ES_tradnl"/>
        </w:rPr>
        <w:t>de electromedicina</w:t>
      </w:r>
      <w:bookmarkEnd w:id="874"/>
      <w:bookmarkEnd w:id="875"/>
      <w:bookmarkEnd w:id="876"/>
      <w:bookmarkEnd w:id="877"/>
      <w:bookmarkEnd w:id="878"/>
      <w:bookmarkEnd w:id="879"/>
      <w:bookmarkEnd w:id="880"/>
      <w:bookmarkEnd w:id="883"/>
      <w:bookmarkEnd w:id="881"/>
      <w:bookmarkEnd w:id="882"/>
    </w:p>
    <w:p w14:paraId="5319F502" w14:textId="77777777" w:rsidR="0086339D" w:rsidRPr="0056409E" w:rsidRDefault="0086339D" w:rsidP="0086339D">
      <w:pPr>
        <w:rPr>
          <w:lang w:val="es-ES_tradnl"/>
        </w:rPr>
      </w:pPr>
      <w:r w:rsidRPr="0056409E">
        <w:rPr>
          <w:lang w:val="es-ES_tradnl"/>
        </w:rPr>
        <w:t>La compatibilidad electromagnética es un problema de carácter general para los equipos electrónicos y, en especial, para los dispositivos de electromedicina. Si se utilizan dispositivos de electromedicina en presencia de estaciones de radiodifusión</w:t>
      </w:r>
      <w:r w:rsidRPr="00F80E93">
        <w:rPr>
          <w:lang w:val="es-ES_tradnl"/>
        </w:rPr>
        <w:t xml:space="preserve"> </w:t>
      </w:r>
      <w:r w:rsidRPr="0056409E">
        <w:rPr>
          <w:lang w:val="es-ES_tradnl"/>
        </w:rPr>
        <w:t>terrenal</w:t>
      </w:r>
      <w:r w:rsidRPr="00E14306">
        <w:rPr>
          <w:lang w:val="es-ES_tradnl"/>
        </w:rPr>
        <w:t xml:space="preserve"> </w:t>
      </w:r>
      <w:r w:rsidRPr="0056409E">
        <w:rPr>
          <w:lang w:val="es-ES_tradnl"/>
        </w:rPr>
        <w:t>potentes, el funcionamiento de los primeros puede verse afectado. El riesgo de mal funcionamiento aumenta si la intensidad del campo es suficientemente alta. Dicho riesgo depende de diversas variables, tales como el nivel de la intensidad de campo, el cual depende a su vez de la distancia entre la antena transmisora y el dispositivo, de la potencia del transmisor, de la frecuencia de emisión, del tipo de modulación de la señal radiada, del efecto de acoplamiento del cable y de la propia inmunidad a las radiofrecuencias del dispositivo electrónico.</w:t>
      </w:r>
    </w:p>
    <w:p w14:paraId="25D920D3" w14:textId="77777777" w:rsidR="0086339D" w:rsidRPr="0056409E" w:rsidRDefault="0086339D" w:rsidP="0086339D">
      <w:pPr>
        <w:rPr>
          <w:lang w:val="es-ES_tradnl"/>
        </w:rPr>
      </w:pPr>
      <w:r w:rsidRPr="0056409E">
        <w:rPr>
          <w:lang w:val="es-ES_tradnl"/>
        </w:rPr>
        <w:t>Se podrían reducir, o incluso eliminar, las interferencias de RF a los dispositivos de electromedicina mediante un apantallamiento de RF o un filtrado electrónico adecuados. Existen técnicas aplicadas al respecto similares a las que se emplean normalmente para la compatibilidad electromagnética. Tanto a los dispositivos médicos, implantados o no, como a la instrumentación médica pueden aplicarse límites especiales que pueden ser significativamente inferiores a los establecidos para la población general.</w:t>
      </w:r>
    </w:p>
    <w:p w14:paraId="15CD02FD" w14:textId="77777777" w:rsidR="0086339D" w:rsidRPr="0056409E" w:rsidRDefault="0086339D" w:rsidP="006150E0">
      <w:pPr>
        <w:pStyle w:val="Heading1"/>
        <w:rPr>
          <w:lang w:val="es-ES_tradnl"/>
        </w:rPr>
      </w:pPr>
      <w:bookmarkStart w:id="884" w:name="_Toc65546063"/>
      <w:bookmarkStart w:id="885" w:name="_Toc65546245"/>
      <w:bookmarkStart w:id="886" w:name="_Toc65546376"/>
      <w:bookmarkStart w:id="887" w:name="_Toc86461595"/>
      <w:bookmarkStart w:id="888" w:name="_Toc162005963"/>
      <w:bookmarkStart w:id="889" w:name="_Toc162006292"/>
      <w:bookmarkStart w:id="890" w:name="_Toc162444639"/>
      <w:bookmarkStart w:id="891" w:name="_Toc162518244"/>
      <w:bookmarkStart w:id="892" w:name="_Toc162518767"/>
      <w:r w:rsidRPr="0056409E">
        <w:rPr>
          <w:lang w:val="es-ES_tradnl"/>
        </w:rPr>
        <w:t>2</w:t>
      </w:r>
      <w:r w:rsidRPr="0056409E">
        <w:rPr>
          <w:lang w:val="es-ES_tradnl"/>
        </w:rPr>
        <w:tab/>
        <w:t>Dispositivos implantados y portátiles</w:t>
      </w:r>
      <w:bookmarkEnd w:id="884"/>
      <w:bookmarkEnd w:id="885"/>
      <w:bookmarkEnd w:id="886"/>
      <w:bookmarkEnd w:id="887"/>
      <w:bookmarkEnd w:id="888"/>
      <w:bookmarkEnd w:id="889"/>
      <w:bookmarkEnd w:id="890"/>
      <w:bookmarkEnd w:id="891"/>
      <w:bookmarkEnd w:id="892"/>
    </w:p>
    <w:p w14:paraId="74F8708F" w14:textId="77777777" w:rsidR="0086339D" w:rsidRPr="0056409E" w:rsidRDefault="0086339D" w:rsidP="0086339D">
      <w:pPr>
        <w:rPr>
          <w:lang w:val="es-ES_tradnl"/>
        </w:rPr>
      </w:pPr>
      <w:r w:rsidRPr="0056409E">
        <w:rPr>
          <w:lang w:val="es-ES_tradnl"/>
        </w:rPr>
        <w:t>Los CEM pueden causar interferencia de RF a dispositivos implantados activos o dispositivos médicos portátiles. Las bombas de insulina y los marcapasos pertenecen a esta clase de dispositivos y es posible que cada vez se utilicen con más frecuencia. Además, parece registrarse un aumento paulatino en la gama y el número de dispositivos utilizados, entre ellos monitores portátiles y prótesis ópticas y ortopédicas. De forma general puede decirse que los marcapasos y otros dispositivos médicos pueden sufrir interferencias causadas por CEM emitidos. Sin embargo, en el caso de los dispositivos de electromedicina implantados, los problemas causados por las interferencias de RF aún no se han resuelto por completo.</w:t>
      </w:r>
    </w:p>
    <w:p w14:paraId="7A03172E" w14:textId="29E174CE" w:rsidR="0086339D" w:rsidRPr="00890396" w:rsidRDefault="0086339D" w:rsidP="002B1FF1">
      <w:pPr>
        <w:pStyle w:val="AnnexNoTitle"/>
      </w:pPr>
      <w:bookmarkStart w:id="893" w:name="_Toc86461596"/>
      <w:bookmarkStart w:id="894" w:name="_Toc162006293"/>
      <w:bookmarkStart w:id="895" w:name="_Toc162444640"/>
      <w:bookmarkStart w:id="896" w:name="_Toc162518245"/>
      <w:bookmarkStart w:id="897" w:name="_Toc162518768"/>
      <w:r w:rsidRPr="00890396">
        <w:lastRenderedPageBreak/>
        <w:t>Adjunto 7</w:t>
      </w:r>
      <w:r w:rsidRPr="00890396">
        <w:br/>
        <w:t>al Anexo 1</w:t>
      </w:r>
      <w:r w:rsidRPr="00890396">
        <w:br/>
      </w:r>
      <w:r w:rsidRPr="00890396">
        <w:br/>
        <w:t xml:space="preserve">Referencias </w:t>
      </w:r>
      <w:bookmarkEnd w:id="893"/>
      <w:r w:rsidRPr="00890396">
        <w:t>adicionales</w:t>
      </w:r>
      <w:bookmarkEnd w:id="894"/>
      <w:bookmarkEnd w:id="895"/>
      <w:bookmarkEnd w:id="896"/>
      <w:bookmarkEnd w:id="897"/>
    </w:p>
    <w:p w14:paraId="22144C7B" w14:textId="77777777" w:rsidR="0086339D" w:rsidRPr="00890396" w:rsidRDefault="0086339D" w:rsidP="006150E0">
      <w:pPr>
        <w:pStyle w:val="Reftext"/>
        <w:keepNext/>
        <w:keepLines/>
        <w:spacing w:before="360"/>
      </w:pPr>
      <w:r w:rsidRPr="00890396">
        <w:t>[1]</w:t>
      </w:r>
      <w:r w:rsidRPr="00890396">
        <w:tab/>
      </w:r>
      <w:hyperlink r:id="rId102" w:history="1">
        <w:r w:rsidRPr="00890396">
          <w:rPr>
            <w:color w:val="0000FF"/>
            <w:u w:val="single"/>
          </w:rPr>
          <w:t>ICNIRP 2020</w:t>
        </w:r>
      </w:hyperlink>
      <w:r w:rsidRPr="00890396">
        <w:t xml:space="preserve">, </w:t>
      </w:r>
      <w:r w:rsidRPr="00890396">
        <w:rPr>
          <w:i/>
          <w:iCs/>
        </w:rPr>
        <w:t>Guidelines for limiting exposure to electromagnetic fields (100 kHz to 300 GHz)</w:t>
      </w:r>
      <w:r w:rsidRPr="00890396">
        <w:t>.</w:t>
      </w:r>
    </w:p>
    <w:p w14:paraId="7FC6DB27" w14:textId="12157310" w:rsidR="0086339D" w:rsidRPr="00890396" w:rsidRDefault="0086339D" w:rsidP="0086339D">
      <w:pPr>
        <w:pStyle w:val="Reftext"/>
      </w:pPr>
      <w:r w:rsidRPr="00890396">
        <w:t>[2]</w:t>
      </w:r>
      <w:r w:rsidRPr="00890396">
        <w:tab/>
      </w:r>
      <w:hyperlink r:id="rId103" w:history="1">
        <w:r w:rsidRPr="00890396">
          <w:rPr>
            <w:color w:val="0000FF"/>
            <w:u w:val="single"/>
          </w:rPr>
          <w:t>ICNIRP 2010</w:t>
        </w:r>
      </w:hyperlink>
      <w:r w:rsidRPr="00890396">
        <w:t xml:space="preserve">, </w:t>
      </w:r>
      <w:r w:rsidRPr="00890396">
        <w:rPr>
          <w:i/>
          <w:iCs/>
        </w:rPr>
        <w:t>Guidelines for limiting exposure to time‐varying electric and magnetic fields (1</w:t>
      </w:r>
      <w:r w:rsidR="00AE4FBE">
        <w:rPr>
          <w:i/>
          <w:iCs/>
        </w:rPr>
        <w:t> </w:t>
      </w:r>
      <w:r w:rsidRPr="00890396">
        <w:rPr>
          <w:i/>
          <w:iCs/>
        </w:rPr>
        <w:t>Hz</w:t>
      </w:r>
      <w:r w:rsidR="00AE4FBE">
        <w:rPr>
          <w:i/>
          <w:iCs/>
        </w:rPr>
        <w:t> </w:t>
      </w:r>
      <w:r w:rsidRPr="00890396">
        <w:rPr>
          <w:i/>
          <w:iCs/>
        </w:rPr>
        <w:t>–</w:t>
      </w:r>
      <w:r w:rsidR="00AE4FBE">
        <w:rPr>
          <w:i/>
          <w:iCs/>
        </w:rPr>
        <w:t> </w:t>
      </w:r>
      <w:r w:rsidRPr="00890396">
        <w:rPr>
          <w:i/>
          <w:iCs/>
        </w:rPr>
        <w:t>100 kHz)</w:t>
      </w:r>
      <w:r w:rsidRPr="00890396">
        <w:t>.</w:t>
      </w:r>
    </w:p>
    <w:p w14:paraId="0AD26A85" w14:textId="77777777" w:rsidR="0086339D" w:rsidRPr="00890396" w:rsidRDefault="0086339D" w:rsidP="0086339D">
      <w:pPr>
        <w:pStyle w:val="Reftext"/>
      </w:pPr>
      <w:r w:rsidRPr="00890396">
        <w:t>[3]</w:t>
      </w:r>
      <w:r w:rsidRPr="00890396">
        <w:tab/>
      </w:r>
      <w:hyperlink r:id="rId104" w:history="1">
        <w:r w:rsidRPr="00890396">
          <w:rPr>
            <w:color w:val="0000FF"/>
            <w:u w:val="single"/>
          </w:rPr>
          <w:t>IEEE C95.1-2019</w:t>
        </w:r>
      </w:hyperlink>
      <w:r w:rsidRPr="00890396">
        <w:t xml:space="preserve">, </w:t>
      </w:r>
      <w:r w:rsidRPr="00890396">
        <w:rPr>
          <w:i/>
          <w:iCs/>
        </w:rPr>
        <w:t>Standard for Safety Levels with Respect to Human Exposure to Electric, Magnetic, and Electromagnetic Fields, 0 Hz to 300 GHz</w:t>
      </w:r>
      <w:r w:rsidRPr="00890396">
        <w:t>.</w:t>
      </w:r>
    </w:p>
    <w:p w14:paraId="454D33D4" w14:textId="77777777" w:rsidR="0086339D" w:rsidRPr="00890396" w:rsidRDefault="0086339D" w:rsidP="0086339D">
      <w:pPr>
        <w:pStyle w:val="Reftext"/>
      </w:pPr>
      <w:r w:rsidRPr="00890396">
        <w:t>[4]</w:t>
      </w:r>
      <w:r w:rsidRPr="00890396">
        <w:tab/>
        <w:t xml:space="preserve">Mazar 2016, </w:t>
      </w:r>
      <w:r w:rsidRPr="00890396">
        <w:rPr>
          <w:i/>
          <w:iCs/>
        </w:rPr>
        <w:t>Radio Spectrum Management: Policies, Regulations and Techniques</w:t>
      </w:r>
      <w:r w:rsidRPr="00890396">
        <w:t xml:space="preserve">, </w:t>
      </w:r>
      <w:hyperlink r:id="rId105" w:history="1">
        <w:r w:rsidRPr="00890396">
          <w:rPr>
            <w:color w:val="0000FF"/>
            <w:u w:val="single"/>
          </w:rPr>
          <w:t>Capítulo 9</w:t>
        </w:r>
      </w:hyperlink>
      <w:r w:rsidRPr="00890396">
        <w:t>, 2021.</w:t>
      </w:r>
    </w:p>
    <w:p w14:paraId="3DCA18BE" w14:textId="77777777" w:rsidR="0086339D" w:rsidRPr="00890396" w:rsidRDefault="0086339D" w:rsidP="0086339D">
      <w:pPr>
        <w:pStyle w:val="Reftext"/>
      </w:pPr>
      <w:r w:rsidRPr="00890396">
        <w:t>[5]</w:t>
      </w:r>
      <w:r w:rsidRPr="00890396">
        <w:tab/>
        <w:t xml:space="preserve">IEC 62232, </w:t>
      </w:r>
      <w:r w:rsidRPr="00890396">
        <w:rPr>
          <w:i/>
          <w:iCs/>
        </w:rPr>
        <w:t>Determination of RF field strength, power density and SAR in the vicinity of radiocommunication base stations for the purpose of evaluating human exposure</w:t>
      </w:r>
      <w:r w:rsidRPr="00890396">
        <w:t>.</w:t>
      </w:r>
    </w:p>
    <w:p w14:paraId="0D240ADE" w14:textId="543EC32F" w:rsidR="0086339D" w:rsidRPr="00890396" w:rsidRDefault="0086339D" w:rsidP="0086339D">
      <w:pPr>
        <w:pStyle w:val="Reftext"/>
      </w:pPr>
      <w:bookmarkStart w:id="898" w:name="_Hlk111222305"/>
      <w:r w:rsidRPr="00890396">
        <w:t>[6]</w:t>
      </w:r>
      <w:r w:rsidRPr="00890396">
        <w:tab/>
      </w:r>
      <w:hyperlink r:id="rId106" w:history="1">
        <w:r w:rsidRPr="00890396">
          <w:rPr>
            <w:rStyle w:val="Hyperlink"/>
          </w:rPr>
          <w:t>OMS (febrero de 2020)</w:t>
        </w:r>
      </w:hyperlink>
      <w:r w:rsidRPr="00890396">
        <w:t xml:space="preserve">, </w:t>
      </w:r>
      <w:r w:rsidRPr="00890396">
        <w:rPr>
          <w:i/>
          <w:iCs/>
        </w:rPr>
        <w:t>Radiation: 5G mobile networks and health</w:t>
      </w:r>
      <w:r w:rsidRPr="00890396">
        <w:t>.</w:t>
      </w:r>
    </w:p>
    <w:p w14:paraId="3AC191F5" w14:textId="77777777" w:rsidR="0086339D" w:rsidRPr="00890396" w:rsidRDefault="0086339D" w:rsidP="0086339D">
      <w:pPr>
        <w:pStyle w:val="Reftext"/>
      </w:pPr>
      <w:r w:rsidRPr="00890396">
        <w:t>[7]</w:t>
      </w:r>
      <w:r w:rsidRPr="00890396">
        <w:tab/>
      </w:r>
      <w:hyperlink r:id="rId107" w:history="1">
        <w:r w:rsidRPr="00890396">
          <w:rPr>
            <w:rStyle w:val="Hyperlink"/>
          </w:rPr>
          <w:t>ETSI TR 102 457</w:t>
        </w:r>
      </w:hyperlink>
      <w:r w:rsidRPr="00890396">
        <w:t xml:space="preserve">, </w:t>
      </w:r>
      <w:r w:rsidRPr="00890396">
        <w:rPr>
          <w:i/>
          <w:iCs/>
        </w:rPr>
        <w:t>Fixed Radio Systems; Evaluation of the Electro Magnetic Field (EMF) radiated by Line-of-Sight (LoS) fixed radio stations using parabolic dish directional antennas</w:t>
      </w:r>
      <w:r w:rsidRPr="00890396">
        <w:t>.</w:t>
      </w:r>
    </w:p>
    <w:p w14:paraId="2F093D65" w14:textId="77777777" w:rsidR="0086339D" w:rsidRPr="00890396" w:rsidRDefault="0086339D" w:rsidP="0086339D">
      <w:pPr>
        <w:pStyle w:val="Reftext"/>
      </w:pPr>
      <w:r w:rsidRPr="00890396">
        <w:t>[8]</w:t>
      </w:r>
      <w:r w:rsidRPr="00890396">
        <w:tab/>
      </w:r>
      <w:hyperlink r:id="rId108" w:history="1">
        <w:r w:rsidRPr="00890396">
          <w:rPr>
            <w:rStyle w:val="Hyperlink"/>
          </w:rPr>
          <w:t>EN 50496</w:t>
        </w:r>
      </w:hyperlink>
      <w:r w:rsidRPr="00890396">
        <w:t xml:space="preserve">, </w:t>
      </w:r>
      <w:r w:rsidRPr="00890396">
        <w:rPr>
          <w:i/>
          <w:iCs/>
        </w:rPr>
        <w:t>Determination of workers’ exposure to electromagnetic fields and assessment of risk at a broadcast site</w:t>
      </w:r>
      <w:r w:rsidRPr="00890396">
        <w:t>.</w:t>
      </w:r>
    </w:p>
    <w:p w14:paraId="108519EB" w14:textId="77777777" w:rsidR="0086339D" w:rsidRPr="00890396" w:rsidRDefault="0086339D" w:rsidP="0086339D">
      <w:pPr>
        <w:pStyle w:val="Reftext"/>
      </w:pPr>
      <w:r w:rsidRPr="00890396">
        <w:t>[9]</w:t>
      </w:r>
      <w:r w:rsidRPr="00890396">
        <w:tab/>
      </w:r>
      <w:hyperlink r:id="rId109" w:history="1">
        <w:r w:rsidRPr="00890396">
          <w:rPr>
            <w:rStyle w:val="Hyperlink"/>
          </w:rPr>
          <w:t>EN 50554</w:t>
        </w:r>
      </w:hyperlink>
      <w:r w:rsidRPr="00890396">
        <w:t xml:space="preserve">, </w:t>
      </w:r>
      <w:r w:rsidRPr="00890396">
        <w:rPr>
          <w:i/>
          <w:iCs/>
        </w:rPr>
        <w:t>Basic standard for the in-situ assessment of exposure to radio frequency electromagnetic fields in the vicinity of a broadcast site</w:t>
      </w:r>
      <w:r w:rsidRPr="00890396">
        <w:t>.</w:t>
      </w:r>
    </w:p>
    <w:bookmarkEnd w:id="898"/>
    <w:p w14:paraId="1709AFF4" w14:textId="77777777" w:rsidR="0086339D" w:rsidRDefault="0086339D" w:rsidP="00411C49">
      <w:pPr>
        <w:pStyle w:val="Reasons"/>
      </w:pPr>
    </w:p>
    <w:p w14:paraId="69AFD47E" w14:textId="77777777" w:rsidR="0086339D" w:rsidRDefault="0086339D">
      <w:pPr>
        <w:jc w:val="center"/>
      </w:pPr>
      <w:r>
        <w:t>______________</w:t>
      </w:r>
    </w:p>
    <w:sectPr w:rsidR="0086339D" w:rsidSect="008432BB">
      <w:headerReference w:type="even" r:id="rId110"/>
      <w:footerReference w:type="even" r:id="rId111"/>
      <w:footerReference w:type="default" r:id="rId112"/>
      <w:footerReference w:type="first" r:id="rId113"/>
      <w:footnotePr>
        <w:pos w:val="beneathText"/>
      </w:footnotePr>
      <w:type w:val="oddPage"/>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2EB23" w14:textId="77777777" w:rsidR="00B07DA4" w:rsidRDefault="00B07DA4">
      <w:r>
        <w:separator/>
      </w:r>
    </w:p>
  </w:endnote>
  <w:endnote w:type="continuationSeparator" w:id="0">
    <w:p w14:paraId="19145A78" w14:textId="77777777" w:rsidR="00B07DA4" w:rsidRDefault="00B07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old">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2541C" w14:textId="77777777" w:rsidR="00301DB3" w:rsidRDefault="00301DB3">
    <w:pPr>
      <w:pStyle w:val="Footer"/>
    </w:pPr>
    <w:r>
      <w:drawing>
        <wp:anchor distT="0" distB="0" distL="0" distR="0" simplePos="0" relativeHeight="251656192" behindDoc="0" locked="0" layoutInCell="1" allowOverlap="1" wp14:anchorId="55546512" wp14:editId="21B64CAA">
          <wp:simplePos x="0" y="0"/>
          <wp:positionH relativeFrom="page">
            <wp:posOffset>6346209</wp:posOffset>
          </wp:positionH>
          <wp:positionV relativeFrom="page">
            <wp:posOffset>9501505</wp:posOffset>
          </wp:positionV>
          <wp:extent cx="738000" cy="813600"/>
          <wp:effectExtent l="0" t="0" r="0" b="0"/>
          <wp:wrapNone/>
          <wp:docPr id="10"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B8512" w14:textId="77777777" w:rsidR="00025755" w:rsidRDefault="000257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B531A" w14:textId="77777777" w:rsidR="00025755" w:rsidRPr="00EA7180" w:rsidRDefault="00025755" w:rsidP="00EA718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510DB" w14:textId="731586E7" w:rsidR="00025755" w:rsidRPr="002F7CB3" w:rsidRDefault="00434404" w:rsidP="00E6257C">
    <w:pPr>
      <w:pStyle w:val="Footer"/>
      <w:rPr>
        <w:lang w:val="en-US"/>
      </w:rPr>
    </w:pPr>
    <w:r>
      <w:fldChar w:fldCharType="begin"/>
    </w:r>
    <w:r w:rsidRPr="00AA515C">
      <w:instrText xml:space="preserve"> FILENAME \p \* MERGEFORMAT </w:instrText>
    </w:r>
    <w:r>
      <w:fldChar w:fldCharType="separate"/>
    </w:r>
    <w:r w:rsidR="00736DAC">
      <w:t>P:\QPUB\BR\REC\BS\1698-1\BS1698-1S.docx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0C4A9" w14:textId="77777777" w:rsidR="00B07DA4" w:rsidRDefault="00B07DA4">
      <w:r>
        <w:separator/>
      </w:r>
    </w:p>
  </w:footnote>
  <w:footnote w:type="continuationSeparator" w:id="0">
    <w:p w14:paraId="0DCA7217" w14:textId="77777777" w:rsidR="00B07DA4" w:rsidRDefault="00B07DA4">
      <w:r>
        <w:continuationSeparator/>
      </w:r>
    </w:p>
  </w:footnote>
  <w:footnote w:id="1">
    <w:p w14:paraId="63397120" w14:textId="54C7C22E" w:rsidR="0006489C" w:rsidRPr="0006489C" w:rsidRDefault="0006489C">
      <w:pPr>
        <w:pStyle w:val="FootnoteText"/>
        <w:rPr>
          <w:lang w:val="es-ES"/>
        </w:rPr>
      </w:pPr>
      <w:r>
        <w:rPr>
          <w:rStyle w:val="FootnoteReference"/>
        </w:rPr>
        <w:footnoteRef/>
      </w:r>
      <w:r w:rsidRPr="0006489C">
        <w:rPr>
          <w:lang w:val="es-ES"/>
        </w:rPr>
        <w:t xml:space="preserve"> </w:t>
      </w:r>
      <w:r w:rsidRPr="0006489C">
        <w:tab/>
      </w:r>
      <w:r w:rsidRPr="0006489C">
        <w:rPr>
          <w:lang w:val="es-ES"/>
        </w:rPr>
        <w:t>De acuerdo con los números </w:t>
      </w:r>
      <w:r w:rsidRPr="0006489C">
        <w:rPr>
          <w:b/>
          <w:bCs/>
          <w:lang w:val="es-ES"/>
        </w:rPr>
        <w:t>1.137</w:t>
      </w:r>
      <w:r w:rsidRPr="0006489C">
        <w:rPr>
          <w:lang w:val="es-ES"/>
        </w:rPr>
        <w:t> y </w:t>
      </w:r>
      <w:r w:rsidRPr="0006489C">
        <w:rPr>
          <w:b/>
          <w:bCs/>
          <w:lang w:val="es-ES"/>
        </w:rPr>
        <w:t>1.138</w:t>
      </w:r>
      <w:r w:rsidRPr="0006489C">
        <w:rPr>
          <w:lang w:val="es-ES"/>
        </w:rPr>
        <w:t> del RR, el término "emisión" designa la "radiación” producida por una estación transmisora radioeléctrica.</w:t>
      </w:r>
    </w:p>
  </w:footnote>
  <w:footnote w:id="2">
    <w:p w14:paraId="655AE6B5" w14:textId="1BC01D82" w:rsidR="0086339D" w:rsidRPr="00111E49" w:rsidRDefault="0086339D" w:rsidP="0086339D">
      <w:pPr>
        <w:pStyle w:val="FootnoteText"/>
        <w:spacing w:line="240" w:lineRule="exact"/>
        <w:rPr>
          <w:lang w:val="es-ES"/>
        </w:rPr>
      </w:pPr>
      <w:r w:rsidRPr="00111E49">
        <w:rPr>
          <w:rStyle w:val="FootnoteReference"/>
          <w:lang w:val="es-ES"/>
        </w:rPr>
        <w:t>1</w:t>
      </w:r>
      <w:r w:rsidRPr="00111E49">
        <w:rPr>
          <w:lang w:val="es-ES"/>
        </w:rPr>
        <w:tab/>
        <w:t xml:space="preserve">Generalmente, la impedancia característica de un medio viene dada por la fórmula </w:t>
      </w:r>
      <w:r>
        <w:rPr>
          <w:position w:val="-10"/>
        </w:rPr>
        <w:object w:dxaOrig="1060" w:dyaOrig="380" w14:anchorId="54629780">
          <v:shape id="_x0000_i1235" type="#_x0000_t75" style="width:52.3pt;height:19.7pt" o:ole="" fillcolor="window">
            <v:imagedata r:id="rId1" o:title=""/>
          </v:shape>
          <o:OLEObject Type="Embed" ProgID="Equation.3" ShapeID="_x0000_i1235" DrawAspect="Content" ObjectID="_1773141099" r:id="rId2"/>
        </w:object>
      </w:r>
      <w:r w:rsidRPr="00111E49">
        <w:rPr>
          <w:lang w:val="es-ES"/>
        </w:rPr>
        <w:br/>
        <w:t xml:space="preserve">siendo </w:t>
      </w:r>
      <w:r>
        <w:rPr>
          <w:rFonts w:ascii="Symbol" w:hAnsi="Symbol"/>
        </w:rPr>
        <w:sym w:font="Symbol" w:char="F06D"/>
      </w:r>
      <w:r w:rsidRPr="00111E49">
        <w:rPr>
          <w:lang w:val="es-ES"/>
        </w:rPr>
        <w:t xml:space="preserve"> la permeabilidad magnética </w:t>
      </w:r>
      <w:r w:rsidRPr="00111E49">
        <w:rPr>
          <w:bCs/>
          <w:iCs/>
          <w:lang w:val="es-ES"/>
        </w:rPr>
        <w:t>(</w:t>
      </w:r>
      <w:r>
        <w:rPr>
          <w:rFonts w:ascii="Symbol" w:hAnsi="Symbol"/>
          <w:bCs/>
          <w:iCs/>
        </w:rPr>
        <w:t></w:t>
      </w:r>
      <w:r w:rsidRPr="00111E49">
        <w:rPr>
          <w:bCs/>
          <w:iCs/>
          <w:lang w:val="es-ES"/>
        </w:rPr>
        <w:t> </w:t>
      </w:r>
      <w:r w:rsidRPr="00111E49">
        <w:rPr>
          <w:lang w:val="es-ES"/>
        </w:rPr>
        <w:t>1,2566</w:t>
      </w:r>
      <w:r w:rsidR="00B231D6">
        <w:rPr>
          <w:lang w:val="es-ES"/>
        </w:rPr>
        <w:t>.</w:t>
      </w:r>
      <w:r w:rsidRPr="00111E49">
        <w:rPr>
          <w:lang w:val="es-ES"/>
        </w:rPr>
        <w:t>.. </w:t>
      </w:r>
      <w:r>
        <w:rPr>
          <w:rFonts w:ascii="Symbol" w:hAnsi="Symbol"/>
        </w:rPr>
        <w:t></w:t>
      </w:r>
      <w:r w:rsidRPr="00111E49">
        <w:rPr>
          <w:lang w:val="es-ES"/>
        </w:rPr>
        <w:t> 10</w:t>
      </w:r>
      <w:r w:rsidRPr="00111E49">
        <w:rPr>
          <w:vertAlign w:val="superscript"/>
          <w:lang w:val="es-ES"/>
        </w:rPr>
        <w:t>–6</w:t>
      </w:r>
      <w:r w:rsidRPr="00111E49">
        <w:rPr>
          <w:sz w:val="18"/>
          <w:lang w:val="es-ES"/>
        </w:rPr>
        <w:t xml:space="preserve"> </w:t>
      </w:r>
      <w:r w:rsidRPr="00111E49">
        <w:rPr>
          <w:lang w:val="es-ES"/>
        </w:rPr>
        <w:t xml:space="preserve">F/m en espacio libre) y </w:t>
      </w:r>
      <w:r>
        <w:rPr>
          <w:rFonts w:ascii="Symbol" w:hAnsi="Symbol"/>
        </w:rPr>
        <w:sym w:font="Symbol" w:char="F065"/>
      </w:r>
      <w:r w:rsidRPr="00111E49">
        <w:rPr>
          <w:lang w:val="es-ES"/>
        </w:rPr>
        <w:t xml:space="preserve"> la permitividad </w:t>
      </w:r>
      <w:r w:rsidRPr="00111E49">
        <w:rPr>
          <w:bCs/>
          <w:iCs/>
          <w:lang w:val="es-ES"/>
        </w:rPr>
        <w:t>(</w:t>
      </w:r>
      <w:r>
        <w:rPr>
          <w:rFonts w:ascii="Symbol" w:hAnsi="Symbol"/>
          <w:bCs/>
          <w:iCs/>
        </w:rPr>
        <w:t></w:t>
      </w:r>
      <w:r w:rsidRPr="00111E49">
        <w:rPr>
          <w:bCs/>
          <w:iCs/>
          <w:lang w:val="es-ES"/>
        </w:rPr>
        <w:t> </w:t>
      </w:r>
      <w:r w:rsidRPr="00111E49">
        <w:rPr>
          <w:lang w:val="es-ES"/>
        </w:rPr>
        <w:t>8,85418 </w:t>
      </w:r>
      <w:r>
        <w:rPr>
          <w:rFonts w:ascii="Symbol" w:hAnsi="Symbol"/>
        </w:rPr>
        <w:t></w:t>
      </w:r>
      <w:r w:rsidRPr="00111E49">
        <w:rPr>
          <w:lang w:val="es-ES"/>
        </w:rPr>
        <w:t> 10</w:t>
      </w:r>
      <w:r w:rsidRPr="00111E49">
        <w:rPr>
          <w:rFonts w:ascii="Symbol" w:hAnsi="Symbol"/>
          <w:vertAlign w:val="superscript"/>
          <w:lang w:val="es-ES"/>
        </w:rPr>
        <w:noBreakHyphen/>
      </w:r>
      <w:r w:rsidRPr="00111E49">
        <w:rPr>
          <w:vertAlign w:val="superscript"/>
          <w:lang w:val="es-ES"/>
        </w:rPr>
        <w:t>12</w:t>
      </w:r>
      <w:r w:rsidRPr="00111E49">
        <w:rPr>
          <w:sz w:val="18"/>
          <w:lang w:val="es-ES"/>
        </w:rPr>
        <w:t xml:space="preserve"> </w:t>
      </w:r>
      <w:r w:rsidRPr="00111E49">
        <w:rPr>
          <w:lang w:val="es-ES"/>
        </w:rPr>
        <w:t>H/m en el espacio libre).</w:t>
      </w:r>
    </w:p>
  </w:footnote>
  <w:footnote w:id="3">
    <w:p w14:paraId="6B51AC75" w14:textId="39B0C02A" w:rsidR="0086339D" w:rsidRPr="00E91EF4" w:rsidRDefault="0086339D" w:rsidP="0086339D">
      <w:pPr>
        <w:pStyle w:val="FootnoteText"/>
        <w:rPr>
          <w:lang w:val="es-ES_tradnl"/>
        </w:rPr>
      </w:pPr>
      <w:r w:rsidRPr="00B46F13">
        <w:rPr>
          <w:rStyle w:val="FootnoteReference"/>
        </w:rPr>
        <w:footnoteRef/>
      </w:r>
      <w:r w:rsidRPr="00111E49">
        <w:rPr>
          <w:lang w:val="es-ES"/>
        </w:rPr>
        <w:tab/>
        <w:t xml:space="preserve">Mazar 2016, Wiley </w:t>
      </w:r>
      <w:r w:rsidR="00297000" w:rsidRPr="00111E49">
        <w:rPr>
          <w:lang w:val="es-ES"/>
        </w:rPr>
        <w:t>«</w:t>
      </w:r>
      <w:r w:rsidRPr="00111E49">
        <w:rPr>
          <w:lang w:val="es-ES"/>
        </w:rPr>
        <w:t>Radio Spectrum Management: Policies, Regulations and Techniques</w:t>
      </w:r>
      <w:r w:rsidR="00297000" w:rsidRPr="00111E49">
        <w:rPr>
          <w:lang w:val="es-ES"/>
        </w:rPr>
        <w:t>»</w:t>
      </w:r>
      <w:r w:rsidRPr="00111E49">
        <w:rPr>
          <w:lang w:val="es-ES"/>
        </w:rPr>
        <w:t xml:space="preserve"> (</w:t>
      </w:r>
      <w:r w:rsidRPr="00E91EF4">
        <w:rPr>
          <w:lang w:val="es-ES_tradnl"/>
        </w:rPr>
        <w:t>revisado en 2021), Capítulo</w:t>
      </w:r>
      <w:hyperlink r:id="rId3" w:history="1">
        <w:r w:rsidRPr="005E1F1D">
          <w:rPr>
            <w:rStyle w:val="Hyperlink"/>
            <w:color w:val="auto"/>
            <w:u w:val="none"/>
            <w:lang w:val="es-ES_tradnl"/>
          </w:rPr>
          <w:t xml:space="preserve"> 9</w:t>
        </w:r>
      </w:hyperlink>
      <w:r w:rsidRPr="005E1F1D">
        <w:rPr>
          <w:rStyle w:val="Hyperlink"/>
          <w:color w:val="auto"/>
          <w:u w:val="none"/>
          <w:lang w:val="es-ES_tradnl"/>
        </w:rPr>
        <w:t>,</w:t>
      </w:r>
      <w:r w:rsidRPr="005E1F1D">
        <w:rPr>
          <w:szCs w:val="24"/>
          <w:lang w:val="es-ES_tradnl" w:bidi="he-IL"/>
        </w:rPr>
        <w:t xml:space="preserve"> </w:t>
      </w:r>
      <w:r w:rsidRPr="00E91EF4">
        <w:rPr>
          <w:szCs w:val="24"/>
          <w:lang w:val="es-ES_tradnl" w:bidi="he-IL"/>
        </w:rPr>
        <w:t>Figuras 9.6 y 9.7. Véase asimismo la Figura I.1 de la Recomendación</w:t>
      </w:r>
      <w:r w:rsidRPr="00E91EF4">
        <w:rPr>
          <w:szCs w:val="24"/>
          <w:lang w:val="es-ES_tradnl"/>
        </w:rPr>
        <w:t xml:space="preserve"> UIT-T </w:t>
      </w:r>
      <w:hyperlink r:id="rId4" w:history="1">
        <w:r w:rsidRPr="00E91EF4">
          <w:rPr>
            <w:szCs w:val="24"/>
            <w:lang w:val="es-ES_tradnl"/>
          </w:rPr>
          <w:t>K.91</w:t>
        </w:r>
      </w:hyperlink>
      <w:r w:rsidR="008A4795">
        <w:rPr>
          <w:szCs w:val="24"/>
          <w:lang w:val="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077A4"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3D3D61BF" w14:textId="77777777" w:rsidTr="0019307B">
      <w:tc>
        <w:tcPr>
          <w:tcW w:w="4634" w:type="dxa"/>
          <w:vAlign w:val="center"/>
        </w:tcPr>
        <w:p w14:paraId="58455FF5"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787F0DB2"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w:t>
          </w:r>
          <w:r w:rsidR="006B1E05">
            <w:rPr>
              <w:rFonts w:asciiTheme="minorBidi" w:hAnsiTheme="minorBidi"/>
              <w:b/>
              <w:spacing w:val="4"/>
              <w:szCs w:val="24"/>
            </w:rPr>
            <w:t>ó</w:t>
          </w:r>
          <w:r w:rsidRPr="00260B24">
            <w:rPr>
              <w:rFonts w:asciiTheme="minorBidi" w:hAnsiTheme="minorBidi"/>
              <w:b/>
              <w:spacing w:val="4"/>
              <w:szCs w:val="24"/>
            </w:rPr>
            <w:t>n</w:t>
          </w:r>
          <w:r w:rsidR="00A25EE2">
            <w:rPr>
              <w:rFonts w:asciiTheme="minorBidi" w:hAnsiTheme="minorBidi"/>
              <w:b/>
              <w:spacing w:val="4"/>
              <w:szCs w:val="24"/>
            </w:rPr>
            <w:t xml:space="preserve"> </w:t>
          </w:r>
          <w:r w:rsidR="006B1E05">
            <w:rPr>
              <w:rFonts w:asciiTheme="minorBidi" w:hAnsiTheme="minorBidi"/>
              <w:b/>
              <w:spacing w:val="4"/>
              <w:szCs w:val="24"/>
            </w:rPr>
            <w:t>I</w:t>
          </w:r>
          <w:r w:rsidR="00A25EE2" w:rsidRPr="00260B24">
            <w:rPr>
              <w:rFonts w:asciiTheme="minorBidi" w:hAnsiTheme="minorBidi"/>
              <w:b/>
              <w:spacing w:val="4"/>
              <w:szCs w:val="24"/>
            </w:rPr>
            <w:t>nterna</w:t>
          </w:r>
          <w:r w:rsidR="0069322D">
            <w:rPr>
              <w:rFonts w:asciiTheme="minorBidi" w:hAnsiTheme="minorBidi"/>
              <w:b/>
              <w:spacing w:val="4"/>
              <w:szCs w:val="24"/>
            </w:rPr>
            <w:t>c</w:t>
          </w:r>
          <w:r w:rsidR="00A25EE2" w:rsidRPr="00260B24">
            <w:rPr>
              <w:rFonts w:asciiTheme="minorBidi" w:hAnsiTheme="minorBidi"/>
              <w:b/>
              <w:spacing w:val="4"/>
              <w:szCs w:val="24"/>
            </w:rPr>
            <w:t xml:space="preserve">ional </w:t>
          </w:r>
          <w:r w:rsidR="00A25EE2">
            <w:rPr>
              <w:rFonts w:asciiTheme="minorBidi" w:hAnsiTheme="minorBidi"/>
              <w:b/>
              <w:spacing w:val="4"/>
              <w:szCs w:val="24"/>
            </w:rPr>
            <w:t xml:space="preserve">de </w:t>
          </w:r>
          <w:r w:rsidR="0069322D">
            <w:rPr>
              <w:rFonts w:asciiTheme="minorBidi" w:hAnsiTheme="minorBidi"/>
              <w:b/>
              <w:spacing w:val="4"/>
              <w:szCs w:val="24"/>
            </w:rPr>
            <w:t>Te</w:t>
          </w:r>
          <w:r w:rsidR="00A25EE2" w:rsidRPr="00260B24">
            <w:rPr>
              <w:rFonts w:asciiTheme="minorBidi" w:hAnsiTheme="minorBidi"/>
              <w:b/>
              <w:spacing w:val="4"/>
              <w:szCs w:val="24"/>
            </w:rPr>
            <w:t>l</w:t>
          </w:r>
          <w:r w:rsidR="0069322D">
            <w:rPr>
              <w:rFonts w:asciiTheme="minorBidi" w:hAnsiTheme="minorBidi"/>
              <w:b/>
              <w:spacing w:val="4"/>
              <w:szCs w:val="24"/>
            </w:rPr>
            <w:t>e</w:t>
          </w:r>
          <w:r w:rsidR="00A25EE2" w:rsidRPr="00260B24">
            <w:rPr>
              <w:rFonts w:asciiTheme="minorBidi" w:hAnsiTheme="minorBidi"/>
              <w:b/>
              <w:spacing w:val="4"/>
              <w:szCs w:val="24"/>
            </w:rPr>
            <w:t>comunica</w:t>
          </w:r>
          <w:r w:rsidR="0069322D">
            <w:rPr>
              <w:rFonts w:asciiTheme="minorBidi" w:hAnsiTheme="minorBidi"/>
              <w:b/>
              <w:spacing w:val="4"/>
              <w:szCs w:val="24"/>
            </w:rPr>
            <w:t>c</w:t>
          </w:r>
          <w:r w:rsidR="00A25EE2" w:rsidRPr="00260B24">
            <w:rPr>
              <w:rFonts w:asciiTheme="minorBidi" w:hAnsiTheme="minorBidi"/>
              <w:b/>
              <w:spacing w:val="4"/>
              <w:szCs w:val="24"/>
            </w:rPr>
            <w:t>ion</w:t>
          </w:r>
          <w:r w:rsidR="0069322D">
            <w:rPr>
              <w:rFonts w:asciiTheme="minorBidi" w:hAnsiTheme="minorBidi"/>
              <w:b/>
              <w:spacing w:val="4"/>
              <w:szCs w:val="24"/>
            </w:rPr>
            <w:t>e</w:t>
          </w:r>
          <w:r w:rsidR="00A25EE2">
            <w:rPr>
              <w:rFonts w:asciiTheme="minorBidi" w:hAnsiTheme="minorBidi"/>
              <w:b/>
              <w:spacing w:val="4"/>
              <w:szCs w:val="24"/>
            </w:rPr>
            <w:t>s</w:t>
          </w:r>
        </w:p>
      </w:tc>
    </w:tr>
    <w:tr w:rsidR="005B0371" w:rsidRPr="00A239D1" w14:paraId="288A6DEF" w14:textId="77777777" w:rsidTr="0019307B">
      <w:tc>
        <w:tcPr>
          <w:tcW w:w="4634" w:type="dxa"/>
          <w:vAlign w:val="center"/>
        </w:tcPr>
        <w:p w14:paraId="76DBAE6E"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w:t>
          </w:r>
          <w:r w:rsidR="0069322D">
            <w:rPr>
              <w:rFonts w:asciiTheme="minorBidi" w:hAnsiTheme="minorBidi"/>
              <w:spacing w:val="4"/>
              <w:szCs w:val="24"/>
            </w:rPr>
            <w:t>e</w:t>
          </w:r>
          <w:r w:rsidRPr="00260B24">
            <w:rPr>
              <w:rFonts w:asciiTheme="minorBidi" w:hAnsiTheme="minorBidi"/>
              <w:spacing w:val="4"/>
              <w:szCs w:val="24"/>
            </w:rPr>
            <w:t>nda</w:t>
          </w:r>
          <w:r w:rsidR="0069322D">
            <w:rPr>
              <w:rFonts w:asciiTheme="minorBidi" w:hAnsiTheme="minorBidi"/>
              <w:spacing w:val="4"/>
              <w:szCs w:val="24"/>
            </w:rPr>
            <w:t>c</w:t>
          </w:r>
          <w:r w:rsidRPr="00260B24">
            <w:rPr>
              <w:rFonts w:asciiTheme="minorBidi" w:hAnsiTheme="minorBidi"/>
              <w:spacing w:val="4"/>
              <w:szCs w:val="24"/>
            </w:rPr>
            <w:t>i</w:t>
          </w:r>
          <w:r w:rsidR="0069322D">
            <w:rPr>
              <w:rFonts w:asciiTheme="minorBidi" w:hAnsiTheme="minorBidi"/>
              <w:spacing w:val="4"/>
              <w:szCs w:val="24"/>
            </w:rPr>
            <w:t>o</w:t>
          </w:r>
          <w:r w:rsidRPr="00260B24">
            <w:rPr>
              <w:rFonts w:asciiTheme="minorBidi" w:hAnsiTheme="minorBidi"/>
              <w:spacing w:val="4"/>
              <w:szCs w:val="24"/>
            </w:rPr>
            <w:t>n</w:t>
          </w:r>
          <w:r w:rsidR="0069322D">
            <w:rPr>
              <w:rFonts w:asciiTheme="minorBidi" w:hAnsiTheme="minorBidi"/>
              <w:spacing w:val="4"/>
              <w:szCs w:val="24"/>
            </w:rPr>
            <w:t>e</w:t>
          </w:r>
          <w:r w:rsidR="004A6FEB" w:rsidRPr="00260B24">
            <w:rPr>
              <w:rFonts w:asciiTheme="minorBidi" w:hAnsiTheme="minorBidi"/>
              <w:spacing w:val="4"/>
              <w:szCs w:val="24"/>
            </w:rPr>
            <w:t>s</w:t>
          </w:r>
        </w:p>
      </w:tc>
      <w:tc>
        <w:tcPr>
          <w:tcW w:w="5998" w:type="dxa"/>
          <w:vAlign w:val="center"/>
        </w:tcPr>
        <w:p w14:paraId="64BFAE31"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Sect</w:t>
          </w:r>
          <w:r w:rsidR="0069322D">
            <w:rPr>
              <w:rFonts w:asciiTheme="minorBidi" w:hAnsiTheme="minorBidi"/>
              <w:spacing w:val="4"/>
              <w:szCs w:val="24"/>
            </w:rPr>
            <w:t>o</w:t>
          </w:r>
          <w:r>
            <w:rPr>
              <w:rFonts w:asciiTheme="minorBidi" w:hAnsiTheme="minorBidi"/>
              <w:spacing w:val="4"/>
              <w:szCs w:val="24"/>
            </w:rPr>
            <w:t xml:space="preserve">r de </w:t>
          </w:r>
          <w:r w:rsidR="00EE47C4" w:rsidRPr="00260B24">
            <w:rPr>
              <w:rFonts w:asciiTheme="minorBidi" w:hAnsiTheme="minorBidi"/>
              <w:spacing w:val="4"/>
              <w:szCs w:val="24"/>
            </w:rPr>
            <w:t>Radiocomunica</w:t>
          </w:r>
          <w:r w:rsidR="0069322D">
            <w:rPr>
              <w:rFonts w:asciiTheme="minorBidi" w:hAnsiTheme="minorBidi"/>
              <w:spacing w:val="4"/>
              <w:szCs w:val="24"/>
            </w:rPr>
            <w:t>c</w:t>
          </w:r>
          <w:r w:rsidR="00EE47C4" w:rsidRPr="00260B24">
            <w:rPr>
              <w:rFonts w:asciiTheme="minorBidi" w:hAnsiTheme="minorBidi"/>
              <w:spacing w:val="4"/>
              <w:szCs w:val="24"/>
            </w:rPr>
            <w:t>ion</w:t>
          </w:r>
          <w:r w:rsidR="0069322D">
            <w:rPr>
              <w:rFonts w:asciiTheme="minorBidi" w:hAnsiTheme="minorBidi"/>
              <w:spacing w:val="4"/>
              <w:szCs w:val="24"/>
            </w:rPr>
            <w:t>e</w:t>
          </w:r>
          <w:r>
            <w:rPr>
              <w:rFonts w:asciiTheme="minorBidi" w:hAnsiTheme="minorBidi"/>
              <w:spacing w:val="4"/>
              <w:szCs w:val="24"/>
            </w:rPr>
            <w:t>s</w:t>
          </w:r>
        </w:p>
      </w:tc>
    </w:tr>
  </w:tbl>
  <w:p w14:paraId="61A84563" w14:textId="77777777" w:rsidR="00EE47C4" w:rsidRDefault="0069322D"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3863C313" wp14:editId="663F8265">
          <wp:simplePos x="0" y="0"/>
          <wp:positionH relativeFrom="column">
            <wp:posOffset>-252095</wp:posOffset>
          </wp:positionH>
          <wp:positionV relativeFrom="paragraph">
            <wp:posOffset>-562165</wp:posOffset>
          </wp:positionV>
          <wp:extent cx="1781299" cy="383901"/>
          <wp:effectExtent l="0" t="0" r="0" b="0"/>
          <wp:wrapNone/>
          <wp:docPr id="9" name="Picture 9" descr="ITU Publicacio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 Publicacion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299" cy="383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2D7A5C5F" wp14:editId="4A366FC5">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37A5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0F7ABF75"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256AA871" wp14:editId="07CCC2A8">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C234B"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56B4E" w14:textId="04FA7C28"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F111D6">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736DAC">
      <w:rPr>
        <w:b/>
        <w:bCs/>
        <w:lang w:val="en-US"/>
      </w:rPr>
      <w:t xml:space="preserve">Rec. </w:t>
    </w:r>
    <w:r>
      <w:rPr>
        <w:b/>
        <w:bCs/>
        <w:lang w:val="en-US"/>
      </w:rPr>
      <w:fldChar w:fldCharType="end"/>
    </w:r>
    <w:r w:rsidRPr="00F111D6">
      <w:rPr>
        <w:b/>
        <w:bCs/>
      </w:rPr>
      <w:t xml:space="preserve"> </w:t>
    </w:r>
    <w:r w:rsidR="0086339D">
      <w:rPr>
        <w:b/>
        <w:bCs/>
      </w:rPr>
      <w:t>UIT-R  BS.1698-1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B4B44" w14:textId="13E2531D"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736DAC">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FC5543">
      <w:rPr>
        <w:b/>
        <w:bCs/>
        <w:noProof/>
      </w:rPr>
      <w:t>UIT-R  BS.1698-1</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1E443" w14:textId="4E4BE7A8" w:rsidR="00025755" w:rsidRPr="00D72623" w:rsidRDefault="00434404"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44124D">
      <w:rPr>
        <w:rStyle w:val="PageNumber"/>
        <w:b/>
        <w:bCs/>
      </w:rPr>
      <w:t>ii</w:t>
    </w:r>
    <w:r>
      <w:rPr>
        <w:rStyle w:val="PageNumber"/>
        <w:b/>
        <w:bCs/>
      </w:rPr>
      <w:fldChar w:fldCharType="end"/>
    </w:r>
    <w:r>
      <w:rPr>
        <w:lang w:val="en-US"/>
      </w:rPr>
      <w:tab/>
    </w:r>
    <w:r>
      <w:rPr>
        <w:b/>
        <w:bCs/>
        <w:lang w:val="en-US"/>
      </w:rPr>
      <w:t xml:space="preserve">Rec. </w:t>
    </w:r>
    <w:r w:rsidRPr="0044124D">
      <w:rPr>
        <w:b/>
        <w:bCs/>
      </w:rPr>
      <w:t xml:space="preserve"> </w:t>
    </w:r>
    <w:r w:rsidR="00F20C6F">
      <w:rPr>
        <w:b/>
        <w:bCs/>
        <w:noProof/>
        <w:lang w:val="en-US"/>
      </w:rPr>
      <w:t>UIT</w:t>
    </w:r>
    <w:r>
      <w:rPr>
        <w:b/>
        <w:bCs/>
        <w:noProof/>
        <w:lang w:val="en-US"/>
      </w:rPr>
      <w:t>-R  BS.1698-1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024D1"/>
    <w:multiLevelType w:val="multilevel"/>
    <w:tmpl w:val="5AC2407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3110C5D"/>
    <w:multiLevelType w:val="multilevel"/>
    <w:tmpl w:val="1FD0E0D4"/>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15:restartNumberingAfterBreak="0">
    <w:nsid w:val="2A746328"/>
    <w:multiLevelType w:val="hybridMultilevel"/>
    <w:tmpl w:val="A25C1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651548"/>
    <w:multiLevelType w:val="hybridMultilevel"/>
    <w:tmpl w:val="28D865E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07D6370"/>
    <w:multiLevelType w:val="hybridMultilevel"/>
    <w:tmpl w:val="6536396C"/>
    <w:lvl w:ilvl="0" w:tplc="8E18AEAA">
      <w:start w:val="3"/>
      <w:numFmt w:val="bullet"/>
      <w:lvlText w:val="-"/>
      <w:lvlJc w:val="left"/>
      <w:pPr>
        <w:ind w:left="349" w:hanging="360"/>
      </w:pPr>
      <w:rPr>
        <w:rFonts w:ascii="Times New Roman" w:eastAsia="Times New Roman" w:hAnsi="Times New Roman" w:cs="Times New Roman" w:hint="default"/>
      </w:rPr>
    </w:lvl>
    <w:lvl w:ilvl="1" w:tplc="040C0003" w:tentative="1">
      <w:start w:val="1"/>
      <w:numFmt w:val="bullet"/>
      <w:lvlText w:val="o"/>
      <w:lvlJc w:val="left"/>
      <w:pPr>
        <w:ind w:left="1069" w:hanging="360"/>
      </w:pPr>
      <w:rPr>
        <w:rFonts w:ascii="Courier New" w:hAnsi="Courier New" w:cs="Courier New" w:hint="default"/>
      </w:rPr>
    </w:lvl>
    <w:lvl w:ilvl="2" w:tplc="040C0005" w:tentative="1">
      <w:start w:val="1"/>
      <w:numFmt w:val="bullet"/>
      <w:lvlText w:val=""/>
      <w:lvlJc w:val="left"/>
      <w:pPr>
        <w:ind w:left="1789" w:hanging="360"/>
      </w:pPr>
      <w:rPr>
        <w:rFonts w:ascii="Wingdings" w:hAnsi="Wingdings" w:hint="default"/>
      </w:rPr>
    </w:lvl>
    <w:lvl w:ilvl="3" w:tplc="040C0001" w:tentative="1">
      <w:start w:val="1"/>
      <w:numFmt w:val="bullet"/>
      <w:lvlText w:val=""/>
      <w:lvlJc w:val="left"/>
      <w:pPr>
        <w:ind w:left="2509" w:hanging="360"/>
      </w:pPr>
      <w:rPr>
        <w:rFonts w:ascii="Symbol" w:hAnsi="Symbol" w:hint="default"/>
      </w:rPr>
    </w:lvl>
    <w:lvl w:ilvl="4" w:tplc="040C0003" w:tentative="1">
      <w:start w:val="1"/>
      <w:numFmt w:val="bullet"/>
      <w:lvlText w:val="o"/>
      <w:lvlJc w:val="left"/>
      <w:pPr>
        <w:ind w:left="3229" w:hanging="360"/>
      </w:pPr>
      <w:rPr>
        <w:rFonts w:ascii="Courier New" w:hAnsi="Courier New" w:cs="Courier New" w:hint="default"/>
      </w:rPr>
    </w:lvl>
    <w:lvl w:ilvl="5" w:tplc="040C0005" w:tentative="1">
      <w:start w:val="1"/>
      <w:numFmt w:val="bullet"/>
      <w:lvlText w:val=""/>
      <w:lvlJc w:val="left"/>
      <w:pPr>
        <w:ind w:left="3949" w:hanging="360"/>
      </w:pPr>
      <w:rPr>
        <w:rFonts w:ascii="Wingdings" w:hAnsi="Wingdings" w:hint="default"/>
      </w:rPr>
    </w:lvl>
    <w:lvl w:ilvl="6" w:tplc="040C0001" w:tentative="1">
      <w:start w:val="1"/>
      <w:numFmt w:val="bullet"/>
      <w:lvlText w:val=""/>
      <w:lvlJc w:val="left"/>
      <w:pPr>
        <w:ind w:left="4669" w:hanging="360"/>
      </w:pPr>
      <w:rPr>
        <w:rFonts w:ascii="Symbol" w:hAnsi="Symbol" w:hint="default"/>
      </w:rPr>
    </w:lvl>
    <w:lvl w:ilvl="7" w:tplc="040C0003" w:tentative="1">
      <w:start w:val="1"/>
      <w:numFmt w:val="bullet"/>
      <w:lvlText w:val="o"/>
      <w:lvlJc w:val="left"/>
      <w:pPr>
        <w:ind w:left="5389" w:hanging="360"/>
      </w:pPr>
      <w:rPr>
        <w:rFonts w:ascii="Courier New" w:hAnsi="Courier New" w:cs="Courier New" w:hint="default"/>
      </w:rPr>
    </w:lvl>
    <w:lvl w:ilvl="8" w:tplc="040C0005" w:tentative="1">
      <w:start w:val="1"/>
      <w:numFmt w:val="bullet"/>
      <w:lvlText w:val=""/>
      <w:lvlJc w:val="left"/>
      <w:pPr>
        <w:ind w:left="6109" w:hanging="360"/>
      </w:pPr>
      <w:rPr>
        <w:rFonts w:ascii="Wingdings" w:hAnsi="Wingdings" w:hint="default"/>
      </w:rPr>
    </w:lvl>
  </w:abstractNum>
  <w:abstractNum w:abstractNumId="7" w15:restartNumberingAfterBreak="0">
    <w:nsid w:val="324C46CF"/>
    <w:multiLevelType w:val="multilevel"/>
    <w:tmpl w:val="844AAE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3C01C75"/>
    <w:multiLevelType w:val="hybridMultilevel"/>
    <w:tmpl w:val="0AD0296E"/>
    <w:lvl w:ilvl="0" w:tplc="6CD485FE">
      <w:start w:val="1"/>
      <w:numFmt w:val="lowerLetter"/>
      <w:lvlText w:val="%1)"/>
      <w:lvlJc w:val="left"/>
      <w:pPr>
        <w:ind w:left="1493" w:hanging="113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BC502D8"/>
    <w:multiLevelType w:val="hybridMultilevel"/>
    <w:tmpl w:val="3CE47D4E"/>
    <w:lvl w:ilvl="0" w:tplc="CD8E47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064634E"/>
    <w:multiLevelType w:val="hybridMultilevel"/>
    <w:tmpl w:val="A46AFEBC"/>
    <w:lvl w:ilvl="0" w:tplc="0BF662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0D21274"/>
    <w:multiLevelType w:val="hybridMultilevel"/>
    <w:tmpl w:val="75D4C382"/>
    <w:lvl w:ilvl="0" w:tplc="92E62038">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30A3B0F"/>
    <w:multiLevelType w:val="hybridMultilevel"/>
    <w:tmpl w:val="FB743BE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4B9533E"/>
    <w:multiLevelType w:val="hybridMultilevel"/>
    <w:tmpl w:val="6A1884AA"/>
    <w:lvl w:ilvl="0" w:tplc="AA82AC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5036EBF"/>
    <w:multiLevelType w:val="hybridMultilevel"/>
    <w:tmpl w:val="4D68F616"/>
    <w:lvl w:ilvl="0" w:tplc="7C88DD52">
      <w:start w:val="202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D3A0F8B"/>
    <w:multiLevelType w:val="hybridMultilevel"/>
    <w:tmpl w:val="11EE3E9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F9430A5"/>
    <w:multiLevelType w:val="hybridMultilevel"/>
    <w:tmpl w:val="EF5AEC1A"/>
    <w:lvl w:ilvl="0" w:tplc="AB08CD92">
      <w:start w:val="1"/>
      <w:numFmt w:val="lowerLetter"/>
      <w:lvlText w:val="%1)"/>
      <w:lvlJc w:val="left"/>
      <w:pPr>
        <w:ind w:left="1500" w:hanging="114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FB34B83"/>
    <w:multiLevelType w:val="hybridMultilevel"/>
    <w:tmpl w:val="C452FBC8"/>
    <w:lvl w:ilvl="0" w:tplc="17D81A1A">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954826637">
    <w:abstractNumId w:val="1"/>
  </w:num>
  <w:num w:numId="2" w16cid:durableId="479424360">
    <w:abstractNumId w:val="3"/>
  </w:num>
  <w:num w:numId="3" w16cid:durableId="811949354">
    <w:abstractNumId w:val="4"/>
  </w:num>
  <w:num w:numId="4" w16cid:durableId="1807234463">
    <w:abstractNumId w:val="8"/>
  </w:num>
  <w:num w:numId="5" w16cid:durableId="1212689234">
    <w:abstractNumId w:val="15"/>
  </w:num>
  <w:num w:numId="6" w16cid:durableId="465584539">
    <w:abstractNumId w:val="10"/>
  </w:num>
  <w:num w:numId="7" w16cid:durableId="250239412">
    <w:abstractNumId w:val="7"/>
  </w:num>
  <w:num w:numId="8" w16cid:durableId="280036707">
    <w:abstractNumId w:val="6"/>
  </w:num>
  <w:num w:numId="9" w16cid:durableId="1210872144">
    <w:abstractNumId w:val="2"/>
  </w:num>
  <w:num w:numId="10" w16cid:durableId="1550534030">
    <w:abstractNumId w:val="0"/>
  </w:num>
  <w:num w:numId="11" w16cid:durableId="634602787">
    <w:abstractNumId w:val="13"/>
  </w:num>
  <w:num w:numId="12" w16cid:durableId="101149615">
    <w:abstractNumId w:val="9"/>
  </w:num>
  <w:num w:numId="13" w16cid:durableId="1845972182">
    <w:abstractNumId w:val="11"/>
  </w:num>
  <w:num w:numId="14" w16cid:durableId="43215094">
    <w:abstractNumId w:val="17"/>
  </w:num>
  <w:num w:numId="15" w16cid:durableId="1203433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08947259">
    <w:abstractNumId w:val="14"/>
  </w:num>
  <w:num w:numId="17" w16cid:durableId="20016598">
    <w:abstractNumId w:val="16"/>
  </w:num>
  <w:num w:numId="18" w16cid:durableId="185421887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panish">
    <w15:presenceInfo w15:providerId="None" w15:userId="Spani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89">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DA4"/>
    <w:rsid w:val="00013002"/>
    <w:rsid w:val="00023F32"/>
    <w:rsid w:val="000246E0"/>
    <w:rsid w:val="00025755"/>
    <w:rsid w:val="00034B44"/>
    <w:rsid w:val="00036EE3"/>
    <w:rsid w:val="00043ACA"/>
    <w:rsid w:val="0006189F"/>
    <w:rsid w:val="0006489C"/>
    <w:rsid w:val="00072484"/>
    <w:rsid w:val="00082983"/>
    <w:rsid w:val="00095530"/>
    <w:rsid w:val="00096612"/>
    <w:rsid w:val="000A4A32"/>
    <w:rsid w:val="000B1B2B"/>
    <w:rsid w:val="000B7683"/>
    <w:rsid w:val="000D0677"/>
    <w:rsid w:val="000D2FC4"/>
    <w:rsid w:val="000E0548"/>
    <w:rsid w:val="000E6A6E"/>
    <w:rsid w:val="00102934"/>
    <w:rsid w:val="00111E49"/>
    <w:rsid w:val="00120C75"/>
    <w:rsid w:val="00121875"/>
    <w:rsid w:val="00146226"/>
    <w:rsid w:val="00147110"/>
    <w:rsid w:val="0015057E"/>
    <w:rsid w:val="001511A6"/>
    <w:rsid w:val="00152FFD"/>
    <w:rsid w:val="00171C4D"/>
    <w:rsid w:val="0017562F"/>
    <w:rsid w:val="00176B52"/>
    <w:rsid w:val="0019307B"/>
    <w:rsid w:val="001A0386"/>
    <w:rsid w:val="001B0927"/>
    <w:rsid w:val="001B164E"/>
    <w:rsid w:val="001B7886"/>
    <w:rsid w:val="001E6447"/>
    <w:rsid w:val="001F0089"/>
    <w:rsid w:val="001F1D24"/>
    <w:rsid w:val="001F38BB"/>
    <w:rsid w:val="002058CE"/>
    <w:rsid w:val="002165F1"/>
    <w:rsid w:val="00233211"/>
    <w:rsid w:val="00260B24"/>
    <w:rsid w:val="0026381C"/>
    <w:rsid w:val="0027411A"/>
    <w:rsid w:val="002751EB"/>
    <w:rsid w:val="00276D21"/>
    <w:rsid w:val="00282DCF"/>
    <w:rsid w:val="00296D7F"/>
    <w:rsid w:val="00297000"/>
    <w:rsid w:val="002A5D45"/>
    <w:rsid w:val="002B1FF1"/>
    <w:rsid w:val="002B3CF6"/>
    <w:rsid w:val="002B3E59"/>
    <w:rsid w:val="002B4B81"/>
    <w:rsid w:val="002C0C80"/>
    <w:rsid w:val="002C768A"/>
    <w:rsid w:val="002D0BD7"/>
    <w:rsid w:val="002D76C4"/>
    <w:rsid w:val="002F5199"/>
    <w:rsid w:val="002F55EE"/>
    <w:rsid w:val="00301DB3"/>
    <w:rsid w:val="00304703"/>
    <w:rsid w:val="00305119"/>
    <w:rsid w:val="003066E4"/>
    <w:rsid w:val="003157F1"/>
    <w:rsid w:val="00322A35"/>
    <w:rsid w:val="00333497"/>
    <w:rsid w:val="0034277F"/>
    <w:rsid w:val="00346EC2"/>
    <w:rsid w:val="00356B5D"/>
    <w:rsid w:val="00357707"/>
    <w:rsid w:val="003636E0"/>
    <w:rsid w:val="0036627C"/>
    <w:rsid w:val="003703CD"/>
    <w:rsid w:val="003C0FB7"/>
    <w:rsid w:val="003C2F75"/>
    <w:rsid w:val="003E5516"/>
    <w:rsid w:val="003F4B75"/>
    <w:rsid w:val="003F4EAB"/>
    <w:rsid w:val="00406D2A"/>
    <w:rsid w:val="00410651"/>
    <w:rsid w:val="004115ED"/>
    <w:rsid w:val="004170F5"/>
    <w:rsid w:val="00420DFD"/>
    <w:rsid w:val="0042201F"/>
    <w:rsid w:val="00425BC7"/>
    <w:rsid w:val="00434404"/>
    <w:rsid w:val="00437A76"/>
    <w:rsid w:val="0044277D"/>
    <w:rsid w:val="00454C1B"/>
    <w:rsid w:val="004604B2"/>
    <w:rsid w:val="004666DB"/>
    <w:rsid w:val="00470E28"/>
    <w:rsid w:val="0047379B"/>
    <w:rsid w:val="00474170"/>
    <w:rsid w:val="00477729"/>
    <w:rsid w:val="00482766"/>
    <w:rsid w:val="004842E2"/>
    <w:rsid w:val="00486EB3"/>
    <w:rsid w:val="004934C5"/>
    <w:rsid w:val="004A6FEB"/>
    <w:rsid w:val="004C39A9"/>
    <w:rsid w:val="004D0896"/>
    <w:rsid w:val="004E1919"/>
    <w:rsid w:val="004E2370"/>
    <w:rsid w:val="004E61FF"/>
    <w:rsid w:val="00515B1E"/>
    <w:rsid w:val="00515C7B"/>
    <w:rsid w:val="0053087A"/>
    <w:rsid w:val="00532241"/>
    <w:rsid w:val="00532C3F"/>
    <w:rsid w:val="005373E0"/>
    <w:rsid w:val="00556548"/>
    <w:rsid w:val="00571B1C"/>
    <w:rsid w:val="00576D47"/>
    <w:rsid w:val="00585AAC"/>
    <w:rsid w:val="00586EF8"/>
    <w:rsid w:val="0059672A"/>
    <w:rsid w:val="005A250D"/>
    <w:rsid w:val="005A5E9D"/>
    <w:rsid w:val="005B0371"/>
    <w:rsid w:val="005B49AB"/>
    <w:rsid w:val="005B50E7"/>
    <w:rsid w:val="005C4BAB"/>
    <w:rsid w:val="005D5305"/>
    <w:rsid w:val="005E12A5"/>
    <w:rsid w:val="005E1F1D"/>
    <w:rsid w:val="005E4F79"/>
    <w:rsid w:val="005E69F0"/>
    <w:rsid w:val="005E7B4F"/>
    <w:rsid w:val="005F003B"/>
    <w:rsid w:val="005F163D"/>
    <w:rsid w:val="005F1B82"/>
    <w:rsid w:val="005F2E73"/>
    <w:rsid w:val="00601882"/>
    <w:rsid w:val="00605DDD"/>
    <w:rsid w:val="00607D68"/>
    <w:rsid w:val="00613212"/>
    <w:rsid w:val="006149B1"/>
    <w:rsid w:val="00614C43"/>
    <w:rsid w:val="006150E0"/>
    <w:rsid w:val="00640332"/>
    <w:rsid w:val="00641BDC"/>
    <w:rsid w:val="00664AF6"/>
    <w:rsid w:val="00680D2B"/>
    <w:rsid w:val="00681B32"/>
    <w:rsid w:val="0069169D"/>
    <w:rsid w:val="0069322D"/>
    <w:rsid w:val="00697887"/>
    <w:rsid w:val="006B1D2B"/>
    <w:rsid w:val="006B1E05"/>
    <w:rsid w:val="006C37D5"/>
    <w:rsid w:val="006D3EA2"/>
    <w:rsid w:val="006E1131"/>
    <w:rsid w:val="006E2037"/>
    <w:rsid w:val="006E53A9"/>
    <w:rsid w:val="006E6199"/>
    <w:rsid w:val="006F60E8"/>
    <w:rsid w:val="00712870"/>
    <w:rsid w:val="00714AC0"/>
    <w:rsid w:val="00736DAC"/>
    <w:rsid w:val="0074147D"/>
    <w:rsid w:val="00743A97"/>
    <w:rsid w:val="00743D85"/>
    <w:rsid w:val="00744F8B"/>
    <w:rsid w:val="00747D6E"/>
    <w:rsid w:val="00751200"/>
    <w:rsid w:val="00753CF4"/>
    <w:rsid w:val="007565CC"/>
    <w:rsid w:val="007624B1"/>
    <w:rsid w:val="00763B9A"/>
    <w:rsid w:val="0078087B"/>
    <w:rsid w:val="007A6AA8"/>
    <w:rsid w:val="007B1357"/>
    <w:rsid w:val="007B3343"/>
    <w:rsid w:val="007C65BA"/>
    <w:rsid w:val="007E724C"/>
    <w:rsid w:val="008310C9"/>
    <w:rsid w:val="008335F0"/>
    <w:rsid w:val="00833A87"/>
    <w:rsid w:val="00834306"/>
    <w:rsid w:val="0083623C"/>
    <w:rsid w:val="008432BB"/>
    <w:rsid w:val="00853CC5"/>
    <w:rsid w:val="0086339D"/>
    <w:rsid w:val="0087011C"/>
    <w:rsid w:val="00873FB0"/>
    <w:rsid w:val="00877E6E"/>
    <w:rsid w:val="00890C9B"/>
    <w:rsid w:val="008930B6"/>
    <w:rsid w:val="008A278A"/>
    <w:rsid w:val="008A4795"/>
    <w:rsid w:val="008B083A"/>
    <w:rsid w:val="008B56B2"/>
    <w:rsid w:val="008C7848"/>
    <w:rsid w:val="00906589"/>
    <w:rsid w:val="00906AD6"/>
    <w:rsid w:val="00907AFB"/>
    <w:rsid w:val="0091641C"/>
    <w:rsid w:val="00917AF2"/>
    <w:rsid w:val="0092052A"/>
    <w:rsid w:val="0092418A"/>
    <w:rsid w:val="00924BEB"/>
    <w:rsid w:val="00933B07"/>
    <w:rsid w:val="00934ED7"/>
    <w:rsid w:val="00940D16"/>
    <w:rsid w:val="009446C3"/>
    <w:rsid w:val="009476C1"/>
    <w:rsid w:val="009543C3"/>
    <w:rsid w:val="00966E1B"/>
    <w:rsid w:val="00972F51"/>
    <w:rsid w:val="009760E7"/>
    <w:rsid w:val="009769FD"/>
    <w:rsid w:val="0098138B"/>
    <w:rsid w:val="00984A02"/>
    <w:rsid w:val="009947C0"/>
    <w:rsid w:val="009A4039"/>
    <w:rsid w:val="009A41F9"/>
    <w:rsid w:val="009A53C5"/>
    <w:rsid w:val="009A5DC0"/>
    <w:rsid w:val="009B7BC8"/>
    <w:rsid w:val="009C470B"/>
    <w:rsid w:val="009D4BBD"/>
    <w:rsid w:val="009F2D2C"/>
    <w:rsid w:val="009F2D88"/>
    <w:rsid w:val="009F5580"/>
    <w:rsid w:val="009F7E54"/>
    <w:rsid w:val="00A01073"/>
    <w:rsid w:val="00A03C0E"/>
    <w:rsid w:val="00A055E8"/>
    <w:rsid w:val="00A16BE1"/>
    <w:rsid w:val="00A239D1"/>
    <w:rsid w:val="00A25EE2"/>
    <w:rsid w:val="00A31928"/>
    <w:rsid w:val="00A35B27"/>
    <w:rsid w:val="00A502D6"/>
    <w:rsid w:val="00A507D4"/>
    <w:rsid w:val="00A5147A"/>
    <w:rsid w:val="00A62A14"/>
    <w:rsid w:val="00A6617B"/>
    <w:rsid w:val="00A71FE5"/>
    <w:rsid w:val="00A7534B"/>
    <w:rsid w:val="00A76007"/>
    <w:rsid w:val="00A86DD2"/>
    <w:rsid w:val="00A92573"/>
    <w:rsid w:val="00A936CB"/>
    <w:rsid w:val="00A971A1"/>
    <w:rsid w:val="00AA3AD8"/>
    <w:rsid w:val="00AB065A"/>
    <w:rsid w:val="00AB0DC8"/>
    <w:rsid w:val="00AB272E"/>
    <w:rsid w:val="00AB405C"/>
    <w:rsid w:val="00AB4A78"/>
    <w:rsid w:val="00AB59A2"/>
    <w:rsid w:val="00AC015D"/>
    <w:rsid w:val="00AC776E"/>
    <w:rsid w:val="00AE187C"/>
    <w:rsid w:val="00AE4FBE"/>
    <w:rsid w:val="00AE698D"/>
    <w:rsid w:val="00AF0286"/>
    <w:rsid w:val="00AF2FC2"/>
    <w:rsid w:val="00AF5326"/>
    <w:rsid w:val="00B019A2"/>
    <w:rsid w:val="00B0286E"/>
    <w:rsid w:val="00B033C8"/>
    <w:rsid w:val="00B074AB"/>
    <w:rsid w:val="00B07DA4"/>
    <w:rsid w:val="00B111CE"/>
    <w:rsid w:val="00B231D6"/>
    <w:rsid w:val="00B33425"/>
    <w:rsid w:val="00B3615E"/>
    <w:rsid w:val="00B42334"/>
    <w:rsid w:val="00B44E24"/>
    <w:rsid w:val="00B54ECC"/>
    <w:rsid w:val="00B60AC0"/>
    <w:rsid w:val="00B63C83"/>
    <w:rsid w:val="00B714F3"/>
    <w:rsid w:val="00B75A52"/>
    <w:rsid w:val="00B874C6"/>
    <w:rsid w:val="00B87B6B"/>
    <w:rsid w:val="00B9169E"/>
    <w:rsid w:val="00B96572"/>
    <w:rsid w:val="00BA3BE8"/>
    <w:rsid w:val="00BA5306"/>
    <w:rsid w:val="00BB2420"/>
    <w:rsid w:val="00BB7886"/>
    <w:rsid w:val="00BC5D77"/>
    <w:rsid w:val="00BD4283"/>
    <w:rsid w:val="00BF487A"/>
    <w:rsid w:val="00BF5544"/>
    <w:rsid w:val="00C15F3E"/>
    <w:rsid w:val="00C35FA9"/>
    <w:rsid w:val="00C46BD9"/>
    <w:rsid w:val="00C47A12"/>
    <w:rsid w:val="00C54311"/>
    <w:rsid w:val="00C55258"/>
    <w:rsid w:val="00C73560"/>
    <w:rsid w:val="00C84DB7"/>
    <w:rsid w:val="00C87A35"/>
    <w:rsid w:val="00CA26BC"/>
    <w:rsid w:val="00CA30A4"/>
    <w:rsid w:val="00CB0F14"/>
    <w:rsid w:val="00CD659B"/>
    <w:rsid w:val="00CE0A43"/>
    <w:rsid w:val="00CE5A2F"/>
    <w:rsid w:val="00CF130D"/>
    <w:rsid w:val="00D00118"/>
    <w:rsid w:val="00D0483A"/>
    <w:rsid w:val="00D16749"/>
    <w:rsid w:val="00D27CBE"/>
    <w:rsid w:val="00D30FAB"/>
    <w:rsid w:val="00D5024B"/>
    <w:rsid w:val="00D50414"/>
    <w:rsid w:val="00D5191B"/>
    <w:rsid w:val="00D61962"/>
    <w:rsid w:val="00D65135"/>
    <w:rsid w:val="00D67568"/>
    <w:rsid w:val="00D71049"/>
    <w:rsid w:val="00D72623"/>
    <w:rsid w:val="00D83556"/>
    <w:rsid w:val="00D939F5"/>
    <w:rsid w:val="00DC4E68"/>
    <w:rsid w:val="00DE5556"/>
    <w:rsid w:val="00DF4176"/>
    <w:rsid w:val="00DF64B8"/>
    <w:rsid w:val="00DF670A"/>
    <w:rsid w:val="00E0095C"/>
    <w:rsid w:val="00E17240"/>
    <w:rsid w:val="00E55476"/>
    <w:rsid w:val="00E70367"/>
    <w:rsid w:val="00E71A74"/>
    <w:rsid w:val="00E73BD1"/>
    <w:rsid w:val="00E74595"/>
    <w:rsid w:val="00E7512B"/>
    <w:rsid w:val="00E77485"/>
    <w:rsid w:val="00E828B4"/>
    <w:rsid w:val="00EB1CB6"/>
    <w:rsid w:val="00EB7C57"/>
    <w:rsid w:val="00EC040C"/>
    <w:rsid w:val="00EC3673"/>
    <w:rsid w:val="00ED2695"/>
    <w:rsid w:val="00ED3CA8"/>
    <w:rsid w:val="00EE04BA"/>
    <w:rsid w:val="00EE47C4"/>
    <w:rsid w:val="00EF2D52"/>
    <w:rsid w:val="00F02707"/>
    <w:rsid w:val="00F038FE"/>
    <w:rsid w:val="00F111D6"/>
    <w:rsid w:val="00F17CED"/>
    <w:rsid w:val="00F20C6F"/>
    <w:rsid w:val="00F25AD4"/>
    <w:rsid w:val="00F30C9B"/>
    <w:rsid w:val="00F354B1"/>
    <w:rsid w:val="00F354D7"/>
    <w:rsid w:val="00F501E2"/>
    <w:rsid w:val="00F5164D"/>
    <w:rsid w:val="00F5188F"/>
    <w:rsid w:val="00F61AE9"/>
    <w:rsid w:val="00F6343F"/>
    <w:rsid w:val="00F63BF7"/>
    <w:rsid w:val="00F72776"/>
    <w:rsid w:val="00F77360"/>
    <w:rsid w:val="00F92A40"/>
    <w:rsid w:val="00FA0C96"/>
    <w:rsid w:val="00FA4B23"/>
    <w:rsid w:val="00FB0E4E"/>
    <w:rsid w:val="00FB3A82"/>
    <w:rsid w:val="00FC5543"/>
    <w:rsid w:val="00FC6BD5"/>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9">
      <o:colormru v:ext="edit" colors="#d62a47,#f8f8f8"/>
    </o:shapedefaults>
    <o:shapelayout v:ext="edit">
      <o:idmap v:ext="edit" data="2"/>
    </o:shapelayout>
  </w:shapeDefaults>
  <w:decimalSymbol w:val="."/>
  <w:listSeparator w:val=","/>
  <w14:docId w14:val="69B6BCBA"/>
  <w15:docId w15:val="{E1CDD95F-A217-4972-9413-5112C147B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1E4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111E49"/>
    <w:pPr>
      <w:keepNext/>
      <w:keepLines/>
      <w:spacing w:before="480"/>
      <w:ind w:left="794" w:hanging="794"/>
      <w:outlineLvl w:val="0"/>
    </w:pPr>
    <w:rPr>
      <w:b/>
    </w:rPr>
  </w:style>
  <w:style w:type="paragraph" w:styleId="Heading2">
    <w:name w:val="heading 2"/>
    <w:basedOn w:val="Heading1"/>
    <w:next w:val="Normal"/>
    <w:link w:val="Heading2Char"/>
    <w:qFormat/>
    <w:rsid w:val="00111E49"/>
    <w:pPr>
      <w:spacing w:before="320"/>
      <w:outlineLvl w:val="1"/>
    </w:pPr>
  </w:style>
  <w:style w:type="paragraph" w:styleId="Heading3">
    <w:name w:val="heading 3"/>
    <w:basedOn w:val="Heading1"/>
    <w:next w:val="Normal"/>
    <w:link w:val="Heading3Char"/>
    <w:qFormat/>
    <w:rsid w:val="00111E49"/>
    <w:pPr>
      <w:spacing w:before="200"/>
      <w:outlineLvl w:val="2"/>
    </w:pPr>
  </w:style>
  <w:style w:type="paragraph" w:styleId="Heading4">
    <w:name w:val="heading 4"/>
    <w:basedOn w:val="Heading3"/>
    <w:next w:val="Normal"/>
    <w:link w:val="Heading4Char"/>
    <w:qFormat/>
    <w:rsid w:val="00111E49"/>
    <w:pPr>
      <w:tabs>
        <w:tab w:val="clear" w:pos="794"/>
        <w:tab w:val="left" w:pos="992"/>
      </w:tabs>
      <w:ind w:left="992" w:hanging="992"/>
      <w:outlineLvl w:val="3"/>
    </w:pPr>
  </w:style>
  <w:style w:type="paragraph" w:styleId="Heading5">
    <w:name w:val="heading 5"/>
    <w:basedOn w:val="Heading4"/>
    <w:next w:val="Normal"/>
    <w:link w:val="Heading5Char"/>
    <w:qFormat/>
    <w:rsid w:val="00111E49"/>
    <w:pPr>
      <w:outlineLvl w:val="4"/>
    </w:pPr>
  </w:style>
  <w:style w:type="paragraph" w:styleId="Heading6">
    <w:name w:val="heading 6"/>
    <w:basedOn w:val="Heading4"/>
    <w:next w:val="Normal"/>
    <w:link w:val="Heading6Char"/>
    <w:qFormat/>
    <w:rsid w:val="00111E49"/>
    <w:pPr>
      <w:tabs>
        <w:tab w:val="clear" w:pos="992"/>
        <w:tab w:val="clear" w:pos="1191"/>
      </w:tabs>
      <w:ind w:left="1588" w:hanging="1588"/>
      <w:outlineLvl w:val="5"/>
    </w:pPr>
  </w:style>
  <w:style w:type="paragraph" w:styleId="Heading7">
    <w:name w:val="heading 7"/>
    <w:basedOn w:val="Heading6"/>
    <w:next w:val="Normal"/>
    <w:link w:val="Heading7Char"/>
    <w:qFormat/>
    <w:rsid w:val="00111E49"/>
    <w:pPr>
      <w:outlineLvl w:val="6"/>
    </w:pPr>
  </w:style>
  <w:style w:type="paragraph" w:styleId="Heading8">
    <w:name w:val="heading 8"/>
    <w:basedOn w:val="Heading6"/>
    <w:next w:val="Normal"/>
    <w:link w:val="Heading8Char"/>
    <w:qFormat/>
    <w:rsid w:val="00111E49"/>
    <w:pPr>
      <w:outlineLvl w:val="7"/>
    </w:pPr>
  </w:style>
  <w:style w:type="paragraph" w:styleId="Heading9">
    <w:name w:val="heading 9"/>
    <w:basedOn w:val="Heading6"/>
    <w:next w:val="Normal"/>
    <w:link w:val="Heading9Char"/>
    <w:qFormat/>
    <w:rsid w:val="00111E49"/>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11E4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11E4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11E49"/>
  </w:style>
  <w:style w:type="paragraph" w:customStyle="1" w:styleId="Headingb">
    <w:name w:val="Heading_b"/>
    <w:basedOn w:val="Heading3"/>
    <w:next w:val="Normal"/>
    <w:link w:val="HeadingbChar"/>
    <w:rsid w:val="00111E49"/>
    <w:pPr>
      <w:spacing w:before="160"/>
      <w:ind w:left="0" w:firstLine="0"/>
      <w:outlineLvl w:val="9"/>
    </w:pPr>
  </w:style>
  <w:style w:type="paragraph" w:customStyle="1" w:styleId="Headingi">
    <w:name w:val="Heading_i"/>
    <w:basedOn w:val="Heading3"/>
    <w:next w:val="Normal"/>
    <w:link w:val="HeadingiChar"/>
    <w:rsid w:val="00111E49"/>
    <w:pPr>
      <w:spacing w:before="160"/>
      <w:ind w:left="0" w:firstLine="0"/>
    </w:pPr>
    <w:rPr>
      <w:b w:val="0"/>
      <w:i/>
    </w:rPr>
  </w:style>
  <w:style w:type="character" w:customStyle="1" w:styleId="href">
    <w:name w:val="href"/>
    <w:basedOn w:val="DefaultParagraphFont"/>
    <w:rsid w:val="00111E49"/>
  </w:style>
  <w:style w:type="paragraph" w:customStyle="1" w:styleId="AnnexNoTitle">
    <w:name w:val="Annex_NoTitle"/>
    <w:basedOn w:val="Normal"/>
    <w:next w:val="Normalaftertitle"/>
    <w:rsid w:val="00111E49"/>
    <w:pPr>
      <w:keepNext/>
      <w:keepLines/>
      <w:spacing w:before="480" w:after="80"/>
      <w:jc w:val="center"/>
    </w:pPr>
    <w:rPr>
      <w:b/>
      <w:sz w:val="28"/>
    </w:rPr>
  </w:style>
  <w:style w:type="paragraph" w:customStyle="1" w:styleId="Normalaftertitle">
    <w:name w:val="Normal_after_title"/>
    <w:basedOn w:val="Normal"/>
    <w:next w:val="Normal"/>
    <w:link w:val="NormalaftertitleChar"/>
    <w:rsid w:val="00111E49"/>
    <w:pPr>
      <w:spacing w:before="320"/>
    </w:pPr>
  </w:style>
  <w:style w:type="paragraph" w:customStyle="1" w:styleId="enumlev2">
    <w:name w:val="enumlev2"/>
    <w:basedOn w:val="enumlev1"/>
    <w:rsid w:val="00111E49"/>
    <w:pPr>
      <w:ind w:left="1191" w:hanging="397"/>
    </w:pPr>
  </w:style>
  <w:style w:type="paragraph" w:customStyle="1" w:styleId="enumlev1">
    <w:name w:val="enumlev1"/>
    <w:basedOn w:val="Normal"/>
    <w:link w:val="enumlev1Char"/>
    <w:rsid w:val="00111E49"/>
    <w:pPr>
      <w:spacing w:before="80"/>
      <w:ind w:left="794" w:hanging="794"/>
    </w:pPr>
  </w:style>
  <w:style w:type="paragraph" w:customStyle="1" w:styleId="enumlev3">
    <w:name w:val="enumlev3"/>
    <w:basedOn w:val="enumlev2"/>
    <w:rsid w:val="00111E49"/>
    <w:pPr>
      <w:ind w:left="1588"/>
    </w:pPr>
  </w:style>
  <w:style w:type="paragraph" w:customStyle="1" w:styleId="Note">
    <w:name w:val="Note"/>
    <w:basedOn w:val="Normal"/>
    <w:link w:val="NoteChar"/>
    <w:rsid w:val="00111E4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11E4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111E49"/>
    <w:pPr>
      <w:keepNext/>
      <w:keepLines/>
      <w:spacing w:before="240"/>
      <w:jc w:val="center"/>
    </w:pPr>
    <w:rPr>
      <w:b/>
      <w:sz w:val="28"/>
    </w:rPr>
  </w:style>
  <w:style w:type="paragraph" w:customStyle="1" w:styleId="Recref">
    <w:name w:val="Rec_ref"/>
    <w:basedOn w:val="Normal"/>
    <w:next w:val="Recdate"/>
    <w:rsid w:val="00111E49"/>
    <w:pPr>
      <w:jc w:val="center"/>
    </w:pPr>
  </w:style>
  <w:style w:type="paragraph" w:customStyle="1" w:styleId="Recdate">
    <w:name w:val="Rec_date"/>
    <w:basedOn w:val="Recref"/>
    <w:next w:val="Normalaftertitle"/>
    <w:rsid w:val="00111E49"/>
    <w:pPr>
      <w:jc w:val="right"/>
    </w:pPr>
  </w:style>
  <w:style w:type="paragraph" w:customStyle="1" w:styleId="HeadingSum">
    <w:name w:val="Heading_Sum"/>
    <w:basedOn w:val="Headingb"/>
    <w:next w:val="Normal"/>
    <w:autoRedefine/>
    <w:rsid w:val="00111E49"/>
    <w:pPr>
      <w:spacing w:before="240"/>
    </w:pPr>
    <w:rPr>
      <w:sz w:val="22"/>
      <w:lang w:val="es-ES_tradnl"/>
    </w:rPr>
  </w:style>
  <w:style w:type="paragraph" w:customStyle="1" w:styleId="AppendixNoTitle">
    <w:name w:val="Appendix_NoTitle"/>
    <w:basedOn w:val="AnnexNoTitle"/>
    <w:next w:val="Normal"/>
    <w:rsid w:val="00111E49"/>
  </w:style>
  <w:style w:type="paragraph" w:customStyle="1" w:styleId="Tablefin">
    <w:name w:val="Table_fin"/>
    <w:basedOn w:val="Normal"/>
    <w:next w:val="Normal"/>
    <w:rsid w:val="00111E49"/>
    <w:pPr>
      <w:spacing w:before="0"/>
    </w:pPr>
    <w:rPr>
      <w:sz w:val="20"/>
    </w:rPr>
  </w:style>
  <w:style w:type="paragraph" w:customStyle="1" w:styleId="Tablehead">
    <w:name w:val="Table_head"/>
    <w:basedOn w:val="Normal"/>
    <w:next w:val="Normal"/>
    <w:link w:val="TableheadChar"/>
    <w:rsid w:val="00111E4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111E4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11E49"/>
    <w:pPr>
      <w:keepNext/>
      <w:spacing w:before="360" w:after="120"/>
      <w:jc w:val="center"/>
    </w:pPr>
  </w:style>
  <w:style w:type="paragraph" w:customStyle="1" w:styleId="Tabletext">
    <w:name w:val="Table_text"/>
    <w:basedOn w:val="Normal"/>
    <w:link w:val="TabletextChar"/>
    <w:rsid w:val="00111E4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111E49"/>
    <w:pPr>
      <w:tabs>
        <w:tab w:val="clear" w:pos="1191"/>
        <w:tab w:val="clear" w:pos="1588"/>
        <w:tab w:val="clear" w:pos="1985"/>
        <w:tab w:val="center" w:pos="4820"/>
        <w:tab w:val="right" w:pos="9639"/>
      </w:tabs>
    </w:pPr>
  </w:style>
  <w:style w:type="paragraph" w:customStyle="1" w:styleId="Equationlegend">
    <w:name w:val="Equation_legend"/>
    <w:basedOn w:val="NormalIndent"/>
    <w:rsid w:val="00111E4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111E49"/>
    <w:pPr>
      <w:ind w:left="794"/>
    </w:pPr>
  </w:style>
  <w:style w:type="paragraph" w:customStyle="1" w:styleId="Figurelegend">
    <w:name w:val="Figure_legend"/>
    <w:basedOn w:val="Normal"/>
    <w:rsid w:val="00111E4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111E49"/>
    <w:pPr>
      <w:keepNext/>
      <w:keepLines/>
      <w:spacing w:before="480" w:after="80"/>
      <w:jc w:val="center"/>
    </w:pPr>
    <w:rPr>
      <w:caps/>
      <w:sz w:val="18"/>
    </w:rPr>
  </w:style>
  <w:style w:type="paragraph" w:customStyle="1" w:styleId="Figuretitle">
    <w:name w:val="Figure_title"/>
    <w:basedOn w:val="Normal"/>
    <w:next w:val="Figure"/>
    <w:link w:val="FiguretitleChar"/>
    <w:rsid w:val="00111E49"/>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11E49"/>
    <w:pPr>
      <w:keepNext w:val="0"/>
      <w:spacing w:before="0" w:after="240"/>
    </w:pPr>
  </w:style>
  <w:style w:type="paragraph" w:customStyle="1" w:styleId="tocpart">
    <w:name w:val="tocpart"/>
    <w:basedOn w:val="Normal"/>
    <w:rsid w:val="00111E4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11E49"/>
    <w:pPr>
      <w:keepNext/>
      <w:keepLines/>
      <w:spacing w:before="480"/>
      <w:jc w:val="center"/>
    </w:pPr>
    <w:rPr>
      <w:sz w:val="28"/>
    </w:rPr>
  </w:style>
  <w:style w:type="paragraph" w:customStyle="1" w:styleId="Arttitle">
    <w:name w:val="Art_title"/>
    <w:basedOn w:val="Normal"/>
    <w:next w:val="Normalaftertitle"/>
    <w:link w:val="ArttitleChar"/>
    <w:rsid w:val="00111E49"/>
    <w:pPr>
      <w:keepNext/>
      <w:keepLines/>
      <w:spacing w:before="240"/>
      <w:jc w:val="center"/>
    </w:pPr>
    <w:rPr>
      <w:b/>
      <w:sz w:val="28"/>
    </w:rPr>
  </w:style>
  <w:style w:type="paragraph" w:customStyle="1" w:styleId="Blanc">
    <w:name w:val="Blanc"/>
    <w:basedOn w:val="Normal"/>
    <w:next w:val="Tabletext"/>
    <w:rsid w:val="00111E49"/>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111E4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11E49"/>
    <w:pPr>
      <w:keepNext/>
      <w:keepLines/>
      <w:spacing w:before="160"/>
      <w:ind w:left="794"/>
    </w:pPr>
    <w:rPr>
      <w:i/>
    </w:rPr>
  </w:style>
  <w:style w:type="paragraph" w:customStyle="1" w:styleId="ChapNo">
    <w:name w:val="Chap_No"/>
    <w:basedOn w:val="ArtNo"/>
    <w:next w:val="Chaptitle"/>
    <w:rsid w:val="00111E49"/>
    <w:rPr>
      <w:b/>
    </w:rPr>
  </w:style>
  <w:style w:type="paragraph" w:customStyle="1" w:styleId="Chaptitle">
    <w:name w:val="Chap_title"/>
    <w:basedOn w:val="Arttitle"/>
    <w:next w:val="Normalaftertitle"/>
    <w:rsid w:val="00111E49"/>
  </w:style>
  <w:style w:type="character" w:styleId="FootnoteReference">
    <w:name w:val="footnote reference"/>
    <w:basedOn w:val="DefaultParagraphFont"/>
    <w:rsid w:val="00111E49"/>
    <w:rPr>
      <w:position w:val="6"/>
      <w:sz w:val="18"/>
    </w:rPr>
  </w:style>
  <w:style w:type="paragraph" w:styleId="FootnoteText">
    <w:name w:val="footnote text"/>
    <w:basedOn w:val="Normal"/>
    <w:link w:val="FootnoteTextChar"/>
    <w:rsid w:val="00111E49"/>
    <w:pPr>
      <w:keepLines/>
      <w:tabs>
        <w:tab w:val="left" w:pos="255"/>
      </w:tabs>
      <w:ind w:left="255" w:hanging="255"/>
    </w:pPr>
    <w:rPr>
      <w:sz w:val="22"/>
    </w:rPr>
  </w:style>
  <w:style w:type="paragraph" w:styleId="Index1">
    <w:name w:val="index 1"/>
    <w:basedOn w:val="Normal"/>
    <w:next w:val="Normal"/>
    <w:rsid w:val="00111E49"/>
  </w:style>
  <w:style w:type="paragraph" w:styleId="Index2">
    <w:name w:val="index 2"/>
    <w:basedOn w:val="Normal"/>
    <w:next w:val="Normal"/>
    <w:rsid w:val="00111E49"/>
    <w:pPr>
      <w:ind w:left="283"/>
    </w:pPr>
  </w:style>
  <w:style w:type="paragraph" w:styleId="Index3">
    <w:name w:val="index 3"/>
    <w:basedOn w:val="Normal"/>
    <w:next w:val="Normal"/>
    <w:rsid w:val="00111E49"/>
    <w:pPr>
      <w:ind w:left="566"/>
    </w:pPr>
  </w:style>
  <w:style w:type="paragraph" w:styleId="IndexHeading">
    <w:name w:val="index heading"/>
    <w:basedOn w:val="Normal"/>
    <w:next w:val="Index1"/>
    <w:rsid w:val="00111E49"/>
  </w:style>
  <w:style w:type="paragraph" w:customStyle="1" w:styleId="Line">
    <w:name w:val="Line"/>
    <w:basedOn w:val="Normal"/>
    <w:next w:val="Normal"/>
    <w:rsid w:val="00111E49"/>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111E4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11E49"/>
  </w:style>
  <w:style w:type="paragraph" w:customStyle="1" w:styleId="Partref">
    <w:name w:val="Part_ref"/>
    <w:basedOn w:val="Normal"/>
    <w:next w:val="Normal"/>
    <w:rsid w:val="00111E49"/>
    <w:pPr>
      <w:keepNext/>
      <w:keepLines/>
      <w:spacing w:after="280"/>
      <w:jc w:val="center"/>
    </w:pPr>
  </w:style>
  <w:style w:type="paragraph" w:customStyle="1" w:styleId="Parttitle">
    <w:name w:val="Part_title"/>
    <w:basedOn w:val="Normal"/>
    <w:next w:val="Normalaftertitle"/>
    <w:rsid w:val="00111E4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11E49"/>
  </w:style>
  <w:style w:type="paragraph" w:customStyle="1" w:styleId="QuestionNo">
    <w:name w:val="Question_No"/>
    <w:basedOn w:val="RecNo"/>
    <w:next w:val="Normal"/>
    <w:rsid w:val="00111E49"/>
  </w:style>
  <w:style w:type="paragraph" w:customStyle="1" w:styleId="Questionref">
    <w:name w:val="Question_ref"/>
    <w:basedOn w:val="Recref"/>
    <w:next w:val="Questiondate"/>
    <w:rsid w:val="00111E49"/>
  </w:style>
  <w:style w:type="paragraph" w:customStyle="1" w:styleId="Questiontitle">
    <w:name w:val="Question_title"/>
    <w:basedOn w:val="Normal"/>
    <w:next w:val="Questionref"/>
    <w:rsid w:val="00111E49"/>
  </w:style>
  <w:style w:type="paragraph" w:customStyle="1" w:styleId="Reftext">
    <w:name w:val="Ref_text"/>
    <w:basedOn w:val="Normal"/>
    <w:rsid w:val="00111E49"/>
    <w:pPr>
      <w:ind w:left="794" w:hanging="794"/>
    </w:pPr>
    <w:rPr>
      <w:sz w:val="22"/>
    </w:rPr>
  </w:style>
  <w:style w:type="paragraph" w:customStyle="1" w:styleId="Reftitle">
    <w:name w:val="Ref_title"/>
    <w:basedOn w:val="Normal"/>
    <w:next w:val="Reftext"/>
    <w:rsid w:val="00111E4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11E49"/>
  </w:style>
  <w:style w:type="paragraph" w:customStyle="1" w:styleId="RepNo">
    <w:name w:val="Rep_No"/>
    <w:basedOn w:val="RecNo"/>
    <w:next w:val="Reptitle"/>
    <w:rsid w:val="00111E49"/>
  </w:style>
  <w:style w:type="paragraph" w:customStyle="1" w:styleId="Reptitle">
    <w:name w:val="Rep_title"/>
    <w:basedOn w:val="Rectitle"/>
    <w:next w:val="Repref"/>
    <w:rsid w:val="00111E49"/>
  </w:style>
  <w:style w:type="paragraph" w:customStyle="1" w:styleId="Repref">
    <w:name w:val="Rep_ref"/>
    <w:basedOn w:val="Recref"/>
    <w:next w:val="Repdate"/>
    <w:rsid w:val="00111E49"/>
  </w:style>
  <w:style w:type="paragraph" w:customStyle="1" w:styleId="Resdate">
    <w:name w:val="Res_date"/>
    <w:basedOn w:val="Recdate"/>
    <w:next w:val="Normalaftertitle"/>
    <w:rsid w:val="00111E49"/>
  </w:style>
  <w:style w:type="paragraph" w:customStyle="1" w:styleId="ResNo">
    <w:name w:val="Res_No"/>
    <w:basedOn w:val="RecNo"/>
    <w:next w:val="Restitle"/>
    <w:rsid w:val="00111E49"/>
  </w:style>
  <w:style w:type="paragraph" w:customStyle="1" w:styleId="Restitle">
    <w:name w:val="Res_title"/>
    <w:basedOn w:val="Normal"/>
    <w:next w:val="Resref"/>
    <w:link w:val="RestitleChar"/>
    <w:rsid w:val="00111E49"/>
    <w:pPr>
      <w:spacing w:before="240"/>
      <w:jc w:val="center"/>
    </w:pPr>
    <w:rPr>
      <w:b/>
      <w:sz w:val="28"/>
    </w:rPr>
  </w:style>
  <w:style w:type="paragraph" w:customStyle="1" w:styleId="Resref">
    <w:name w:val="Res_ref"/>
    <w:basedOn w:val="Recref"/>
    <w:next w:val="Resdate"/>
    <w:rsid w:val="00111E49"/>
  </w:style>
  <w:style w:type="paragraph" w:customStyle="1" w:styleId="SectionNo">
    <w:name w:val="Section_No"/>
    <w:basedOn w:val="Normal"/>
    <w:next w:val="Normal"/>
    <w:rsid w:val="00111E49"/>
  </w:style>
  <w:style w:type="paragraph" w:customStyle="1" w:styleId="Sectiontitle">
    <w:name w:val="Section_title"/>
    <w:basedOn w:val="Normal"/>
    <w:next w:val="Normalaftertitle"/>
    <w:rsid w:val="00111E4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11E49"/>
    <w:pPr>
      <w:tabs>
        <w:tab w:val="clear" w:pos="794"/>
        <w:tab w:val="clear" w:pos="1191"/>
        <w:tab w:val="clear" w:pos="1588"/>
        <w:tab w:val="clear" w:pos="1985"/>
        <w:tab w:val="right" w:pos="9611"/>
      </w:tabs>
    </w:pPr>
    <w:rPr>
      <w:i/>
    </w:rPr>
  </w:style>
  <w:style w:type="paragraph" w:styleId="TOC1">
    <w:name w:val="toc 1"/>
    <w:basedOn w:val="Normal"/>
    <w:uiPriority w:val="39"/>
    <w:rsid w:val="00111E4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111E49"/>
    <w:pPr>
      <w:tabs>
        <w:tab w:val="clear" w:pos="567"/>
        <w:tab w:val="left" w:pos="1276"/>
      </w:tabs>
      <w:spacing w:before="160"/>
      <w:ind w:left="1276" w:hanging="709"/>
    </w:pPr>
  </w:style>
  <w:style w:type="paragraph" w:styleId="TOC3">
    <w:name w:val="toc 3"/>
    <w:basedOn w:val="TOC2"/>
    <w:rsid w:val="00111E49"/>
    <w:pPr>
      <w:tabs>
        <w:tab w:val="clear" w:pos="1276"/>
        <w:tab w:val="left" w:pos="2155"/>
      </w:tabs>
      <w:ind w:left="2155" w:hanging="879"/>
    </w:pPr>
  </w:style>
  <w:style w:type="paragraph" w:styleId="TOC4">
    <w:name w:val="toc 4"/>
    <w:basedOn w:val="TOC3"/>
    <w:rsid w:val="00111E49"/>
    <w:pPr>
      <w:tabs>
        <w:tab w:val="left" w:pos="3261"/>
      </w:tabs>
      <w:spacing w:before="80"/>
      <w:ind w:left="3261" w:hanging="993"/>
    </w:pPr>
  </w:style>
  <w:style w:type="paragraph" w:styleId="TOC5">
    <w:name w:val="toc 5"/>
    <w:basedOn w:val="TOC4"/>
    <w:rsid w:val="00111E49"/>
  </w:style>
  <w:style w:type="paragraph" w:styleId="TOC6">
    <w:name w:val="toc 6"/>
    <w:basedOn w:val="TOC4"/>
    <w:rsid w:val="00111E49"/>
  </w:style>
  <w:style w:type="paragraph" w:styleId="TOC7">
    <w:name w:val="toc 7"/>
    <w:basedOn w:val="TOC4"/>
    <w:rsid w:val="00111E49"/>
  </w:style>
  <w:style w:type="paragraph" w:styleId="TOC8">
    <w:name w:val="toc 8"/>
    <w:basedOn w:val="TOC4"/>
    <w:rsid w:val="00111E49"/>
  </w:style>
  <w:style w:type="paragraph" w:customStyle="1" w:styleId="Annexref">
    <w:name w:val="Annex_ref"/>
    <w:basedOn w:val="Normal"/>
    <w:next w:val="Normalaftertitle"/>
    <w:rsid w:val="00111E49"/>
    <w:pPr>
      <w:keepNext/>
      <w:keepLines/>
      <w:spacing w:after="280"/>
      <w:jc w:val="center"/>
    </w:pPr>
  </w:style>
  <w:style w:type="paragraph" w:customStyle="1" w:styleId="Appendixref">
    <w:name w:val="Appendix_ref"/>
    <w:basedOn w:val="Annexref"/>
    <w:next w:val="Normalaftertitle"/>
    <w:rsid w:val="00111E49"/>
  </w:style>
  <w:style w:type="paragraph" w:customStyle="1" w:styleId="Tabletitle">
    <w:name w:val="Table_title"/>
    <w:basedOn w:val="Normal"/>
    <w:next w:val="Tablehead"/>
    <w:link w:val="TabletitleChar"/>
    <w:rsid w:val="00111E49"/>
    <w:pPr>
      <w:keepNext/>
      <w:spacing w:before="0" w:after="120"/>
      <w:jc w:val="center"/>
    </w:pPr>
    <w:rPr>
      <w:b/>
    </w:rPr>
  </w:style>
  <w:style w:type="paragraph" w:customStyle="1" w:styleId="Summary">
    <w:name w:val="Summary"/>
    <w:basedOn w:val="Normal"/>
    <w:next w:val="Normalaftertitle"/>
    <w:autoRedefine/>
    <w:rsid w:val="00111E49"/>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111E49"/>
    <w:pPr>
      <w:ind w:left="-85" w:firstLine="0"/>
    </w:pPr>
    <w:rPr>
      <w:lang w:val="en-US"/>
    </w:rPr>
  </w:style>
  <w:style w:type="character" w:customStyle="1" w:styleId="HeaderChar">
    <w:name w:val="Header Char"/>
    <w:basedOn w:val="DefaultParagraphFont"/>
    <w:link w:val="Header"/>
    <w:rsid w:val="00EE47C4"/>
    <w:rPr>
      <w:sz w:val="24"/>
      <w:lang w:val="en-GB" w:eastAsia="en-US"/>
    </w:rPr>
  </w:style>
  <w:style w:type="table" w:styleId="TableGrid">
    <w:name w:val="Table Grid"/>
    <w:basedOn w:val="TableNormal"/>
    <w:uiPriority w:val="39"/>
    <w:qFormat/>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UnresolvedMention1">
    <w:name w:val="Unresolved Mention1"/>
    <w:basedOn w:val="DefaultParagraphFont"/>
    <w:uiPriority w:val="99"/>
    <w:semiHidden/>
    <w:unhideWhenUsed/>
    <w:rsid w:val="00B07DA4"/>
    <w:rPr>
      <w:color w:val="605E5C"/>
      <w:shd w:val="clear" w:color="auto" w:fill="E1DFDD"/>
    </w:rPr>
  </w:style>
  <w:style w:type="paragraph" w:customStyle="1" w:styleId="Artheading">
    <w:name w:val="Art_heading"/>
    <w:basedOn w:val="Normal"/>
    <w:next w:val="Normal"/>
    <w:rsid w:val="00B07DA4"/>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rPr>
  </w:style>
  <w:style w:type="character" w:styleId="EndnoteReference">
    <w:name w:val="endnote reference"/>
    <w:basedOn w:val="DefaultParagraphFont"/>
    <w:rsid w:val="00B07DA4"/>
    <w:rPr>
      <w:vertAlign w:val="superscript"/>
    </w:rPr>
  </w:style>
  <w:style w:type="paragraph" w:customStyle="1" w:styleId="Figurewithouttitle">
    <w:name w:val="Figure_without_title"/>
    <w:basedOn w:val="FigureNo"/>
    <w:next w:val="Normal"/>
    <w:rsid w:val="00B07DA4"/>
    <w:pPr>
      <w:keepNext w:val="0"/>
      <w:tabs>
        <w:tab w:val="clear" w:pos="794"/>
        <w:tab w:val="clear" w:pos="1191"/>
        <w:tab w:val="clear" w:pos="1588"/>
        <w:tab w:val="clear" w:pos="1985"/>
        <w:tab w:val="left" w:pos="1134"/>
        <w:tab w:val="left" w:pos="1871"/>
        <w:tab w:val="left" w:pos="2268"/>
      </w:tabs>
      <w:spacing w:after="120"/>
    </w:pPr>
    <w:rPr>
      <w:rFonts w:eastAsia="MS Mincho"/>
      <w:caps w:val="0"/>
      <w:sz w:val="20"/>
    </w:rPr>
  </w:style>
  <w:style w:type="paragraph" w:customStyle="1" w:styleId="FirstFooter">
    <w:name w:val="FirstFooter"/>
    <w:basedOn w:val="Footer"/>
    <w:rsid w:val="00B07DA4"/>
    <w:pPr>
      <w:overflowPunct/>
      <w:autoSpaceDE/>
      <w:autoSpaceDN/>
      <w:adjustRightInd/>
      <w:spacing w:before="40"/>
      <w:jc w:val="left"/>
      <w:textAlignment w:val="auto"/>
    </w:pPr>
    <w:rPr>
      <w:rFonts w:eastAsia="MS Mincho"/>
      <w:noProof w:val="0"/>
      <w:sz w:val="16"/>
    </w:rPr>
  </w:style>
  <w:style w:type="paragraph" w:customStyle="1" w:styleId="Source">
    <w:name w:val="Source"/>
    <w:basedOn w:val="Normal"/>
    <w:next w:val="Normal"/>
    <w:link w:val="SourceChar"/>
    <w:rsid w:val="00B07DA4"/>
    <w:pPr>
      <w:tabs>
        <w:tab w:val="clear" w:pos="794"/>
        <w:tab w:val="clear" w:pos="1191"/>
        <w:tab w:val="clear" w:pos="1588"/>
        <w:tab w:val="clear" w:pos="1985"/>
        <w:tab w:val="left" w:pos="1134"/>
        <w:tab w:val="left" w:pos="1871"/>
        <w:tab w:val="left" w:pos="2268"/>
      </w:tabs>
      <w:spacing w:before="840"/>
      <w:jc w:val="center"/>
    </w:pPr>
    <w:rPr>
      <w:rFonts w:eastAsia="MS Mincho"/>
      <w:b/>
      <w:sz w:val="28"/>
    </w:rPr>
  </w:style>
  <w:style w:type="paragraph" w:customStyle="1" w:styleId="SpecialFooter">
    <w:name w:val="Special Footer"/>
    <w:basedOn w:val="Footer"/>
    <w:rsid w:val="00B07DA4"/>
    <w:pPr>
      <w:tabs>
        <w:tab w:val="left" w:pos="567"/>
        <w:tab w:val="left" w:pos="1134"/>
        <w:tab w:val="left" w:pos="1701"/>
        <w:tab w:val="left" w:pos="2268"/>
        <w:tab w:val="left" w:pos="2835"/>
        <w:tab w:val="left" w:pos="5954"/>
        <w:tab w:val="right" w:pos="9639"/>
      </w:tabs>
    </w:pPr>
    <w:rPr>
      <w:rFonts w:eastAsia="MS Mincho"/>
      <w:noProof w:val="0"/>
      <w:sz w:val="16"/>
    </w:rPr>
  </w:style>
  <w:style w:type="paragraph" w:customStyle="1" w:styleId="Tableref">
    <w:name w:val="Table_ref"/>
    <w:basedOn w:val="Normal"/>
    <w:next w:val="Normal"/>
    <w:rsid w:val="00B07DA4"/>
    <w:pPr>
      <w:keepNext/>
      <w:tabs>
        <w:tab w:val="clear" w:pos="794"/>
        <w:tab w:val="clear" w:pos="1191"/>
        <w:tab w:val="clear" w:pos="1588"/>
        <w:tab w:val="clear" w:pos="1985"/>
        <w:tab w:val="left" w:pos="1134"/>
        <w:tab w:val="left" w:pos="1871"/>
        <w:tab w:val="left" w:pos="2268"/>
      </w:tabs>
      <w:spacing w:before="560"/>
      <w:jc w:val="center"/>
    </w:pPr>
    <w:rPr>
      <w:rFonts w:eastAsia="MS Mincho"/>
      <w:sz w:val="20"/>
    </w:rPr>
  </w:style>
  <w:style w:type="paragraph" w:customStyle="1" w:styleId="Title1">
    <w:name w:val="Title 1"/>
    <w:basedOn w:val="Source"/>
    <w:next w:val="Normal"/>
    <w:link w:val="Title1Char"/>
    <w:rsid w:val="00B07DA4"/>
    <w:pPr>
      <w:tabs>
        <w:tab w:val="left" w:pos="567"/>
        <w:tab w:val="left" w:pos="1701"/>
        <w:tab w:val="left" w:pos="2835"/>
      </w:tabs>
      <w:spacing w:before="240"/>
    </w:pPr>
    <w:rPr>
      <w:b w:val="0"/>
    </w:rPr>
  </w:style>
  <w:style w:type="paragraph" w:customStyle="1" w:styleId="Title2">
    <w:name w:val="Title 2"/>
    <w:basedOn w:val="Source"/>
    <w:next w:val="Normal"/>
    <w:rsid w:val="00B07DA4"/>
    <w:pPr>
      <w:overflowPunct/>
      <w:autoSpaceDE/>
      <w:autoSpaceDN/>
      <w:adjustRightInd/>
      <w:spacing w:before="480"/>
      <w:textAlignment w:val="auto"/>
    </w:pPr>
    <w:rPr>
      <w:b w:val="0"/>
    </w:rPr>
  </w:style>
  <w:style w:type="paragraph" w:customStyle="1" w:styleId="Title3">
    <w:name w:val="Title 3"/>
    <w:basedOn w:val="Title2"/>
    <w:next w:val="Normal"/>
    <w:rsid w:val="00B07DA4"/>
    <w:pPr>
      <w:spacing w:before="240"/>
    </w:pPr>
  </w:style>
  <w:style w:type="paragraph" w:customStyle="1" w:styleId="Title4">
    <w:name w:val="Title 4"/>
    <w:basedOn w:val="Title3"/>
    <w:next w:val="Heading1"/>
    <w:rsid w:val="00B07DA4"/>
    <w:rPr>
      <w:b/>
    </w:rPr>
  </w:style>
  <w:style w:type="character" w:customStyle="1" w:styleId="Appdef">
    <w:name w:val="App_def"/>
    <w:basedOn w:val="DefaultParagraphFont"/>
    <w:rsid w:val="00B07DA4"/>
    <w:rPr>
      <w:rFonts w:ascii="Times New Roman" w:hAnsi="Times New Roman"/>
      <w:b/>
    </w:rPr>
  </w:style>
  <w:style w:type="character" w:customStyle="1" w:styleId="Appref">
    <w:name w:val="App_ref"/>
    <w:basedOn w:val="DefaultParagraphFont"/>
    <w:rsid w:val="00B07DA4"/>
  </w:style>
  <w:style w:type="character" w:customStyle="1" w:styleId="Artdef">
    <w:name w:val="Art_def"/>
    <w:basedOn w:val="DefaultParagraphFont"/>
    <w:rsid w:val="00B07DA4"/>
    <w:rPr>
      <w:rFonts w:ascii="Times New Roman" w:hAnsi="Times New Roman"/>
      <w:b/>
    </w:rPr>
  </w:style>
  <w:style w:type="character" w:customStyle="1" w:styleId="Artref">
    <w:name w:val="Art_ref"/>
    <w:basedOn w:val="DefaultParagraphFont"/>
    <w:rsid w:val="00B07DA4"/>
  </w:style>
  <w:style w:type="character" w:customStyle="1" w:styleId="Tablefreq">
    <w:name w:val="Table_freq"/>
    <w:basedOn w:val="DefaultParagraphFont"/>
    <w:rsid w:val="00B07DA4"/>
    <w:rPr>
      <w:b/>
      <w:color w:val="auto"/>
      <w:sz w:val="20"/>
    </w:rPr>
  </w:style>
  <w:style w:type="paragraph" w:customStyle="1" w:styleId="Formal">
    <w:name w:val="Formal"/>
    <w:basedOn w:val="ASN1"/>
    <w:rsid w:val="00B07DA4"/>
    <w:pPr>
      <w:tabs>
        <w:tab w:val="left" w:pos="1871"/>
      </w:tabs>
      <w:jc w:val="left"/>
    </w:pPr>
    <w:rPr>
      <w:rFonts w:ascii="Times New Roman Bold" w:eastAsia="MS Mincho" w:hAnsi="Times New Roman Bold"/>
      <w:b w:val="0"/>
    </w:rPr>
  </w:style>
  <w:style w:type="paragraph" w:customStyle="1" w:styleId="Section1">
    <w:name w:val="Section_1"/>
    <w:basedOn w:val="Normal"/>
    <w:rsid w:val="00B07DA4"/>
    <w:pPr>
      <w:tabs>
        <w:tab w:val="clear" w:pos="794"/>
        <w:tab w:val="clear" w:pos="1191"/>
        <w:tab w:val="clear" w:pos="1588"/>
        <w:tab w:val="clear" w:pos="1985"/>
        <w:tab w:val="center" w:pos="4820"/>
      </w:tabs>
      <w:spacing w:before="360"/>
      <w:jc w:val="center"/>
    </w:pPr>
    <w:rPr>
      <w:rFonts w:eastAsia="MS Mincho"/>
      <w:b/>
    </w:rPr>
  </w:style>
  <w:style w:type="paragraph" w:customStyle="1" w:styleId="Section2">
    <w:name w:val="Section_2"/>
    <w:basedOn w:val="Section1"/>
    <w:rsid w:val="00B07DA4"/>
    <w:rPr>
      <w:b w:val="0"/>
      <w:i/>
    </w:rPr>
  </w:style>
  <w:style w:type="paragraph" w:customStyle="1" w:styleId="AnnexNo">
    <w:name w:val="Annex_No"/>
    <w:basedOn w:val="Normal"/>
    <w:next w:val="Normal"/>
    <w:link w:val="AnnexNoChar"/>
    <w:rsid w:val="00B07DA4"/>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sz w:val="28"/>
    </w:rPr>
  </w:style>
  <w:style w:type="paragraph" w:customStyle="1" w:styleId="Annextitle">
    <w:name w:val="Annex_title"/>
    <w:basedOn w:val="Normal"/>
    <w:next w:val="Normal"/>
    <w:rsid w:val="00B07DA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rPr>
  </w:style>
  <w:style w:type="paragraph" w:customStyle="1" w:styleId="AppendixNo">
    <w:name w:val="Appendix_No"/>
    <w:basedOn w:val="AnnexNo"/>
    <w:next w:val="Annexref"/>
    <w:link w:val="AppendixNoChar"/>
    <w:rsid w:val="00B07DA4"/>
  </w:style>
  <w:style w:type="paragraph" w:customStyle="1" w:styleId="Appendixtitle">
    <w:name w:val="Appendix_title"/>
    <w:basedOn w:val="Annextitle"/>
    <w:next w:val="Normal"/>
    <w:rsid w:val="00B07DA4"/>
  </w:style>
  <w:style w:type="paragraph" w:customStyle="1" w:styleId="Border">
    <w:name w:val="Border"/>
    <w:basedOn w:val="Normal"/>
    <w:rsid w:val="00B07DA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rPr>
  </w:style>
  <w:style w:type="paragraph" w:styleId="Index4">
    <w:name w:val="index 4"/>
    <w:basedOn w:val="Normal"/>
    <w:next w:val="Normal"/>
    <w:rsid w:val="00B07DA4"/>
    <w:pPr>
      <w:tabs>
        <w:tab w:val="clear" w:pos="794"/>
        <w:tab w:val="clear" w:pos="1191"/>
        <w:tab w:val="clear" w:pos="1588"/>
        <w:tab w:val="clear" w:pos="1985"/>
        <w:tab w:val="left" w:pos="1134"/>
        <w:tab w:val="left" w:pos="1871"/>
        <w:tab w:val="left" w:pos="2268"/>
      </w:tabs>
      <w:ind w:left="849"/>
      <w:jc w:val="left"/>
    </w:pPr>
    <w:rPr>
      <w:rFonts w:eastAsia="MS Mincho"/>
    </w:rPr>
  </w:style>
  <w:style w:type="paragraph" w:styleId="Index5">
    <w:name w:val="index 5"/>
    <w:basedOn w:val="Normal"/>
    <w:next w:val="Normal"/>
    <w:rsid w:val="00B07DA4"/>
    <w:pPr>
      <w:tabs>
        <w:tab w:val="clear" w:pos="794"/>
        <w:tab w:val="clear" w:pos="1191"/>
        <w:tab w:val="clear" w:pos="1588"/>
        <w:tab w:val="clear" w:pos="1985"/>
        <w:tab w:val="left" w:pos="1134"/>
        <w:tab w:val="left" w:pos="1871"/>
        <w:tab w:val="left" w:pos="2268"/>
      </w:tabs>
      <w:ind w:left="1132"/>
      <w:jc w:val="left"/>
    </w:pPr>
    <w:rPr>
      <w:rFonts w:eastAsia="MS Mincho"/>
    </w:rPr>
  </w:style>
  <w:style w:type="paragraph" w:styleId="Index6">
    <w:name w:val="index 6"/>
    <w:basedOn w:val="Normal"/>
    <w:next w:val="Normal"/>
    <w:rsid w:val="00B07DA4"/>
    <w:pPr>
      <w:tabs>
        <w:tab w:val="clear" w:pos="794"/>
        <w:tab w:val="clear" w:pos="1191"/>
        <w:tab w:val="clear" w:pos="1588"/>
        <w:tab w:val="clear" w:pos="1985"/>
        <w:tab w:val="left" w:pos="1134"/>
        <w:tab w:val="left" w:pos="1871"/>
        <w:tab w:val="left" w:pos="2268"/>
      </w:tabs>
      <w:ind w:left="1415"/>
      <w:jc w:val="left"/>
    </w:pPr>
    <w:rPr>
      <w:rFonts w:eastAsia="MS Mincho"/>
    </w:rPr>
  </w:style>
  <w:style w:type="paragraph" w:styleId="Index7">
    <w:name w:val="index 7"/>
    <w:basedOn w:val="Normal"/>
    <w:next w:val="Normal"/>
    <w:rsid w:val="00B07DA4"/>
    <w:pPr>
      <w:tabs>
        <w:tab w:val="clear" w:pos="794"/>
        <w:tab w:val="clear" w:pos="1191"/>
        <w:tab w:val="clear" w:pos="1588"/>
        <w:tab w:val="clear" w:pos="1985"/>
        <w:tab w:val="left" w:pos="1134"/>
        <w:tab w:val="left" w:pos="1871"/>
        <w:tab w:val="left" w:pos="2268"/>
      </w:tabs>
      <w:ind w:left="1698"/>
      <w:jc w:val="left"/>
    </w:pPr>
    <w:rPr>
      <w:rFonts w:eastAsia="MS Mincho"/>
    </w:rPr>
  </w:style>
  <w:style w:type="character" w:styleId="LineNumber">
    <w:name w:val="line number"/>
    <w:basedOn w:val="DefaultParagraphFont"/>
    <w:rsid w:val="00B07DA4"/>
  </w:style>
  <w:style w:type="paragraph" w:customStyle="1" w:styleId="Normalaftertitle0">
    <w:name w:val="Normal after title"/>
    <w:basedOn w:val="Normal"/>
    <w:next w:val="Normal"/>
    <w:link w:val="NormalaftertitleChar0"/>
    <w:qFormat/>
    <w:rsid w:val="00B07DA4"/>
    <w:pPr>
      <w:tabs>
        <w:tab w:val="clear" w:pos="794"/>
        <w:tab w:val="clear" w:pos="1191"/>
        <w:tab w:val="clear" w:pos="1588"/>
        <w:tab w:val="clear" w:pos="1985"/>
        <w:tab w:val="left" w:pos="1134"/>
        <w:tab w:val="left" w:pos="1871"/>
        <w:tab w:val="left" w:pos="2268"/>
      </w:tabs>
      <w:spacing w:before="280"/>
      <w:jc w:val="left"/>
    </w:pPr>
    <w:rPr>
      <w:rFonts w:eastAsia="MS Mincho"/>
    </w:rPr>
  </w:style>
  <w:style w:type="paragraph" w:customStyle="1" w:styleId="Proposal">
    <w:name w:val="Proposal"/>
    <w:basedOn w:val="Normal"/>
    <w:next w:val="Normal"/>
    <w:rsid w:val="00B07DA4"/>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rPr>
  </w:style>
  <w:style w:type="paragraph" w:customStyle="1" w:styleId="Reasons">
    <w:name w:val="Reasons"/>
    <w:basedOn w:val="Normal"/>
    <w:qFormat/>
    <w:rsid w:val="00B07DA4"/>
    <w:pPr>
      <w:tabs>
        <w:tab w:val="clear" w:pos="794"/>
        <w:tab w:val="clear" w:pos="1191"/>
        <w:tab w:val="left" w:pos="1134"/>
      </w:tabs>
      <w:jc w:val="left"/>
    </w:pPr>
    <w:rPr>
      <w:rFonts w:eastAsia="MS Mincho"/>
    </w:rPr>
  </w:style>
  <w:style w:type="paragraph" w:customStyle="1" w:styleId="Section3">
    <w:name w:val="Section_3"/>
    <w:basedOn w:val="Section1"/>
    <w:rsid w:val="00B07DA4"/>
    <w:rPr>
      <w:b w:val="0"/>
    </w:rPr>
  </w:style>
  <w:style w:type="paragraph" w:customStyle="1" w:styleId="TableTextS5">
    <w:name w:val="Table_TextS5"/>
    <w:basedOn w:val="Normal"/>
    <w:rsid w:val="00B07DA4"/>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rPr>
  </w:style>
  <w:style w:type="paragraph" w:customStyle="1" w:styleId="Agendaitem">
    <w:name w:val="Agenda_item"/>
    <w:basedOn w:val="Normal"/>
    <w:next w:val="Normal"/>
    <w:qFormat/>
    <w:rsid w:val="00B07DA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B07DA4"/>
    <w:pPr>
      <w:tabs>
        <w:tab w:val="clear" w:pos="794"/>
        <w:tab w:val="clear" w:pos="1191"/>
        <w:tab w:val="clear" w:pos="1588"/>
        <w:tab w:val="clear" w:pos="1985"/>
        <w:tab w:val="left" w:pos="1134"/>
        <w:tab w:val="left" w:pos="1871"/>
        <w:tab w:val="left" w:pos="2268"/>
      </w:tabs>
    </w:pPr>
    <w:rPr>
      <w:rFonts w:eastAsia="MS Mincho"/>
    </w:rPr>
  </w:style>
  <w:style w:type="paragraph" w:customStyle="1" w:styleId="AppArttitle">
    <w:name w:val="App_Art_title"/>
    <w:basedOn w:val="Arttitle"/>
    <w:qFormat/>
    <w:rsid w:val="00B07DA4"/>
    <w:pPr>
      <w:tabs>
        <w:tab w:val="clear" w:pos="794"/>
        <w:tab w:val="clear" w:pos="1191"/>
        <w:tab w:val="clear" w:pos="1588"/>
        <w:tab w:val="clear" w:pos="1985"/>
        <w:tab w:val="left" w:pos="1134"/>
        <w:tab w:val="left" w:pos="1871"/>
        <w:tab w:val="left" w:pos="2268"/>
      </w:tabs>
    </w:pPr>
    <w:rPr>
      <w:rFonts w:eastAsia="MS Mincho"/>
    </w:rPr>
  </w:style>
  <w:style w:type="paragraph" w:customStyle="1" w:styleId="ApptoAnnex">
    <w:name w:val="App_to_Annex"/>
    <w:basedOn w:val="AppendixNo"/>
    <w:next w:val="Normal"/>
    <w:qFormat/>
    <w:rsid w:val="00B07DA4"/>
  </w:style>
  <w:style w:type="paragraph" w:customStyle="1" w:styleId="Committee">
    <w:name w:val="Committee"/>
    <w:basedOn w:val="Normal"/>
    <w:qFormat/>
    <w:rsid w:val="00B07DA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rPr>
  </w:style>
  <w:style w:type="character" w:customStyle="1" w:styleId="FooterChar">
    <w:name w:val="Footer Char"/>
    <w:basedOn w:val="DefaultParagraphFont"/>
    <w:link w:val="Footer"/>
    <w:qFormat/>
    <w:rsid w:val="00B07DA4"/>
    <w:rPr>
      <w:noProof/>
      <w:sz w:val="18"/>
      <w:lang w:val="en-GB" w:eastAsia="en-US"/>
    </w:rPr>
  </w:style>
  <w:style w:type="character" w:customStyle="1" w:styleId="FootnoteTextChar">
    <w:name w:val="Footnote Text Char"/>
    <w:basedOn w:val="DefaultParagraphFont"/>
    <w:link w:val="FootnoteText"/>
    <w:rsid w:val="00B07DA4"/>
    <w:rPr>
      <w:sz w:val="22"/>
      <w:lang w:val="en-GB" w:eastAsia="en-US"/>
    </w:rPr>
  </w:style>
  <w:style w:type="paragraph" w:customStyle="1" w:styleId="Normalend">
    <w:name w:val="Normal_end"/>
    <w:basedOn w:val="Normal"/>
    <w:next w:val="Normal"/>
    <w:qFormat/>
    <w:rsid w:val="00B07DA4"/>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B07DA4"/>
  </w:style>
  <w:style w:type="paragraph" w:customStyle="1" w:styleId="Subsection1">
    <w:name w:val="Subsection_1"/>
    <w:basedOn w:val="Section1"/>
    <w:next w:val="Normalaftertitle0"/>
    <w:qFormat/>
    <w:rsid w:val="00B07DA4"/>
  </w:style>
  <w:style w:type="paragraph" w:customStyle="1" w:styleId="Volumetitle">
    <w:name w:val="Volume_title"/>
    <w:basedOn w:val="Normal"/>
    <w:qFormat/>
    <w:rsid w:val="00B07DA4"/>
    <w:pPr>
      <w:tabs>
        <w:tab w:val="clear" w:pos="794"/>
        <w:tab w:val="clear" w:pos="1191"/>
        <w:tab w:val="clear" w:pos="1588"/>
        <w:tab w:val="clear" w:pos="1985"/>
        <w:tab w:val="left" w:pos="1134"/>
        <w:tab w:val="left" w:pos="1871"/>
        <w:tab w:val="left" w:pos="2268"/>
      </w:tabs>
      <w:jc w:val="center"/>
    </w:pPr>
    <w:rPr>
      <w:rFonts w:eastAsia="MS Mincho"/>
      <w:b/>
      <w:bCs/>
      <w:sz w:val="28"/>
      <w:szCs w:val="28"/>
    </w:rPr>
  </w:style>
  <w:style w:type="paragraph" w:customStyle="1" w:styleId="Headingsplit">
    <w:name w:val="Heading_split"/>
    <w:basedOn w:val="Headingi"/>
    <w:qFormat/>
    <w:rsid w:val="00B07DA4"/>
    <w:pPr>
      <w:keepNext w:val="0"/>
      <w:keepLines w:val="0"/>
      <w:tabs>
        <w:tab w:val="clear" w:pos="794"/>
        <w:tab w:val="clear" w:pos="1191"/>
        <w:tab w:val="clear" w:pos="1588"/>
        <w:tab w:val="clear" w:pos="1985"/>
        <w:tab w:val="left" w:pos="1134"/>
        <w:tab w:val="left" w:pos="1871"/>
        <w:tab w:val="left" w:pos="2268"/>
      </w:tabs>
      <w:jc w:val="left"/>
      <w:outlineLvl w:val="9"/>
    </w:pPr>
    <w:rPr>
      <w:rFonts w:eastAsia="MS Mincho"/>
      <w:lang w:val="en-US"/>
    </w:rPr>
  </w:style>
  <w:style w:type="paragraph" w:customStyle="1" w:styleId="Normalsplit">
    <w:name w:val="Normal_split"/>
    <w:basedOn w:val="Normal"/>
    <w:qFormat/>
    <w:rsid w:val="00B07DA4"/>
    <w:pPr>
      <w:tabs>
        <w:tab w:val="clear" w:pos="794"/>
        <w:tab w:val="clear" w:pos="1191"/>
        <w:tab w:val="clear" w:pos="1588"/>
        <w:tab w:val="clear" w:pos="1985"/>
        <w:tab w:val="left" w:pos="1134"/>
        <w:tab w:val="left" w:pos="1871"/>
        <w:tab w:val="left" w:pos="2268"/>
      </w:tabs>
      <w:jc w:val="left"/>
    </w:pPr>
    <w:rPr>
      <w:rFonts w:eastAsia="MS Mincho"/>
    </w:rPr>
  </w:style>
  <w:style w:type="character" w:customStyle="1" w:styleId="Provsplit">
    <w:name w:val="Prov_split"/>
    <w:basedOn w:val="DefaultParagraphFont"/>
    <w:qFormat/>
    <w:rsid w:val="00B07DA4"/>
    <w:rPr>
      <w:rFonts w:ascii="Times New Roman" w:hAnsi="Times New Roman"/>
      <w:b w:val="0"/>
    </w:rPr>
  </w:style>
  <w:style w:type="paragraph" w:customStyle="1" w:styleId="Tablesplit">
    <w:name w:val="Table_split"/>
    <w:basedOn w:val="Tabletext"/>
    <w:qFormat/>
    <w:rsid w:val="00B07DA4"/>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sz w:val="20"/>
    </w:rPr>
  </w:style>
  <w:style w:type="character" w:customStyle="1" w:styleId="RectitleChar">
    <w:name w:val="Rec_title Char"/>
    <w:basedOn w:val="DefaultParagraphFont"/>
    <w:link w:val="Rectitle"/>
    <w:locked/>
    <w:rsid w:val="00B07DA4"/>
    <w:rPr>
      <w:b/>
      <w:sz w:val="28"/>
      <w:lang w:val="en-GB" w:eastAsia="en-US"/>
    </w:rPr>
  </w:style>
  <w:style w:type="character" w:customStyle="1" w:styleId="Heading1Char">
    <w:name w:val="Heading 1 Char"/>
    <w:basedOn w:val="DefaultParagraphFont"/>
    <w:link w:val="Heading1"/>
    <w:rsid w:val="00B07DA4"/>
    <w:rPr>
      <w:b/>
      <w:sz w:val="24"/>
      <w:lang w:val="en-GB" w:eastAsia="en-US"/>
    </w:rPr>
  </w:style>
  <w:style w:type="character" w:customStyle="1" w:styleId="Heading2Char">
    <w:name w:val="Heading 2 Char"/>
    <w:basedOn w:val="DefaultParagraphFont"/>
    <w:link w:val="Heading2"/>
    <w:rsid w:val="00B07DA4"/>
    <w:rPr>
      <w:b/>
      <w:sz w:val="24"/>
      <w:lang w:val="en-GB" w:eastAsia="en-US"/>
    </w:rPr>
  </w:style>
  <w:style w:type="character" w:customStyle="1" w:styleId="Heading3Char">
    <w:name w:val="Heading 3 Char"/>
    <w:basedOn w:val="DefaultParagraphFont"/>
    <w:link w:val="Heading3"/>
    <w:rsid w:val="00B07DA4"/>
    <w:rPr>
      <w:b/>
      <w:sz w:val="24"/>
      <w:lang w:val="en-GB" w:eastAsia="en-US"/>
    </w:rPr>
  </w:style>
  <w:style w:type="character" w:customStyle="1" w:styleId="Heading4Char">
    <w:name w:val="Heading 4 Char"/>
    <w:basedOn w:val="DefaultParagraphFont"/>
    <w:link w:val="Heading4"/>
    <w:rsid w:val="00B07DA4"/>
    <w:rPr>
      <w:b/>
      <w:sz w:val="24"/>
      <w:lang w:val="en-GB" w:eastAsia="en-US"/>
    </w:rPr>
  </w:style>
  <w:style w:type="character" w:customStyle="1" w:styleId="Heading5Char">
    <w:name w:val="Heading 5 Char"/>
    <w:basedOn w:val="DefaultParagraphFont"/>
    <w:link w:val="Heading5"/>
    <w:rsid w:val="00B07DA4"/>
    <w:rPr>
      <w:b/>
      <w:sz w:val="24"/>
      <w:lang w:val="en-GB" w:eastAsia="en-US"/>
    </w:rPr>
  </w:style>
  <w:style w:type="character" w:customStyle="1" w:styleId="Heading6Char">
    <w:name w:val="Heading 6 Char"/>
    <w:basedOn w:val="DefaultParagraphFont"/>
    <w:link w:val="Heading6"/>
    <w:rsid w:val="00B07DA4"/>
    <w:rPr>
      <w:b/>
      <w:sz w:val="24"/>
      <w:lang w:val="en-GB" w:eastAsia="en-US"/>
    </w:rPr>
  </w:style>
  <w:style w:type="character" w:customStyle="1" w:styleId="Heading7Char">
    <w:name w:val="Heading 7 Char"/>
    <w:basedOn w:val="DefaultParagraphFont"/>
    <w:link w:val="Heading7"/>
    <w:rsid w:val="00B07DA4"/>
    <w:rPr>
      <w:b/>
      <w:sz w:val="24"/>
      <w:lang w:val="en-GB" w:eastAsia="en-US"/>
    </w:rPr>
  </w:style>
  <w:style w:type="character" w:customStyle="1" w:styleId="Heading8Char">
    <w:name w:val="Heading 8 Char"/>
    <w:basedOn w:val="DefaultParagraphFont"/>
    <w:link w:val="Heading8"/>
    <w:rsid w:val="00B07DA4"/>
    <w:rPr>
      <w:b/>
      <w:sz w:val="24"/>
      <w:lang w:val="en-GB" w:eastAsia="en-US"/>
    </w:rPr>
  </w:style>
  <w:style w:type="character" w:customStyle="1" w:styleId="Heading9Char">
    <w:name w:val="Heading 9 Char"/>
    <w:basedOn w:val="DefaultParagraphFont"/>
    <w:link w:val="Heading9"/>
    <w:rsid w:val="00B07DA4"/>
    <w:rPr>
      <w:b/>
      <w:sz w:val="24"/>
      <w:lang w:val="en-GB" w:eastAsia="en-US"/>
    </w:rPr>
  </w:style>
  <w:style w:type="paragraph" w:styleId="BalloonText">
    <w:name w:val="Balloon Text"/>
    <w:basedOn w:val="Normal"/>
    <w:link w:val="BalloonTextChar"/>
    <w:uiPriority w:val="99"/>
    <w:unhideWhenUsed/>
    <w:rsid w:val="00B07DA4"/>
    <w:pPr>
      <w:tabs>
        <w:tab w:val="clear" w:pos="794"/>
        <w:tab w:val="clear" w:pos="1191"/>
        <w:tab w:val="clear" w:pos="1588"/>
        <w:tab w:val="clear" w:pos="1985"/>
        <w:tab w:val="left" w:pos="1134"/>
        <w:tab w:val="left" w:pos="1871"/>
        <w:tab w:val="left" w:pos="2268"/>
      </w:tabs>
      <w:spacing w:before="0"/>
      <w:jc w:val="left"/>
    </w:pPr>
    <w:rPr>
      <w:rFonts w:ascii="Gulim" w:eastAsia="Gulim"/>
      <w:sz w:val="18"/>
      <w:szCs w:val="18"/>
    </w:rPr>
  </w:style>
  <w:style w:type="character" w:customStyle="1" w:styleId="BalloonTextChar">
    <w:name w:val="Balloon Text Char"/>
    <w:basedOn w:val="DefaultParagraphFont"/>
    <w:link w:val="BalloonText"/>
    <w:uiPriority w:val="99"/>
    <w:rsid w:val="00B07DA4"/>
    <w:rPr>
      <w:rFonts w:ascii="Gulim" w:eastAsia="Gulim"/>
      <w:sz w:val="18"/>
      <w:szCs w:val="18"/>
      <w:lang w:val="en-GB" w:eastAsia="en-US"/>
    </w:rPr>
  </w:style>
  <w:style w:type="character" w:customStyle="1" w:styleId="SourceChar">
    <w:name w:val="Source Char"/>
    <w:basedOn w:val="DefaultParagraphFont"/>
    <w:link w:val="Source"/>
    <w:uiPriority w:val="99"/>
    <w:rsid w:val="00B07DA4"/>
    <w:rPr>
      <w:rFonts w:eastAsia="MS Mincho"/>
      <w:b/>
      <w:sz w:val="28"/>
      <w:lang w:val="en-GB" w:eastAsia="en-US"/>
    </w:rPr>
  </w:style>
  <w:style w:type="character" w:customStyle="1" w:styleId="Title1Char">
    <w:name w:val="Title 1 Char"/>
    <w:link w:val="Title1"/>
    <w:locked/>
    <w:rsid w:val="00B07DA4"/>
    <w:rPr>
      <w:rFonts w:eastAsia="MS Mincho"/>
      <w:sz w:val="28"/>
      <w:lang w:val="en-GB" w:eastAsia="en-US"/>
    </w:rPr>
  </w:style>
  <w:style w:type="character" w:customStyle="1" w:styleId="HeadingbChar">
    <w:name w:val="Heading_b Char"/>
    <w:link w:val="Headingb"/>
    <w:locked/>
    <w:rsid w:val="00B07DA4"/>
    <w:rPr>
      <w:b/>
      <w:sz w:val="24"/>
      <w:lang w:val="en-GB" w:eastAsia="en-US"/>
    </w:rPr>
  </w:style>
  <w:style w:type="character" w:customStyle="1" w:styleId="TableheadChar">
    <w:name w:val="Table_head Char"/>
    <w:link w:val="Tablehead"/>
    <w:locked/>
    <w:rsid w:val="00B07DA4"/>
    <w:rPr>
      <w:b/>
      <w:sz w:val="22"/>
      <w:lang w:val="en-GB" w:eastAsia="en-US"/>
    </w:rPr>
  </w:style>
  <w:style w:type="character" w:customStyle="1" w:styleId="TableNoChar">
    <w:name w:val="Table_No Char"/>
    <w:link w:val="TableNo"/>
    <w:rsid w:val="00B07DA4"/>
    <w:rPr>
      <w:sz w:val="24"/>
      <w:lang w:val="en-GB" w:eastAsia="en-US"/>
    </w:rPr>
  </w:style>
  <w:style w:type="character" w:customStyle="1" w:styleId="TabletextChar">
    <w:name w:val="Table_text Char"/>
    <w:link w:val="Tabletext"/>
    <w:qFormat/>
    <w:locked/>
    <w:rsid w:val="00B07DA4"/>
    <w:rPr>
      <w:sz w:val="22"/>
      <w:lang w:val="en-GB" w:eastAsia="en-US"/>
    </w:rPr>
  </w:style>
  <w:style w:type="character" w:customStyle="1" w:styleId="TabletitleChar">
    <w:name w:val="Table_title Char"/>
    <w:link w:val="Tabletitle"/>
    <w:qFormat/>
    <w:rsid w:val="00B07DA4"/>
    <w:rPr>
      <w:b/>
      <w:sz w:val="24"/>
      <w:lang w:val="en-GB" w:eastAsia="en-US"/>
    </w:rPr>
  </w:style>
  <w:style w:type="paragraph" w:styleId="ListParagraph">
    <w:name w:val="List Paragraph"/>
    <w:basedOn w:val="Normal"/>
    <w:link w:val="ListParagraphChar"/>
    <w:uiPriority w:val="99"/>
    <w:qFormat/>
    <w:rsid w:val="00B07DA4"/>
    <w:pPr>
      <w:tabs>
        <w:tab w:val="clear" w:pos="794"/>
        <w:tab w:val="clear" w:pos="1191"/>
        <w:tab w:val="clear" w:pos="1588"/>
        <w:tab w:val="clear" w:pos="1985"/>
        <w:tab w:val="left" w:pos="1134"/>
        <w:tab w:val="left" w:pos="1871"/>
        <w:tab w:val="left" w:pos="2268"/>
      </w:tabs>
      <w:ind w:left="720"/>
      <w:contextualSpacing/>
      <w:jc w:val="left"/>
    </w:pPr>
    <w:rPr>
      <w:rFonts w:eastAsia="Batang"/>
    </w:rPr>
  </w:style>
  <w:style w:type="character" w:customStyle="1" w:styleId="enumlev1Char">
    <w:name w:val="enumlev1 Char"/>
    <w:link w:val="enumlev1"/>
    <w:rsid w:val="00B07DA4"/>
    <w:rPr>
      <w:sz w:val="24"/>
      <w:lang w:val="en-GB" w:eastAsia="en-US"/>
    </w:rPr>
  </w:style>
  <w:style w:type="character" w:customStyle="1" w:styleId="FigureChar">
    <w:name w:val="Figure Char"/>
    <w:aliases w:val="fig Char"/>
    <w:link w:val="Figure"/>
    <w:rsid w:val="00B07DA4"/>
    <w:rPr>
      <w:caps/>
      <w:sz w:val="18"/>
      <w:lang w:val="en-GB" w:eastAsia="en-US"/>
    </w:rPr>
  </w:style>
  <w:style w:type="character" w:customStyle="1" w:styleId="FiguretitleChar">
    <w:name w:val="Figure_title Char"/>
    <w:link w:val="Figuretitle"/>
    <w:rsid w:val="00B07DA4"/>
    <w:rPr>
      <w:rFonts w:ascii="Times New Roman Bold" w:hAnsi="Times New Roman Bold"/>
      <w:b/>
      <w:sz w:val="18"/>
      <w:lang w:val="en-GB" w:eastAsia="en-US"/>
    </w:rPr>
  </w:style>
  <w:style w:type="character" w:customStyle="1" w:styleId="FigureNo0">
    <w:name w:val="Figure_No (文字)"/>
    <w:link w:val="FigureNo"/>
    <w:rsid w:val="00B07DA4"/>
    <w:rPr>
      <w:caps/>
      <w:sz w:val="18"/>
      <w:lang w:val="en-GB" w:eastAsia="en-US"/>
    </w:rPr>
  </w:style>
  <w:style w:type="character" w:customStyle="1" w:styleId="TablelegendChar">
    <w:name w:val="Table_legend Char"/>
    <w:link w:val="Tablelegend"/>
    <w:locked/>
    <w:rsid w:val="00B07DA4"/>
    <w:rPr>
      <w:sz w:val="22"/>
      <w:lang w:val="en-GB" w:eastAsia="en-US"/>
    </w:rPr>
  </w:style>
  <w:style w:type="paragraph" w:styleId="Title">
    <w:name w:val="Title"/>
    <w:basedOn w:val="Normal"/>
    <w:link w:val="TitleChar"/>
    <w:uiPriority w:val="99"/>
    <w:qFormat/>
    <w:rsid w:val="00B07DA4"/>
    <w:pPr>
      <w:tabs>
        <w:tab w:val="clear" w:pos="794"/>
        <w:tab w:val="clear" w:pos="1191"/>
        <w:tab w:val="clear" w:pos="1588"/>
        <w:tab w:val="clear" w:pos="1985"/>
      </w:tabs>
      <w:overflowPunct/>
      <w:autoSpaceDE/>
      <w:autoSpaceDN/>
      <w:adjustRightInd/>
      <w:spacing w:before="0"/>
      <w:jc w:val="center"/>
      <w:textAlignment w:val="auto"/>
    </w:pPr>
    <w:rPr>
      <w:rFonts w:eastAsia="MS Mincho"/>
      <w:b/>
      <w:bCs/>
      <w:szCs w:val="24"/>
      <w:lang w:val="en-US"/>
    </w:rPr>
  </w:style>
  <w:style w:type="character" w:customStyle="1" w:styleId="TitleChar">
    <w:name w:val="Title Char"/>
    <w:basedOn w:val="DefaultParagraphFont"/>
    <w:link w:val="Title"/>
    <w:uiPriority w:val="99"/>
    <w:rsid w:val="00B07DA4"/>
    <w:rPr>
      <w:rFonts w:eastAsia="MS Mincho"/>
      <w:b/>
      <w:bCs/>
      <w:sz w:val="24"/>
      <w:szCs w:val="24"/>
      <w:lang w:eastAsia="en-US"/>
    </w:rPr>
  </w:style>
  <w:style w:type="character" w:styleId="FollowedHyperlink">
    <w:name w:val="FollowedHyperlink"/>
    <w:basedOn w:val="DefaultParagraphFont"/>
    <w:rsid w:val="00B07DA4"/>
    <w:rPr>
      <w:rFonts w:cs="Times New Roman"/>
      <w:color w:val="800080"/>
      <w:u w:val="single"/>
    </w:rPr>
  </w:style>
  <w:style w:type="paragraph" w:styleId="BodyText">
    <w:name w:val="Body Text"/>
    <w:basedOn w:val="Normal"/>
    <w:link w:val="BodyTextChar"/>
    <w:uiPriority w:val="99"/>
    <w:rsid w:val="00B07DA4"/>
    <w:pPr>
      <w:tabs>
        <w:tab w:val="clear" w:pos="794"/>
        <w:tab w:val="clear" w:pos="1191"/>
        <w:tab w:val="clear" w:pos="1588"/>
        <w:tab w:val="clear" w:pos="1985"/>
      </w:tabs>
      <w:overflowPunct/>
      <w:autoSpaceDE/>
      <w:autoSpaceDN/>
      <w:adjustRightInd/>
      <w:spacing w:before="0"/>
      <w:jc w:val="left"/>
      <w:textAlignment w:val="auto"/>
    </w:pPr>
    <w:rPr>
      <w:rFonts w:eastAsia="MS Mincho"/>
      <w:b/>
      <w:bCs/>
      <w:szCs w:val="24"/>
      <w:lang w:val="en-US"/>
    </w:rPr>
  </w:style>
  <w:style w:type="character" w:customStyle="1" w:styleId="BodyTextChar">
    <w:name w:val="Body Text Char"/>
    <w:basedOn w:val="DefaultParagraphFont"/>
    <w:link w:val="BodyText"/>
    <w:uiPriority w:val="99"/>
    <w:rsid w:val="00B07DA4"/>
    <w:rPr>
      <w:rFonts w:eastAsia="MS Mincho"/>
      <w:b/>
      <w:bCs/>
      <w:sz w:val="24"/>
      <w:szCs w:val="24"/>
      <w:lang w:eastAsia="en-US"/>
    </w:rPr>
  </w:style>
  <w:style w:type="paragraph" w:styleId="Subtitle">
    <w:name w:val="Subtitle"/>
    <w:basedOn w:val="Normal"/>
    <w:link w:val="SubtitleChar"/>
    <w:uiPriority w:val="99"/>
    <w:qFormat/>
    <w:rsid w:val="00B07DA4"/>
    <w:pPr>
      <w:tabs>
        <w:tab w:val="clear" w:pos="794"/>
        <w:tab w:val="clear" w:pos="1191"/>
        <w:tab w:val="clear" w:pos="1588"/>
        <w:tab w:val="clear" w:pos="1985"/>
      </w:tabs>
      <w:overflowPunct/>
      <w:autoSpaceDE/>
      <w:autoSpaceDN/>
      <w:adjustRightInd/>
      <w:spacing w:before="0"/>
      <w:jc w:val="left"/>
      <w:textAlignment w:val="auto"/>
    </w:pPr>
    <w:rPr>
      <w:rFonts w:eastAsia="MS Mincho"/>
      <w:szCs w:val="24"/>
      <w:u w:val="single"/>
      <w:lang w:val="en-US"/>
    </w:rPr>
  </w:style>
  <w:style w:type="character" w:customStyle="1" w:styleId="SubtitleChar">
    <w:name w:val="Subtitle Char"/>
    <w:basedOn w:val="DefaultParagraphFont"/>
    <w:link w:val="Subtitle"/>
    <w:uiPriority w:val="99"/>
    <w:rsid w:val="00B07DA4"/>
    <w:rPr>
      <w:rFonts w:eastAsia="MS Mincho"/>
      <w:sz w:val="24"/>
      <w:szCs w:val="24"/>
      <w:u w:val="single"/>
      <w:lang w:eastAsia="en-US"/>
    </w:rPr>
  </w:style>
  <w:style w:type="paragraph" w:styleId="BlockText">
    <w:name w:val="Block Text"/>
    <w:basedOn w:val="Normal"/>
    <w:uiPriority w:val="99"/>
    <w:rsid w:val="00B07DA4"/>
    <w:pPr>
      <w:tabs>
        <w:tab w:val="clear" w:pos="794"/>
        <w:tab w:val="clear" w:pos="1191"/>
        <w:tab w:val="clear" w:pos="1588"/>
        <w:tab w:val="clear" w:pos="1985"/>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paragraph" w:styleId="BodyText2">
    <w:name w:val="Body Text 2"/>
    <w:basedOn w:val="Normal"/>
    <w:link w:val="BodyText2Char"/>
    <w:uiPriority w:val="99"/>
    <w:rsid w:val="00B07DA4"/>
    <w:pPr>
      <w:tabs>
        <w:tab w:val="clear" w:pos="794"/>
        <w:tab w:val="clear" w:pos="1191"/>
        <w:tab w:val="clear" w:pos="1588"/>
        <w:tab w:val="clear" w:pos="1985"/>
        <w:tab w:val="left" w:pos="1080"/>
      </w:tabs>
      <w:overflowPunct/>
      <w:autoSpaceDE/>
      <w:autoSpaceDN/>
      <w:adjustRightInd/>
      <w:spacing w:before="0"/>
      <w:jc w:val="left"/>
      <w:textAlignment w:val="auto"/>
    </w:pPr>
    <w:rPr>
      <w:rFonts w:ascii="Arial" w:eastAsia="MS Mincho" w:hAnsi="Arial" w:cs="Arial"/>
      <w:sz w:val="22"/>
      <w:szCs w:val="24"/>
      <w:lang w:val="en-US"/>
    </w:rPr>
  </w:style>
  <w:style w:type="character" w:customStyle="1" w:styleId="BodyText2Char">
    <w:name w:val="Body Text 2 Char"/>
    <w:basedOn w:val="DefaultParagraphFont"/>
    <w:link w:val="BodyText2"/>
    <w:uiPriority w:val="99"/>
    <w:rsid w:val="00B07DA4"/>
    <w:rPr>
      <w:rFonts w:ascii="Arial" w:eastAsia="MS Mincho" w:hAnsi="Arial" w:cs="Arial"/>
      <w:sz w:val="22"/>
      <w:szCs w:val="24"/>
      <w:lang w:eastAsia="en-US"/>
    </w:rPr>
  </w:style>
  <w:style w:type="paragraph" w:styleId="NormalWeb">
    <w:name w:val="Normal (Web)"/>
    <w:basedOn w:val="Normal"/>
    <w:uiPriority w:val="99"/>
    <w:qFormat/>
    <w:rsid w:val="00B07DA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styleId="CommentReference">
    <w:name w:val="annotation reference"/>
    <w:basedOn w:val="DefaultParagraphFont"/>
    <w:rsid w:val="00B07DA4"/>
    <w:rPr>
      <w:rFonts w:cs="Times New Roman"/>
      <w:sz w:val="16"/>
      <w:szCs w:val="16"/>
    </w:rPr>
  </w:style>
  <w:style w:type="paragraph" w:styleId="CommentText">
    <w:name w:val="annotation text"/>
    <w:basedOn w:val="Normal"/>
    <w:link w:val="CommentTextChar"/>
    <w:rsid w:val="00B07DA4"/>
    <w:pPr>
      <w:tabs>
        <w:tab w:val="clear" w:pos="794"/>
        <w:tab w:val="clear" w:pos="1191"/>
        <w:tab w:val="clear" w:pos="1588"/>
        <w:tab w:val="clear" w:pos="1985"/>
      </w:tabs>
      <w:overflowPunct/>
      <w:autoSpaceDE/>
      <w:autoSpaceDN/>
      <w:adjustRightInd/>
      <w:spacing w:before="0"/>
      <w:jc w:val="left"/>
      <w:textAlignment w:val="auto"/>
    </w:pPr>
    <w:rPr>
      <w:rFonts w:eastAsia="MS Mincho"/>
      <w:sz w:val="20"/>
      <w:lang w:val="en-US"/>
    </w:rPr>
  </w:style>
  <w:style w:type="character" w:customStyle="1" w:styleId="CommentTextChar">
    <w:name w:val="Comment Text Char"/>
    <w:basedOn w:val="DefaultParagraphFont"/>
    <w:link w:val="CommentText"/>
    <w:rsid w:val="00B07DA4"/>
    <w:rPr>
      <w:rFonts w:eastAsia="MS Mincho"/>
      <w:lang w:eastAsia="en-US"/>
    </w:rPr>
  </w:style>
  <w:style w:type="paragraph" w:styleId="BodyText3">
    <w:name w:val="Body Text 3"/>
    <w:basedOn w:val="Normal"/>
    <w:link w:val="BodyText3Char"/>
    <w:uiPriority w:val="99"/>
    <w:rsid w:val="00B07DA4"/>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s="Arial"/>
      <w:color w:val="00FF00"/>
      <w:sz w:val="22"/>
      <w:szCs w:val="24"/>
      <w:lang w:val="en-US"/>
    </w:rPr>
  </w:style>
  <w:style w:type="character" w:customStyle="1" w:styleId="BodyText3Char">
    <w:name w:val="Body Text 3 Char"/>
    <w:basedOn w:val="DefaultParagraphFont"/>
    <w:link w:val="BodyText3"/>
    <w:uiPriority w:val="99"/>
    <w:rsid w:val="00B07DA4"/>
    <w:rPr>
      <w:rFonts w:ascii="Arial" w:eastAsia="MS Mincho" w:hAnsi="Arial" w:cs="Arial"/>
      <w:color w:val="00FF00"/>
      <w:sz w:val="22"/>
      <w:szCs w:val="24"/>
      <w:lang w:eastAsia="en-US"/>
    </w:rPr>
  </w:style>
  <w:style w:type="paragraph" w:styleId="BodyTextIndent">
    <w:name w:val="Body Text Indent"/>
    <w:basedOn w:val="Normal"/>
    <w:link w:val="BodyTextIndentChar"/>
    <w:uiPriority w:val="99"/>
    <w:rsid w:val="00B07DA4"/>
    <w:pPr>
      <w:tabs>
        <w:tab w:val="clear" w:pos="794"/>
        <w:tab w:val="clear" w:pos="1191"/>
        <w:tab w:val="clear" w:pos="1588"/>
        <w:tab w:val="clear" w:pos="1985"/>
      </w:tabs>
      <w:overflowPunct/>
      <w:autoSpaceDE/>
      <w:autoSpaceDN/>
      <w:adjustRightInd/>
      <w:spacing w:before="0"/>
      <w:ind w:firstLine="720"/>
      <w:jc w:val="left"/>
      <w:textAlignment w:val="auto"/>
    </w:pPr>
    <w:rPr>
      <w:rFonts w:ascii="Arial" w:eastAsia="MS Mincho" w:hAnsi="Arial" w:cs="Arial"/>
      <w:sz w:val="22"/>
      <w:szCs w:val="24"/>
      <w:lang w:val="en-US"/>
    </w:rPr>
  </w:style>
  <w:style w:type="character" w:customStyle="1" w:styleId="BodyTextIndentChar">
    <w:name w:val="Body Text Indent Char"/>
    <w:basedOn w:val="DefaultParagraphFont"/>
    <w:link w:val="BodyTextIndent"/>
    <w:uiPriority w:val="99"/>
    <w:rsid w:val="00B07DA4"/>
    <w:rPr>
      <w:rFonts w:ascii="Arial" w:eastAsia="MS Mincho" w:hAnsi="Arial" w:cs="Arial"/>
      <w:sz w:val="22"/>
      <w:szCs w:val="24"/>
      <w:lang w:eastAsia="en-US"/>
    </w:rPr>
  </w:style>
  <w:style w:type="paragraph" w:styleId="BodyTextIndent2">
    <w:name w:val="Body Text Indent 2"/>
    <w:basedOn w:val="Normal"/>
    <w:link w:val="BodyTextIndent2Char"/>
    <w:uiPriority w:val="99"/>
    <w:rsid w:val="00B07DA4"/>
    <w:pPr>
      <w:tabs>
        <w:tab w:val="clear" w:pos="794"/>
        <w:tab w:val="clear" w:pos="1191"/>
        <w:tab w:val="clear" w:pos="1588"/>
        <w:tab w:val="clear" w:pos="1985"/>
      </w:tabs>
      <w:overflowPunct/>
      <w:spacing w:before="0"/>
      <w:ind w:left="180"/>
      <w:jc w:val="left"/>
      <w:textAlignment w:val="auto"/>
    </w:pPr>
    <w:rPr>
      <w:rFonts w:eastAsia="MS Mincho"/>
      <w:szCs w:val="24"/>
      <w:lang w:val="en-US"/>
    </w:rPr>
  </w:style>
  <w:style w:type="character" w:customStyle="1" w:styleId="BodyTextIndent2Char">
    <w:name w:val="Body Text Indent 2 Char"/>
    <w:basedOn w:val="DefaultParagraphFont"/>
    <w:link w:val="BodyTextIndent2"/>
    <w:uiPriority w:val="99"/>
    <w:rsid w:val="00B07DA4"/>
    <w:rPr>
      <w:rFonts w:eastAsia="MS Mincho"/>
      <w:sz w:val="24"/>
      <w:szCs w:val="24"/>
      <w:lang w:eastAsia="en-US"/>
    </w:rPr>
  </w:style>
  <w:style w:type="character" w:customStyle="1" w:styleId="NormalaftertitleChar">
    <w:name w:val="Normal_after_title Char"/>
    <w:basedOn w:val="DefaultParagraphFont"/>
    <w:link w:val="Normalaftertitle"/>
    <w:locked/>
    <w:rsid w:val="00B07DA4"/>
    <w:rPr>
      <w:sz w:val="24"/>
      <w:lang w:val="en-GB" w:eastAsia="en-US"/>
    </w:rPr>
  </w:style>
  <w:style w:type="character" w:customStyle="1" w:styleId="NoteChar">
    <w:name w:val="Note Char"/>
    <w:basedOn w:val="DefaultParagraphFont"/>
    <w:link w:val="Note"/>
    <w:qFormat/>
    <w:locked/>
    <w:rsid w:val="00B07DA4"/>
    <w:rPr>
      <w:sz w:val="22"/>
      <w:lang w:val="en-GB" w:eastAsia="en-US"/>
    </w:rPr>
  </w:style>
  <w:style w:type="paragraph" w:customStyle="1" w:styleId="TableTitle0">
    <w:name w:val="Table_Title"/>
    <w:basedOn w:val="Normal"/>
    <w:next w:val="Normal"/>
    <w:uiPriority w:val="99"/>
    <w:rsid w:val="00B07DA4"/>
    <w:pPr>
      <w:keepNext/>
      <w:tabs>
        <w:tab w:val="clear" w:pos="794"/>
        <w:tab w:val="clear" w:pos="1191"/>
        <w:tab w:val="clear" w:pos="1588"/>
        <w:tab w:val="clear" w:pos="1985"/>
      </w:tabs>
      <w:spacing w:before="0" w:after="113"/>
      <w:jc w:val="center"/>
    </w:pPr>
    <w:rPr>
      <w:rFonts w:eastAsia="MS Mincho"/>
      <w:b/>
      <w:sz w:val="18"/>
    </w:rPr>
  </w:style>
  <w:style w:type="paragraph" w:styleId="BodyTextIndent3">
    <w:name w:val="Body Text Indent 3"/>
    <w:basedOn w:val="Normal"/>
    <w:link w:val="BodyTextIndent3Char"/>
    <w:uiPriority w:val="99"/>
    <w:rsid w:val="00B07DA4"/>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sz w:val="21"/>
      <w:szCs w:val="24"/>
      <w:lang w:val="en-US" w:eastAsia="ja-JP"/>
    </w:rPr>
  </w:style>
  <w:style w:type="character" w:customStyle="1" w:styleId="BodyTextIndent3Char">
    <w:name w:val="Body Text Indent 3 Char"/>
    <w:basedOn w:val="DefaultParagraphFont"/>
    <w:link w:val="BodyTextIndent3"/>
    <w:uiPriority w:val="99"/>
    <w:rsid w:val="00B07DA4"/>
    <w:rPr>
      <w:rFonts w:ascii="Century" w:eastAsia="MS Mincho" w:hAnsi="Century"/>
      <w:kern w:val="2"/>
      <w:sz w:val="21"/>
      <w:szCs w:val="24"/>
      <w:lang w:eastAsia="ja-JP"/>
    </w:rPr>
  </w:style>
  <w:style w:type="paragraph" w:styleId="CommentSubject">
    <w:name w:val="annotation subject"/>
    <w:basedOn w:val="CommentText"/>
    <w:next w:val="CommentText"/>
    <w:link w:val="CommentSubjectChar"/>
    <w:uiPriority w:val="99"/>
    <w:rsid w:val="00B07DA4"/>
    <w:pPr>
      <w:tabs>
        <w:tab w:val="left" w:pos="1134"/>
        <w:tab w:val="left" w:pos="1871"/>
        <w:tab w:val="left" w:pos="2268"/>
      </w:tabs>
      <w:overflowPunct w:val="0"/>
      <w:autoSpaceDE w:val="0"/>
      <w:autoSpaceDN w:val="0"/>
      <w:adjustRightInd w:val="0"/>
      <w:spacing w:before="120"/>
      <w:textAlignment w:val="baseline"/>
    </w:pPr>
    <w:rPr>
      <w:b/>
      <w:bCs/>
      <w:lang w:val="en-GB"/>
    </w:rPr>
  </w:style>
  <w:style w:type="character" w:customStyle="1" w:styleId="CommentSubjectChar">
    <w:name w:val="Comment Subject Char"/>
    <w:basedOn w:val="CommentTextChar"/>
    <w:link w:val="CommentSubject"/>
    <w:uiPriority w:val="99"/>
    <w:rsid w:val="00B07DA4"/>
    <w:rPr>
      <w:rFonts w:eastAsia="MS Mincho"/>
      <w:b/>
      <w:bCs/>
      <w:lang w:val="en-GB" w:eastAsia="en-US"/>
    </w:rPr>
  </w:style>
  <w:style w:type="paragraph" w:styleId="PlainText">
    <w:name w:val="Plain Text"/>
    <w:basedOn w:val="Normal"/>
    <w:link w:val="PlainTextChar"/>
    <w:uiPriority w:val="99"/>
    <w:rsid w:val="00B07DA4"/>
    <w:pPr>
      <w:tabs>
        <w:tab w:val="clear" w:pos="794"/>
        <w:tab w:val="clear" w:pos="1191"/>
        <w:tab w:val="clear" w:pos="1588"/>
        <w:tab w:val="clear" w:pos="1985"/>
      </w:tabs>
      <w:spacing w:before="0"/>
      <w:jc w:val="left"/>
    </w:pPr>
    <w:rPr>
      <w:rFonts w:ascii="Courier New" w:eastAsia="MS Mincho" w:hAnsi="Courier New"/>
      <w:sz w:val="20"/>
      <w:lang w:val="en-US"/>
    </w:rPr>
  </w:style>
  <w:style w:type="character" w:customStyle="1" w:styleId="PlainTextChar">
    <w:name w:val="Plain Text Char"/>
    <w:basedOn w:val="DefaultParagraphFont"/>
    <w:link w:val="PlainText"/>
    <w:uiPriority w:val="99"/>
    <w:rsid w:val="00B07DA4"/>
    <w:rPr>
      <w:rFonts w:ascii="Courier New" w:eastAsia="MS Mincho" w:hAnsi="Courier New"/>
      <w:lang w:eastAsia="en-US"/>
    </w:rPr>
  </w:style>
  <w:style w:type="character" w:styleId="Strong">
    <w:name w:val="Strong"/>
    <w:uiPriority w:val="22"/>
    <w:qFormat/>
    <w:rsid w:val="00B07DA4"/>
    <w:rPr>
      <w:rFonts w:cs="Times New Roman"/>
      <w:b/>
      <w:bCs/>
    </w:rPr>
  </w:style>
  <w:style w:type="paragraph" w:styleId="Date">
    <w:name w:val="Date"/>
    <w:basedOn w:val="Normal"/>
    <w:next w:val="Normal"/>
    <w:link w:val="DateChar"/>
    <w:uiPriority w:val="99"/>
    <w:rsid w:val="00B07DA4"/>
    <w:pPr>
      <w:jc w:val="left"/>
    </w:pPr>
    <w:rPr>
      <w:rFonts w:eastAsia="MS Mincho"/>
    </w:rPr>
  </w:style>
  <w:style w:type="character" w:customStyle="1" w:styleId="DateChar">
    <w:name w:val="Date Char"/>
    <w:basedOn w:val="DefaultParagraphFont"/>
    <w:link w:val="Date"/>
    <w:uiPriority w:val="99"/>
    <w:rsid w:val="00B07DA4"/>
    <w:rPr>
      <w:rFonts w:eastAsia="MS Mincho"/>
      <w:sz w:val="24"/>
      <w:lang w:val="en-GB" w:eastAsia="en-US"/>
    </w:rPr>
  </w:style>
  <w:style w:type="paragraph" w:styleId="HTMLPreformatted">
    <w:name w:val="HTML Preformatted"/>
    <w:basedOn w:val="Normal"/>
    <w:link w:val="HTMLPreformattedChar"/>
    <w:uiPriority w:val="99"/>
    <w:rsid w:val="00B07DA4"/>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link w:val="HTMLPreformatted"/>
    <w:uiPriority w:val="99"/>
    <w:rsid w:val="00B07DA4"/>
    <w:rPr>
      <w:rFonts w:ascii="MS Gothic" w:eastAsia="MS Gothic" w:hAnsi="MS Gothic" w:cs="MS Gothic"/>
      <w:sz w:val="24"/>
      <w:szCs w:val="24"/>
      <w:lang w:eastAsia="ja-JP"/>
    </w:rPr>
  </w:style>
  <w:style w:type="paragraph" w:styleId="TOC9">
    <w:name w:val="toc 9"/>
    <w:basedOn w:val="Normal"/>
    <w:next w:val="Normal"/>
    <w:uiPriority w:val="39"/>
    <w:rsid w:val="00B07DA4"/>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DocumentMap">
    <w:name w:val="Document Map"/>
    <w:basedOn w:val="Normal"/>
    <w:link w:val="DocumentMapChar"/>
    <w:uiPriority w:val="99"/>
    <w:rsid w:val="00B07DA4"/>
    <w:pPr>
      <w:shd w:val="clear" w:color="auto" w:fill="000080"/>
      <w:tabs>
        <w:tab w:val="clear" w:pos="794"/>
        <w:tab w:val="clear" w:pos="1191"/>
        <w:tab w:val="clear" w:pos="1588"/>
        <w:tab w:val="clear" w:pos="1985"/>
      </w:tabs>
      <w:overflowPunct/>
      <w:autoSpaceDE/>
      <w:autoSpaceDN/>
      <w:adjustRightInd/>
      <w:spacing w:before="240"/>
      <w:textAlignment w:val="auto"/>
    </w:pPr>
    <w:rPr>
      <w:rFonts w:ascii="Tahoma" w:eastAsia="MS Mincho" w:hAnsi="Tahoma" w:cs="Tahoma"/>
      <w:sz w:val="20"/>
      <w:lang w:val="en-US"/>
    </w:rPr>
  </w:style>
  <w:style w:type="character" w:customStyle="1" w:styleId="DocumentMapChar">
    <w:name w:val="Document Map Char"/>
    <w:basedOn w:val="DefaultParagraphFont"/>
    <w:link w:val="DocumentMap"/>
    <w:uiPriority w:val="99"/>
    <w:rsid w:val="00B07DA4"/>
    <w:rPr>
      <w:rFonts w:ascii="Tahoma" w:eastAsia="MS Mincho" w:hAnsi="Tahoma" w:cs="Tahoma"/>
      <w:shd w:val="clear" w:color="auto" w:fill="000080"/>
      <w:lang w:eastAsia="en-US"/>
    </w:rPr>
  </w:style>
  <w:style w:type="paragraph" w:styleId="Caption">
    <w:name w:val="caption"/>
    <w:aliases w:val="cap,cap1,cap2,cap11,Caption Char,Caption Char1 Char,cap Char Char1,Caption Char Char1 Char,cap Char2"/>
    <w:basedOn w:val="Normal"/>
    <w:next w:val="Normal"/>
    <w:link w:val="CaptionChar1"/>
    <w:qFormat/>
    <w:rsid w:val="00B07DA4"/>
    <w:pPr>
      <w:tabs>
        <w:tab w:val="clear" w:pos="794"/>
        <w:tab w:val="clear" w:pos="1191"/>
        <w:tab w:val="clear" w:pos="1588"/>
        <w:tab w:val="clear" w:pos="1985"/>
      </w:tabs>
      <w:overflowPunct/>
      <w:autoSpaceDE/>
      <w:autoSpaceDN/>
      <w:adjustRightInd/>
      <w:spacing w:after="120" w:line="240" w:lineRule="atLeast"/>
      <w:jc w:val="center"/>
      <w:textAlignment w:val="auto"/>
    </w:pPr>
    <w:rPr>
      <w:rFonts w:eastAsia="MS Mincho"/>
      <w:i/>
      <w:sz w:val="22"/>
    </w:rPr>
  </w:style>
  <w:style w:type="paragraph" w:customStyle="1" w:styleId="Revision1">
    <w:name w:val="Revision1"/>
    <w:hidden/>
    <w:uiPriority w:val="99"/>
    <w:semiHidden/>
    <w:rsid w:val="00B07DA4"/>
    <w:rPr>
      <w:rFonts w:ascii="Times" w:eastAsia="MS Mincho" w:hAnsi="Times"/>
      <w:lang w:eastAsia="en-US"/>
    </w:rPr>
  </w:style>
  <w:style w:type="paragraph" w:styleId="EndnoteText">
    <w:name w:val="endnote text"/>
    <w:basedOn w:val="Normal"/>
    <w:link w:val="EndnoteTextChar"/>
    <w:rsid w:val="00B07DA4"/>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character" w:customStyle="1" w:styleId="EndnoteTextChar">
    <w:name w:val="Endnote Text Char"/>
    <w:basedOn w:val="DefaultParagraphFont"/>
    <w:link w:val="EndnoteText"/>
    <w:rsid w:val="00B07DA4"/>
    <w:rPr>
      <w:rFonts w:ascii="Times" w:eastAsia="MS Mincho" w:hAnsi="Times"/>
      <w:lang w:eastAsia="en-US"/>
    </w:rPr>
  </w:style>
  <w:style w:type="paragraph" w:styleId="List">
    <w:name w:val="List"/>
    <w:basedOn w:val="Normal"/>
    <w:rsid w:val="00B07DA4"/>
    <w:pPr>
      <w:ind w:left="283" w:hanging="283"/>
      <w:jc w:val="left"/>
    </w:pPr>
    <w:rPr>
      <w:rFonts w:eastAsia="MS Mincho"/>
    </w:rPr>
  </w:style>
  <w:style w:type="paragraph" w:styleId="Revision">
    <w:name w:val="Revision"/>
    <w:hidden/>
    <w:uiPriority w:val="99"/>
    <w:rsid w:val="00B07DA4"/>
    <w:rPr>
      <w:rFonts w:eastAsia="MS Mincho"/>
      <w:sz w:val="24"/>
      <w:lang w:val="en-GB" w:eastAsia="en-US"/>
    </w:rPr>
  </w:style>
  <w:style w:type="character" w:styleId="Emphasis">
    <w:name w:val="Emphasis"/>
    <w:uiPriority w:val="99"/>
    <w:qFormat/>
    <w:rsid w:val="00B07DA4"/>
    <w:rPr>
      <w:rFonts w:cs="Times New Roman"/>
      <w:b/>
      <w:bCs/>
    </w:rPr>
  </w:style>
  <w:style w:type="character" w:customStyle="1" w:styleId="CallChar">
    <w:name w:val="Call Char"/>
    <w:link w:val="Call"/>
    <w:locked/>
    <w:rsid w:val="00B07DA4"/>
    <w:rPr>
      <w:i/>
      <w:sz w:val="24"/>
      <w:lang w:val="en-GB" w:eastAsia="en-US"/>
    </w:rPr>
  </w:style>
  <w:style w:type="character" w:customStyle="1" w:styleId="AnnexNoChar">
    <w:name w:val="Annex_No Char"/>
    <w:link w:val="AnnexNo"/>
    <w:locked/>
    <w:rsid w:val="00B07DA4"/>
    <w:rPr>
      <w:rFonts w:eastAsia="MS Mincho"/>
      <w:sz w:val="28"/>
      <w:lang w:val="en-GB" w:eastAsia="en-US"/>
    </w:rPr>
  </w:style>
  <w:style w:type="numbering" w:styleId="111111">
    <w:name w:val="Outline List 2"/>
    <w:basedOn w:val="NoList"/>
    <w:uiPriority w:val="99"/>
    <w:unhideWhenUsed/>
    <w:rsid w:val="00B07DA4"/>
    <w:pPr>
      <w:numPr>
        <w:numId w:val="2"/>
      </w:numPr>
    </w:pPr>
  </w:style>
  <w:style w:type="character" w:styleId="PlaceholderText">
    <w:name w:val="Placeholder Text"/>
    <w:basedOn w:val="DefaultParagraphFont"/>
    <w:uiPriority w:val="99"/>
    <w:rsid w:val="00B07DA4"/>
    <w:rPr>
      <w:color w:val="808080"/>
    </w:rPr>
  </w:style>
  <w:style w:type="character" w:customStyle="1" w:styleId="CaptionChar1">
    <w:name w:val="Caption Char1"/>
    <w:aliases w:val="cap Char,cap1 Char,cap2 Char,cap11 Char,Caption Char Char,Caption Char1 Char Char,cap Char Char1 Char,Caption Char Char1 Char Char,cap Char2 Char"/>
    <w:link w:val="Caption"/>
    <w:rsid w:val="00B07DA4"/>
    <w:rPr>
      <w:rFonts w:eastAsia="MS Mincho"/>
      <w:i/>
      <w:sz w:val="22"/>
      <w:lang w:val="en-GB" w:eastAsia="en-US"/>
    </w:rPr>
  </w:style>
  <w:style w:type="character" w:customStyle="1" w:styleId="HeadingiChar">
    <w:name w:val="Heading_i Char"/>
    <w:basedOn w:val="DefaultParagraphFont"/>
    <w:link w:val="Headingi"/>
    <w:locked/>
    <w:rsid w:val="00B07DA4"/>
    <w:rPr>
      <w:i/>
      <w:sz w:val="24"/>
      <w:lang w:val="en-GB" w:eastAsia="en-US"/>
    </w:rPr>
  </w:style>
  <w:style w:type="character" w:customStyle="1" w:styleId="ArttitleChar">
    <w:name w:val="Art_title Char"/>
    <w:basedOn w:val="DefaultParagraphFont"/>
    <w:link w:val="Arttitle"/>
    <w:locked/>
    <w:rsid w:val="00B07DA4"/>
    <w:rPr>
      <w:b/>
      <w:sz w:val="28"/>
      <w:lang w:val="en-GB" w:eastAsia="en-US"/>
    </w:rPr>
  </w:style>
  <w:style w:type="character" w:customStyle="1" w:styleId="RestitleChar">
    <w:name w:val="Res_title Char"/>
    <w:basedOn w:val="DefaultParagraphFont"/>
    <w:link w:val="Restitle"/>
    <w:locked/>
    <w:rsid w:val="00B07DA4"/>
    <w:rPr>
      <w:b/>
      <w:sz w:val="28"/>
      <w:lang w:val="en-GB" w:eastAsia="en-US"/>
    </w:rPr>
  </w:style>
  <w:style w:type="paragraph" w:customStyle="1" w:styleId="1">
    <w:name w:val="変更箇所1"/>
    <w:hidden/>
    <w:semiHidden/>
    <w:rsid w:val="00B07DA4"/>
    <w:rPr>
      <w:rFonts w:eastAsia="SimSun"/>
      <w:sz w:val="24"/>
      <w:lang w:val="en-GB" w:eastAsia="en-US"/>
    </w:rPr>
  </w:style>
  <w:style w:type="character" w:customStyle="1" w:styleId="NormalIndentChar">
    <w:name w:val="Normal Indent Char"/>
    <w:basedOn w:val="DefaultParagraphFont"/>
    <w:link w:val="NormalIndent"/>
    <w:rsid w:val="00B07DA4"/>
    <w:rPr>
      <w:sz w:val="24"/>
      <w:lang w:val="en-GB" w:eastAsia="en-US"/>
    </w:rPr>
  </w:style>
  <w:style w:type="character" w:customStyle="1" w:styleId="ListParagraphChar">
    <w:name w:val="List Paragraph Char"/>
    <w:basedOn w:val="DefaultParagraphFont"/>
    <w:link w:val="ListParagraph"/>
    <w:uiPriority w:val="99"/>
    <w:rsid w:val="00B07DA4"/>
    <w:rPr>
      <w:rFonts w:eastAsia="Batang"/>
      <w:sz w:val="24"/>
      <w:lang w:val="en-GB" w:eastAsia="en-US"/>
    </w:rPr>
  </w:style>
  <w:style w:type="paragraph" w:styleId="BodyTextFirstIndent">
    <w:name w:val="Body Text First Indent"/>
    <w:basedOn w:val="BodyText"/>
    <w:link w:val="BodyTextFirstIndentChar"/>
    <w:rsid w:val="00B07DA4"/>
    <w:pPr>
      <w:tabs>
        <w:tab w:val="left" w:pos="1134"/>
        <w:tab w:val="left" w:pos="1871"/>
        <w:tab w:val="left" w:pos="2268"/>
      </w:tabs>
      <w:overflowPunct w:val="0"/>
      <w:autoSpaceDE w:val="0"/>
      <w:autoSpaceDN w:val="0"/>
      <w:adjustRightInd w:val="0"/>
      <w:spacing w:before="120" w:after="120"/>
      <w:ind w:firstLineChars="100" w:firstLine="420"/>
      <w:textAlignment w:val="baseline"/>
    </w:pPr>
    <w:rPr>
      <w:rFonts w:eastAsiaTheme="minorEastAsia"/>
      <w:b w:val="0"/>
      <w:bCs w:val="0"/>
      <w:szCs w:val="20"/>
      <w:lang w:val="en-GB"/>
    </w:rPr>
  </w:style>
  <w:style w:type="character" w:customStyle="1" w:styleId="BodyTextFirstIndentChar">
    <w:name w:val="Body Text First Indent Char"/>
    <w:basedOn w:val="BodyTextChar"/>
    <w:link w:val="BodyTextFirstIndent"/>
    <w:rsid w:val="00B07DA4"/>
    <w:rPr>
      <w:rFonts w:eastAsiaTheme="minorEastAsia"/>
      <w:b w:val="0"/>
      <w:bCs w:val="0"/>
      <w:sz w:val="24"/>
      <w:szCs w:val="24"/>
      <w:lang w:val="en-GB" w:eastAsia="en-US"/>
    </w:rPr>
  </w:style>
  <w:style w:type="paragraph" w:customStyle="1" w:styleId="Methodheading1">
    <w:name w:val="Method_heading1"/>
    <w:basedOn w:val="Heading1"/>
    <w:next w:val="Normal"/>
    <w:qFormat/>
    <w:rsid w:val="00B07DA4"/>
    <w:pPr>
      <w:tabs>
        <w:tab w:val="clear" w:pos="794"/>
        <w:tab w:val="clear" w:pos="1191"/>
        <w:tab w:val="clear" w:pos="1588"/>
        <w:tab w:val="clear" w:pos="1985"/>
        <w:tab w:val="left" w:pos="1134"/>
        <w:tab w:val="left" w:pos="1871"/>
        <w:tab w:val="left" w:pos="2268"/>
      </w:tabs>
      <w:spacing w:before="280"/>
      <w:ind w:left="1134" w:hanging="1134"/>
      <w:jc w:val="left"/>
    </w:pPr>
    <w:rPr>
      <w:rFonts w:eastAsia="MS Mincho"/>
      <w:sz w:val="28"/>
    </w:rPr>
  </w:style>
  <w:style w:type="paragraph" w:customStyle="1" w:styleId="Methodheading2">
    <w:name w:val="Method_heading2"/>
    <w:basedOn w:val="Heading2"/>
    <w:next w:val="Normal"/>
    <w:qFormat/>
    <w:rsid w:val="00B07DA4"/>
    <w:pPr>
      <w:tabs>
        <w:tab w:val="clear" w:pos="794"/>
        <w:tab w:val="clear" w:pos="1191"/>
        <w:tab w:val="clear" w:pos="1588"/>
        <w:tab w:val="clear" w:pos="1985"/>
        <w:tab w:val="left" w:pos="1134"/>
        <w:tab w:val="left" w:pos="1871"/>
        <w:tab w:val="left" w:pos="2268"/>
      </w:tabs>
      <w:spacing w:before="200"/>
      <w:ind w:left="1134" w:hanging="1134"/>
      <w:jc w:val="left"/>
    </w:pPr>
    <w:rPr>
      <w:rFonts w:eastAsia="MS Mincho"/>
    </w:rPr>
  </w:style>
  <w:style w:type="paragraph" w:customStyle="1" w:styleId="Methodheading3">
    <w:name w:val="Method_heading3"/>
    <w:basedOn w:val="Heading3"/>
    <w:next w:val="Normal"/>
    <w:qFormat/>
    <w:rsid w:val="00B07DA4"/>
    <w:pPr>
      <w:tabs>
        <w:tab w:val="clear" w:pos="794"/>
        <w:tab w:val="clear" w:pos="1191"/>
        <w:tab w:val="clear" w:pos="1588"/>
        <w:tab w:val="clear" w:pos="1985"/>
        <w:tab w:val="left" w:pos="1871"/>
        <w:tab w:val="left" w:pos="2268"/>
      </w:tabs>
      <w:ind w:left="1134" w:hanging="1134"/>
      <w:jc w:val="left"/>
    </w:pPr>
    <w:rPr>
      <w:rFonts w:eastAsia="MS Mincho"/>
    </w:rPr>
  </w:style>
  <w:style w:type="paragraph" w:customStyle="1" w:styleId="Methodheading4">
    <w:name w:val="Method_heading4"/>
    <w:basedOn w:val="Heading4"/>
    <w:next w:val="Normal"/>
    <w:qFormat/>
    <w:rsid w:val="00B07DA4"/>
    <w:pPr>
      <w:tabs>
        <w:tab w:val="clear" w:pos="992"/>
        <w:tab w:val="clear" w:pos="1191"/>
        <w:tab w:val="clear" w:pos="1588"/>
        <w:tab w:val="clear" w:pos="1985"/>
        <w:tab w:val="left" w:pos="1871"/>
        <w:tab w:val="left" w:pos="2268"/>
      </w:tabs>
      <w:ind w:left="1134" w:hanging="1134"/>
      <w:jc w:val="left"/>
    </w:pPr>
    <w:rPr>
      <w:rFonts w:eastAsia="MS Mincho"/>
    </w:rPr>
  </w:style>
  <w:style w:type="paragraph" w:customStyle="1" w:styleId="MethodHeadingb">
    <w:name w:val="Method_Headingb"/>
    <w:basedOn w:val="Headingb"/>
    <w:qFormat/>
    <w:rsid w:val="00B07DA4"/>
    <w:pPr>
      <w:tabs>
        <w:tab w:val="clear" w:pos="794"/>
        <w:tab w:val="clear" w:pos="1191"/>
        <w:tab w:val="clear" w:pos="1588"/>
        <w:tab w:val="clear" w:pos="1985"/>
      </w:tabs>
      <w:overflowPunct/>
      <w:autoSpaceDE/>
      <w:autoSpaceDN/>
      <w:adjustRightInd/>
      <w:spacing w:before="0"/>
      <w:jc w:val="left"/>
      <w:textAlignment w:val="auto"/>
    </w:pPr>
    <w:rPr>
      <w:rFonts w:ascii="Times New Roman Bold" w:eastAsia="MS Mincho" w:hAnsi="Times New Roman Bold" w:cs="Times New Roman Bold"/>
    </w:rPr>
  </w:style>
  <w:style w:type="paragraph" w:styleId="TOCHeading">
    <w:name w:val="TOC Heading"/>
    <w:basedOn w:val="Heading1"/>
    <w:next w:val="Normal"/>
    <w:uiPriority w:val="39"/>
    <w:unhideWhenUsed/>
    <w:qFormat/>
    <w:rsid w:val="00B07DA4"/>
    <w:pPr>
      <w:tabs>
        <w:tab w:val="clear" w:pos="794"/>
        <w:tab w:val="clear" w:pos="1191"/>
        <w:tab w:val="clear" w:pos="1588"/>
        <w:tab w:val="clear" w:pos="1985"/>
      </w:tabs>
      <w:overflowPunct/>
      <w:autoSpaceDE/>
      <w:autoSpaceDN/>
      <w:adjustRightInd/>
      <w:spacing w:before="240" w:line="256"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EditorsNote">
    <w:name w:val="EditorsNote"/>
    <w:basedOn w:val="Normal"/>
    <w:rsid w:val="00B07DA4"/>
    <w:pPr>
      <w:tabs>
        <w:tab w:val="clear" w:pos="794"/>
        <w:tab w:val="clear" w:pos="1191"/>
        <w:tab w:val="clear" w:pos="1588"/>
        <w:tab w:val="clear" w:pos="1985"/>
        <w:tab w:val="left" w:pos="1134"/>
        <w:tab w:val="left" w:pos="1871"/>
        <w:tab w:val="left" w:pos="2268"/>
      </w:tabs>
      <w:spacing w:before="240" w:after="240"/>
      <w:jc w:val="left"/>
    </w:pPr>
    <w:rPr>
      <w:rFonts w:eastAsia="MS Mincho"/>
      <w:i/>
      <w:iCs/>
    </w:rPr>
  </w:style>
  <w:style w:type="paragraph" w:customStyle="1" w:styleId="Figurewithlegend">
    <w:name w:val="Figure_with_legend"/>
    <w:basedOn w:val="Figure"/>
    <w:rsid w:val="00B07DA4"/>
    <w:pPr>
      <w:keepLines w:val="0"/>
      <w:tabs>
        <w:tab w:val="clear" w:pos="794"/>
        <w:tab w:val="clear" w:pos="1191"/>
        <w:tab w:val="clear" w:pos="1588"/>
        <w:tab w:val="clear" w:pos="1985"/>
        <w:tab w:val="left" w:pos="1134"/>
        <w:tab w:val="left" w:pos="1871"/>
        <w:tab w:val="left" w:pos="2268"/>
      </w:tabs>
      <w:spacing w:before="120"/>
    </w:pPr>
    <w:rPr>
      <w:rFonts w:eastAsia="MS Mincho"/>
      <w:caps w:val="0"/>
      <w:noProof/>
      <w:sz w:val="24"/>
      <w:lang w:val="en-US" w:eastAsia="zh-CN"/>
    </w:rPr>
  </w:style>
  <w:style w:type="paragraph" w:styleId="Signature">
    <w:name w:val="Signature"/>
    <w:basedOn w:val="Normal"/>
    <w:link w:val="SignatureChar"/>
    <w:unhideWhenUsed/>
    <w:rsid w:val="00B07DA4"/>
    <w:pPr>
      <w:tabs>
        <w:tab w:val="clear" w:pos="794"/>
        <w:tab w:val="clear" w:pos="1191"/>
        <w:tab w:val="clear" w:pos="1588"/>
        <w:tab w:val="clear" w:pos="1985"/>
        <w:tab w:val="center" w:pos="7371"/>
      </w:tabs>
      <w:spacing w:before="600"/>
      <w:jc w:val="left"/>
    </w:pPr>
    <w:rPr>
      <w:rFonts w:eastAsia="MS Mincho"/>
    </w:rPr>
  </w:style>
  <w:style w:type="character" w:customStyle="1" w:styleId="SignatureChar">
    <w:name w:val="Signature Char"/>
    <w:basedOn w:val="DefaultParagraphFont"/>
    <w:link w:val="Signature"/>
    <w:rsid w:val="00B07DA4"/>
    <w:rPr>
      <w:rFonts w:eastAsia="MS Mincho"/>
      <w:sz w:val="24"/>
      <w:lang w:val="en-GB" w:eastAsia="en-US"/>
    </w:rPr>
  </w:style>
  <w:style w:type="character" w:customStyle="1" w:styleId="enumlev10">
    <w:name w:val="enumlev1 Знак"/>
    <w:locked/>
    <w:rsid w:val="00B07DA4"/>
    <w:rPr>
      <w:rFonts w:ascii="Times New Roman" w:hAnsi="Times New Roman"/>
      <w:sz w:val="24"/>
      <w:lang w:val="en-GB" w:eastAsia="en-US"/>
    </w:rPr>
  </w:style>
  <w:style w:type="character" w:customStyle="1" w:styleId="EquationChar">
    <w:name w:val="Equation Char"/>
    <w:basedOn w:val="DefaultParagraphFont"/>
    <w:link w:val="Equation"/>
    <w:locked/>
    <w:rsid w:val="00B07DA4"/>
    <w:rPr>
      <w:sz w:val="24"/>
      <w:lang w:val="en-GB" w:eastAsia="en-US"/>
    </w:rPr>
  </w:style>
  <w:style w:type="character" w:customStyle="1" w:styleId="NormalaftertitleChar0">
    <w:name w:val="Normal after title Char"/>
    <w:basedOn w:val="DefaultParagraphFont"/>
    <w:link w:val="Normalaftertitle0"/>
    <w:rsid w:val="00B07DA4"/>
    <w:rPr>
      <w:rFonts w:eastAsia="MS Mincho"/>
      <w:sz w:val="24"/>
      <w:lang w:val="en-GB" w:eastAsia="en-US"/>
    </w:rPr>
  </w:style>
  <w:style w:type="character" w:customStyle="1" w:styleId="FigureNoChar">
    <w:name w:val="Figure_No Char"/>
    <w:locked/>
    <w:rsid w:val="00B07DA4"/>
    <w:rPr>
      <w:rFonts w:ascii="Times New Roman" w:hAnsi="Times New Roman"/>
      <w:lang w:val="en-GB" w:eastAsia="en-US"/>
    </w:rPr>
  </w:style>
  <w:style w:type="character" w:customStyle="1" w:styleId="AnnexNoCar">
    <w:name w:val="Annex_No Car"/>
    <w:locked/>
    <w:rsid w:val="00B07DA4"/>
    <w:rPr>
      <w:rFonts w:ascii="Times New Roman" w:hAnsi="Times New Roman"/>
      <w:sz w:val="28"/>
      <w:lang w:val="en-GB" w:eastAsia="en-US"/>
    </w:rPr>
  </w:style>
  <w:style w:type="character" w:customStyle="1" w:styleId="Rectitle0">
    <w:name w:val="Rec_title Знак"/>
    <w:locked/>
    <w:rsid w:val="00B07DA4"/>
    <w:rPr>
      <w:rFonts w:ascii="Times New Roman Bold" w:hAnsi="Times New Roman Bold"/>
      <w:b/>
      <w:sz w:val="28"/>
      <w:lang w:val="en-GB" w:eastAsia="en-US"/>
    </w:rPr>
  </w:style>
  <w:style w:type="character" w:customStyle="1" w:styleId="Recdef">
    <w:name w:val="Rec_def"/>
    <w:basedOn w:val="DefaultParagraphFont"/>
    <w:rsid w:val="00B07DA4"/>
    <w:rPr>
      <w:b/>
    </w:rPr>
  </w:style>
  <w:style w:type="character" w:customStyle="1" w:styleId="Resdef">
    <w:name w:val="Res_def"/>
    <w:basedOn w:val="DefaultParagraphFont"/>
    <w:rsid w:val="00B07DA4"/>
    <w:rPr>
      <w:rFonts w:ascii="Times New Roman" w:hAnsi="Times New Roman"/>
      <w:b/>
    </w:rPr>
  </w:style>
  <w:style w:type="character" w:customStyle="1" w:styleId="CommentSubjectChar1">
    <w:name w:val="Comment Subject Char1"/>
    <w:basedOn w:val="CommentTextChar"/>
    <w:semiHidden/>
    <w:rsid w:val="00B07DA4"/>
    <w:rPr>
      <w:rFonts w:ascii="Times New Roman" w:eastAsia="MS Mincho" w:hAnsi="Times New Roman"/>
      <w:b/>
      <w:bCs/>
      <w:lang w:val="en-GB" w:eastAsia="en-US"/>
    </w:rPr>
  </w:style>
  <w:style w:type="character" w:customStyle="1" w:styleId="BalloonTextChar1">
    <w:name w:val="Balloon Text Char1"/>
    <w:basedOn w:val="DefaultParagraphFont"/>
    <w:semiHidden/>
    <w:rsid w:val="00B07DA4"/>
    <w:rPr>
      <w:rFonts w:ascii="Segoe UI" w:hAnsi="Segoe UI" w:cs="Segoe UI"/>
      <w:sz w:val="18"/>
      <w:szCs w:val="18"/>
      <w:lang w:val="en-GB" w:eastAsia="en-US"/>
    </w:rPr>
  </w:style>
  <w:style w:type="character" w:customStyle="1" w:styleId="EndnoteTextChar1">
    <w:name w:val="Endnote Text Char1"/>
    <w:basedOn w:val="DefaultParagraphFont"/>
    <w:semiHidden/>
    <w:rsid w:val="00B07DA4"/>
    <w:rPr>
      <w:rFonts w:ascii="Times New Roman" w:hAnsi="Times New Roman"/>
      <w:lang w:val="en-GB" w:eastAsia="en-US"/>
    </w:rPr>
  </w:style>
  <w:style w:type="character" w:customStyle="1" w:styleId="HTMLPreformattedChar1">
    <w:name w:val="HTML Preformatted Char1"/>
    <w:basedOn w:val="DefaultParagraphFont"/>
    <w:semiHidden/>
    <w:rsid w:val="00B07DA4"/>
    <w:rPr>
      <w:rFonts w:ascii="Consolas" w:hAnsi="Consolas"/>
      <w:lang w:val="en-GB" w:eastAsia="en-US"/>
    </w:rPr>
  </w:style>
  <w:style w:type="paragraph" w:customStyle="1" w:styleId="Rec">
    <w:name w:val="Rec_#"/>
    <w:basedOn w:val="Normal"/>
    <w:next w:val="RecTitle1"/>
    <w:rsid w:val="00B07DA4"/>
    <w:pPr>
      <w:keepNext/>
      <w:keepLines/>
      <w:tabs>
        <w:tab w:val="clear" w:pos="794"/>
        <w:tab w:val="clear" w:pos="1191"/>
        <w:tab w:val="clear" w:pos="1588"/>
        <w:tab w:val="clear" w:pos="1985"/>
        <w:tab w:val="center" w:pos="4849"/>
        <w:tab w:val="right" w:pos="9696"/>
      </w:tabs>
      <w:spacing w:before="720"/>
      <w:jc w:val="center"/>
    </w:pPr>
    <w:rPr>
      <w:rFonts w:eastAsia="Batang"/>
      <w:sz w:val="20"/>
      <w:lang w:eastAsia="fr-FR"/>
    </w:rPr>
  </w:style>
  <w:style w:type="paragraph" w:customStyle="1" w:styleId="RecTitle1">
    <w:name w:val="Rec_Title"/>
    <w:basedOn w:val="Rec"/>
    <w:next w:val="RecTitleRef"/>
    <w:rsid w:val="00B07DA4"/>
    <w:pPr>
      <w:spacing w:before="180"/>
    </w:pPr>
    <w:rPr>
      <w:b/>
    </w:rPr>
  </w:style>
  <w:style w:type="paragraph" w:customStyle="1" w:styleId="RecTitleRef">
    <w:name w:val="Rec_Title/Ref"/>
    <w:basedOn w:val="RecTitle1"/>
    <w:next w:val="RecTitleDate"/>
    <w:rsid w:val="00B07DA4"/>
    <w:pPr>
      <w:spacing w:before="136"/>
    </w:pPr>
    <w:rPr>
      <w:b w:val="0"/>
    </w:rPr>
  </w:style>
  <w:style w:type="paragraph" w:customStyle="1" w:styleId="RecTitleDate">
    <w:name w:val="Rec_Title/Date"/>
    <w:basedOn w:val="RecTitleRef"/>
    <w:next w:val="headfoot"/>
    <w:rsid w:val="00B07DA4"/>
    <w:pPr>
      <w:tabs>
        <w:tab w:val="clear" w:pos="4849"/>
      </w:tabs>
      <w:jc w:val="right"/>
    </w:pPr>
  </w:style>
  <w:style w:type="paragraph" w:customStyle="1" w:styleId="headfoot">
    <w:name w:val="head_foot"/>
    <w:basedOn w:val="Normal"/>
    <w:next w:val="Normalaftertitle0"/>
    <w:rsid w:val="00B07DA4"/>
    <w:pPr>
      <w:tabs>
        <w:tab w:val="clear" w:pos="794"/>
        <w:tab w:val="clear" w:pos="1191"/>
        <w:tab w:val="clear" w:pos="1588"/>
        <w:tab w:val="clear" w:pos="1985"/>
      </w:tabs>
      <w:spacing w:before="0"/>
    </w:pPr>
    <w:rPr>
      <w:rFonts w:eastAsia="Batang"/>
      <w:color w:val="FF0000"/>
      <w:sz w:val="8"/>
      <w:lang w:eastAsia="fr-FR"/>
    </w:rPr>
  </w:style>
  <w:style w:type="paragraph" w:customStyle="1" w:styleId="Table-text">
    <w:name w:val="Table-text"/>
    <w:basedOn w:val="Tabletext"/>
    <w:rsid w:val="00B07DA4"/>
    <w:pPr>
      <w:tabs>
        <w:tab w:val="left" w:pos="1871"/>
      </w:tabs>
      <w:jc w:val="center"/>
      <w:textAlignment w:val="auto"/>
    </w:pPr>
    <w:rPr>
      <w:rFonts w:eastAsia="Batang"/>
      <w:sz w:val="20"/>
    </w:rPr>
  </w:style>
  <w:style w:type="character" w:customStyle="1" w:styleId="AppendixNoChar">
    <w:name w:val="Appendix_No Char"/>
    <w:basedOn w:val="DefaultParagraphFont"/>
    <w:link w:val="AppendixNo"/>
    <w:locked/>
    <w:rsid w:val="00B07DA4"/>
    <w:rPr>
      <w:rFonts w:eastAsia="MS Mincho"/>
      <w:sz w:val="28"/>
      <w:lang w:val="en-GB" w:eastAsia="en-US"/>
    </w:rPr>
  </w:style>
  <w:style w:type="character" w:customStyle="1" w:styleId="UnresolvedMention2">
    <w:name w:val="Unresolved Mention2"/>
    <w:basedOn w:val="DefaultParagraphFont"/>
    <w:uiPriority w:val="99"/>
    <w:semiHidden/>
    <w:unhideWhenUsed/>
    <w:rsid w:val="00B07DA4"/>
    <w:rPr>
      <w:color w:val="605E5C"/>
      <w:shd w:val="clear" w:color="auto" w:fill="E1DFDD"/>
    </w:rPr>
  </w:style>
  <w:style w:type="character" w:customStyle="1" w:styleId="10">
    <w:name w:val="확인되지 않은 멘션1"/>
    <w:basedOn w:val="DefaultParagraphFont"/>
    <w:uiPriority w:val="99"/>
    <w:semiHidden/>
    <w:unhideWhenUsed/>
    <w:rsid w:val="00B07DA4"/>
    <w:rPr>
      <w:color w:val="605E5C"/>
      <w:shd w:val="clear" w:color="auto" w:fill="E1DFDD"/>
    </w:rPr>
  </w:style>
  <w:style w:type="character" w:customStyle="1" w:styleId="UnresolvedMention3">
    <w:name w:val="Unresolved Mention3"/>
    <w:basedOn w:val="DefaultParagraphFont"/>
    <w:uiPriority w:val="99"/>
    <w:semiHidden/>
    <w:unhideWhenUsed/>
    <w:rsid w:val="00B07DA4"/>
    <w:rPr>
      <w:color w:val="605E5C"/>
      <w:shd w:val="clear" w:color="auto" w:fill="E1DFDD"/>
    </w:rPr>
  </w:style>
  <w:style w:type="character" w:customStyle="1" w:styleId="icon-label">
    <w:name w:val="icon-label"/>
    <w:basedOn w:val="DefaultParagraphFont"/>
    <w:rsid w:val="0086339D"/>
  </w:style>
  <w:style w:type="character" w:customStyle="1" w:styleId="Normalaftertitle1">
    <w:name w:val="Normal_after_title (文字)"/>
    <w:qFormat/>
    <w:rsid w:val="0086339D"/>
    <w:rPr>
      <w:rFonts w:ascii="Times New Roman" w:hAnsi="Times New Roman"/>
      <w:sz w:val="24"/>
      <w:lang w:val="fr-FR" w:eastAsia="en-US"/>
    </w:rPr>
  </w:style>
  <w:style w:type="character" w:customStyle="1" w:styleId="fontstyle01">
    <w:name w:val="fontstyle01"/>
    <w:basedOn w:val="DefaultParagraphFont"/>
    <w:rsid w:val="0086339D"/>
    <w:rPr>
      <w:rFonts w:ascii="Bold" w:hAnsi="Bold" w:hint="default"/>
      <w:b/>
      <w:bCs/>
      <w:i w:val="0"/>
      <w:iCs w:val="0"/>
      <w:color w:val="000000"/>
      <w:sz w:val="22"/>
      <w:szCs w:val="22"/>
    </w:rPr>
  </w:style>
  <w:style w:type="character" w:customStyle="1" w:styleId="CommentTextChar1">
    <w:name w:val="Comment Text Char1"/>
    <w:basedOn w:val="DefaultParagraphFont"/>
    <w:semiHidden/>
    <w:rsid w:val="0086339D"/>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00698">
      <w:bodyDiv w:val="1"/>
      <w:marLeft w:val="0"/>
      <w:marRight w:val="0"/>
      <w:marTop w:val="0"/>
      <w:marBottom w:val="0"/>
      <w:divBdr>
        <w:top w:val="none" w:sz="0" w:space="0" w:color="auto"/>
        <w:left w:val="none" w:sz="0" w:space="0" w:color="auto"/>
        <w:bottom w:val="none" w:sz="0" w:space="0" w:color="auto"/>
        <w:right w:val="none" w:sz="0" w:space="0" w:color="auto"/>
      </w:divBdr>
    </w:div>
    <w:div w:id="168328946">
      <w:bodyDiv w:val="1"/>
      <w:marLeft w:val="0"/>
      <w:marRight w:val="0"/>
      <w:marTop w:val="0"/>
      <w:marBottom w:val="0"/>
      <w:divBdr>
        <w:top w:val="none" w:sz="0" w:space="0" w:color="auto"/>
        <w:left w:val="none" w:sz="0" w:space="0" w:color="auto"/>
        <w:bottom w:val="none" w:sz="0" w:space="0" w:color="auto"/>
        <w:right w:val="none" w:sz="0" w:space="0" w:color="auto"/>
      </w:divBdr>
    </w:div>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 w:id="177485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itu-t/recommendations/rec.aspx?rec=14571" TargetMode="External"/><Relationship Id="rId21" Type="http://schemas.openxmlformats.org/officeDocument/2006/relationships/hyperlink" Target="https://www.itu.int/itu-t/recommendations/rec.aspx?rec=14568" TargetMode="External"/><Relationship Id="rId42" Type="http://schemas.openxmlformats.org/officeDocument/2006/relationships/image" Target="media/image12.wmf"/><Relationship Id="rId47" Type="http://schemas.openxmlformats.org/officeDocument/2006/relationships/image" Target="media/image13.wmf"/><Relationship Id="rId63" Type="http://schemas.openxmlformats.org/officeDocument/2006/relationships/image" Target="media/image27.emf"/><Relationship Id="rId68" Type="http://schemas.openxmlformats.org/officeDocument/2006/relationships/image" Target="media/image32.emf"/><Relationship Id="rId84" Type="http://schemas.openxmlformats.org/officeDocument/2006/relationships/image" Target="media/image48.emf"/><Relationship Id="rId89" Type="http://schemas.openxmlformats.org/officeDocument/2006/relationships/image" Target="media/image51.wmf"/><Relationship Id="rId112" Type="http://schemas.openxmlformats.org/officeDocument/2006/relationships/footer" Target="footer3.xml"/><Relationship Id="rId16" Type="http://schemas.openxmlformats.org/officeDocument/2006/relationships/hyperlink" Target="https://www.itu.int/rec/R-REC-BS/recommendation.asp?lang=en&amp;parent=R-REC-BS.1195" TargetMode="External"/><Relationship Id="rId107" Type="http://schemas.openxmlformats.org/officeDocument/2006/relationships/hyperlink" Target="https://www.etsi.org/deliver/etsi_tr/102400_102499/102457/02.01.00_60/tr_102457v020100p.pdf" TargetMode="External"/><Relationship Id="rId11" Type="http://schemas.openxmlformats.org/officeDocument/2006/relationships/hyperlink" Target="http://www.itu.int/ITU-R/go/patents/es" TargetMode="External"/><Relationship Id="rId32" Type="http://schemas.openxmlformats.org/officeDocument/2006/relationships/oleObject" Target="embeddings/oleObject4.bin"/><Relationship Id="rId37" Type="http://schemas.openxmlformats.org/officeDocument/2006/relationships/oleObject" Target="embeddings/oleObject6.bin"/><Relationship Id="rId53" Type="http://schemas.openxmlformats.org/officeDocument/2006/relationships/image" Target="media/image18.emf"/><Relationship Id="rId58" Type="http://schemas.openxmlformats.org/officeDocument/2006/relationships/image" Target="media/image23.png"/><Relationship Id="rId74" Type="http://schemas.openxmlformats.org/officeDocument/2006/relationships/image" Target="media/image38.png"/><Relationship Id="rId79" Type="http://schemas.openxmlformats.org/officeDocument/2006/relationships/image" Target="media/image43.emf"/><Relationship Id="rId102" Type="http://schemas.openxmlformats.org/officeDocument/2006/relationships/hyperlink" Target="https://www.icnirp.org/cms/upload/publications/ICNIRPrfgdl2020.pdf" TargetMode="External"/><Relationship Id="rId5" Type="http://schemas.openxmlformats.org/officeDocument/2006/relationships/webSettings" Target="webSettings.xml"/><Relationship Id="rId90" Type="http://schemas.openxmlformats.org/officeDocument/2006/relationships/oleObject" Target="embeddings/oleObject14.bin"/><Relationship Id="rId95" Type="http://schemas.openxmlformats.org/officeDocument/2006/relationships/oleObject" Target="embeddings/oleObject16.bin"/><Relationship Id="rId22" Type="http://schemas.openxmlformats.org/officeDocument/2006/relationships/hyperlink" Target="https://www.itu.int/itu-t/recommendations/rec.aspx?rec=14875" TargetMode="External"/><Relationship Id="rId27" Type="http://schemas.openxmlformats.org/officeDocument/2006/relationships/image" Target="media/image3.wmf"/><Relationship Id="rId43" Type="http://schemas.openxmlformats.org/officeDocument/2006/relationships/oleObject" Target="embeddings/oleObject9.bin"/><Relationship Id="rId48" Type="http://schemas.openxmlformats.org/officeDocument/2006/relationships/oleObject" Target="embeddings/oleObject10.bin"/><Relationship Id="rId64" Type="http://schemas.openxmlformats.org/officeDocument/2006/relationships/image" Target="media/image28.png"/><Relationship Id="rId69" Type="http://schemas.openxmlformats.org/officeDocument/2006/relationships/image" Target="media/image33.emf"/><Relationship Id="rId113" Type="http://schemas.openxmlformats.org/officeDocument/2006/relationships/footer" Target="footer4.xml"/><Relationship Id="rId80" Type="http://schemas.openxmlformats.org/officeDocument/2006/relationships/image" Target="media/image44.emf"/><Relationship Id="rId85" Type="http://schemas.openxmlformats.org/officeDocument/2006/relationships/image" Target="media/image49.wmf"/><Relationship Id="rId12" Type="http://schemas.openxmlformats.org/officeDocument/2006/relationships/hyperlink" Target="https://www.itu.int/publ/R-REC/es" TargetMode="External"/><Relationship Id="rId17" Type="http://schemas.openxmlformats.org/officeDocument/2006/relationships/hyperlink" Target="https://www.itu.int/rec/R-REC-BS/recommendation.asp?lang=en&amp;parent=R-REC-BS.1386" TargetMode="External"/><Relationship Id="rId33" Type="http://schemas.openxmlformats.org/officeDocument/2006/relationships/image" Target="media/image7.wmf"/><Relationship Id="rId38" Type="http://schemas.openxmlformats.org/officeDocument/2006/relationships/image" Target="media/image10.wmf"/><Relationship Id="rId59" Type="http://schemas.openxmlformats.org/officeDocument/2006/relationships/image" Target="media/image24.wmf"/><Relationship Id="rId103" Type="http://schemas.openxmlformats.org/officeDocument/2006/relationships/hyperlink" Target="https://www.icnirp.org/cms/upload/publications/ICNIRPLFgdl.pdf" TargetMode="External"/><Relationship Id="rId108" Type="http://schemas.openxmlformats.org/officeDocument/2006/relationships/hyperlink" Target="https://standards.iteh.ai/catalog/standards/clc/daced679-1d20-4f67-8425-f87d5a53c9dc/en-50496-2018" TargetMode="External"/><Relationship Id="rId54" Type="http://schemas.openxmlformats.org/officeDocument/2006/relationships/image" Target="media/image19.emf"/><Relationship Id="rId70" Type="http://schemas.openxmlformats.org/officeDocument/2006/relationships/image" Target="media/image34.emf"/><Relationship Id="rId75" Type="http://schemas.openxmlformats.org/officeDocument/2006/relationships/image" Target="media/image39.png"/><Relationship Id="rId91" Type="http://schemas.openxmlformats.org/officeDocument/2006/relationships/image" Target="media/image52.wmf"/><Relationship Id="rId96" Type="http://schemas.openxmlformats.org/officeDocument/2006/relationships/image" Target="media/image55.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BS.705/en" TargetMode="External"/><Relationship Id="rId23" Type="http://schemas.openxmlformats.org/officeDocument/2006/relationships/hyperlink" Target="https://www.itu.int/itu-t/recommendations/rec.aspx?rec=12666" TargetMode="External"/><Relationship Id="rId28" Type="http://schemas.openxmlformats.org/officeDocument/2006/relationships/oleObject" Target="embeddings/oleObject1.bin"/><Relationship Id="rId36" Type="http://schemas.openxmlformats.org/officeDocument/2006/relationships/image" Target="media/image9.wmf"/><Relationship Id="rId49" Type="http://schemas.openxmlformats.org/officeDocument/2006/relationships/image" Target="media/image14.png"/><Relationship Id="rId57" Type="http://schemas.openxmlformats.org/officeDocument/2006/relationships/image" Target="media/image22.png"/><Relationship Id="rId106" Type="http://schemas.openxmlformats.org/officeDocument/2006/relationships/hyperlink" Target="https://www.who.int/news-room/questions-and-answers/item/radiation-5g-mobile-networks-and-health" TargetMode="External"/><Relationship Id="rId114"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6.wmf"/><Relationship Id="rId44" Type="http://schemas.openxmlformats.org/officeDocument/2006/relationships/hyperlink" Target="https://www.itu.int/rec/R-REC-BS/recommendation.asp?lang=en&amp;parent=R-REC-BS.1386" TargetMode="External"/><Relationship Id="rId52" Type="http://schemas.openxmlformats.org/officeDocument/2006/relationships/image" Target="media/image17.png"/><Relationship Id="rId60" Type="http://schemas.openxmlformats.org/officeDocument/2006/relationships/oleObject" Target="embeddings/oleObject11.bin"/><Relationship Id="rId65" Type="http://schemas.openxmlformats.org/officeDocument/2006/relationships/image" Target="media/image29.png"/><Relationship Id="rId73" Type="http://schemas.openxmlformats.org/officeDocument/2006/relationships/image" Target="media/image37.emf"/><Relationship Id="rId78" Type="http://schemas.openxmlformats.org/officeDocument/2006/relationships/image" Target="media/image42.emf"/><Relationship Id="rId81" Type="http://schemas.openxmlformats.org/officeDocument/2006/relationships/image" Target="media/image45.emf"/><Relationship Id="rId86" Type="http://schemas.openxmlformats.org/officeDocument/2006/relationships/oleObject" Target="embeddings/oleObject12.bin"/><Relationship Id="rId94" Type="http://schemas.openxmlformats.org/officeDocument/2006/relationships/image" Target="media/image54.wmf"/><Relationship Id="rId99" Type="http://schemas.openxmlformats.org/officeDocument/2006/relationships/oleObject" Target="embeddings/oleObject18.bin"/><Relationship Id="rId101" Type="http://schemas.openxmlformats.org/officeDocument/2006/relationships/oleObject" Target="embeddings/oleObject19.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hyperlink" Target="https://www.itu.int/pub/R-REP-SM.2452/es" TargetMode="External"/><Relationship Id="rId39" Type="http://schemas.openxmlformats.org/officeDocument/2006/relationships/oleObject" Target="embeddings/oleObject7.bin"/><Relationship Id="rId109" Type="http://schemas.openxmlformats.org/officeDocument/2006/relationships/hyperlink" Target="https://standards.iteh.ai/catalog/standards/clc/064859e0-6f95-40cb-84a2-257bd3eff685/en-50554-2021" TargetMode="External"/><Relationship Id="rId34" Type="http://schemas.openxmlformats.org/officeDocument/2006/relationships/oleObject" Target="embeddings/oleObject5.bin"/><Relationship Id="rId50" Type="http://schemas.openxmlformats.org/officeDocument/2006/relationships/image" Target="media/image15.emf"/><Relationship Id="rId55" Type="http://schemas.openxmlformats.org/officeDocument/2006/relationships/image" Target="media/image20.png"/><Relationship Id="rId76" Type="http://schemas.openxmlformats.org/officeDocument/2006/relationships/image" Target="media/image40.png"/><Relationship Id="rId97" Type="http://schemas.openxmlformats.org/officeDocument/2006/relationships/oleObject" Target="embeddings/oleObject17.bin"/><Relationship Id="rId104" Type="http://schemas.openxmlformats.org/officeDocument/2006/relationships/hyperlink" Target="https://standards.ieee.org/ieee/C95.1/4940/" TargetMode="External"/><Relationship Id="rId7" Type="http://schemas.openxmlformats.org/officeDocument/2006/relationships/endnotes" Target="endnotes.xml"/><Relationship Id="rId71" Type="http://schemas.openxmlformats.org/officeDocument/2006/relationships/image" Target="media/image35.emf"/><Relationship Id="rId92" Type="http://schemas.openxmlformats.org/officeDocument/2006/relationships/oleObject" Target="embeddings/oleObject15.bin"/><Relationship Id="rId2" Type="http://schemas.openxmlformats.org/officeDocument/2006/relationships/numbering" Target="numbering.xml"/><Relationship Id="rId29" Type="http://schemas.openxmlformats.org/officeDocument/2006/relationships/image" Target="media/image5.wmf"/><Relationship Id="rId24" Type="http://schemas.openxmlformats.org/officeDocument/2006/relationships/hyperlink" Target="https://www.itu.int/itu-t/recommendations/rec.aspx?rec=13137" TargetMode="External"/><Relationship Id="rId40" Type="http://schemas.openxmlformats.org/officeDocument/2006/relationships/image" Target="media/image11.wmf"/><Relationship Id="rId45" Type="http://schemas.openxmlformats.org/officeDocument/2006/relationships/hyperlink" Target="https://www.itu.int/rec/R-REC-BS/recommendation.asp?lang=en&amp;parent=R-REC-BS.705" TargetMode="External"/><Relationship Id="rId66" Type="http://schemas.openxmlformats.org/officeDocument/2006/relationships/image" Target="media/image30.png"/><Relationship Id="rId87" Type="http://schemas.openxmlformats.org/officeDocument/2006/relationships/image" Target="media/image50.wmf"/><Relationship Id="rId110" Type="http://schemas.openxmlformats.org/officeDocument/2006/relationships/header" Target="header5.xml"/><Relationship Id="rId115" Type="http://schemas.microsoft.com/office/2011/relationships/people" Target="people.xml"/><Relationship Id="rId61" Type="http://schemas.openxmlformats.org/officeDocument/2006/relationships/image" Target="media/image25.png"/><Relationship Id="rId82" Type="http://schemas.openxmlformats.org/officeDocument/2006/relationships/image" Target="media/image46.emf"/><Relationship Id="rId19" Type="http://schemas.openxmlformats.org/officeDocument/2006/relationships/hyperlink" Target="https://www.itu.int/itu-t/recommendations/rec.aspx?rec=14724" TargetMode="External"/><Relationship Id="rId14" Type="http://schemas.openxmlformats.org/officeDocument/2006/relationships/header" Target="header4.xml"/><Relationship Id="rId30" Type="http://schemas.openxmlformats.org/officeDocument/2006/relationships/oleObject" Target="embeddings/oleObject3.bin"/><Relationship Id="rId35" Type="http://schemas.openxmlformats.org/officeDocument/2006/relationships/image" Target="media/image8.emf"/><Relationship Id="rId56" Type="http://schemas.openxmlformats.org/officeDocument/2006/relationships/image" Target="media/image21.png"/><Relationship Id="rId77" Type="http://schemas.openxmlformats.org/officeDocument/2006/relationships/image" Target="media/image41.emf"/><Relationship Id="rId100" Type="http://schemas.openxmlformats.org/officeDocument/2006/relationships/image" Target="media/image57.wmf"/><Relationship Id="rId105" Type="http://schemas.openxmlformats.org/officeDocument/2006/relationships/hyperlink" Target="https://mazar.atwebpages.com/Downloads/WileyChapter9RF-EMF_HumanHazards_MazarJanuary2021.pdf" TargetMode="External"/><Relationship Id="rId8" Type="http://schemas.openxmlformats.org/officeDocument/2006/relationships/header" Target="header1.xml"/><Relationship Id="rId51" Type="http://schemas.openxmlformats.org/officeDocument/2006/relationships/image" Target="media/image16.emf"/><Relationship Id="rId72" Type="http://schemas.openxmlformats.org/officeDocument/2006/relationships/image" Target="media/image36.emf"/><Relationship Id="rId93" Type="http://schemas.openxmlformats.org/officeDocument/2006/relationships/image" Target="media/image53.png"/><Relationship Id="rId98" Type="http://schemas.openxmlformats.org/officeDocument/2006/relationships/image" Target="media/image56.wmf"/><Relationship Id="rId3" Type="http://schemas.openxmlformats.org/officeDocument/2006/relationships/styles" Target="styles.xml"/><Relationship Id="rId25" Type="http://schemas.openxmlformats.org/officeDocument/2006/relationships/hyperlink" Target="https://www.itu.int/itu-t/recommendations/rec.aspx?rec=13138" TargetMode="External"/><Relationship Id="rId46" Type="http://schemas.openxmlformats.org/officeDocument/2006/relationships/hyperlink" Target="https://www.itu.int/rec/R-REC-BS/recommendation.asp?lang=en&amp;parent=R-REC-BS.1195" TargetMode="External"/><Relationship Id="rId67" Type="http://schemas.openxmlformats.org/officeDocument/2006/relationships/image" Target="media/image31.emf"/><Relationship Id="rId116" Type="http://schemas.openxmlformats.org/officeDocument/2006/relationships/theme" Target="theme/theme1.xml"/><Relationship Id="rId20" Type="http://schemas.openxmlformats.org/officeDocument/2006/relationships/hyperlink" Target="https://www.itu.int/itu-t/recommendations/rec.aspx?rec=13447" TargetMode="External"/><Relationship Id="rId41" Type="http://schemas.openxmlformats.org/officeDocument/2006/relationships/oleObject" Target="embeddings/oleObject8.bin"/><Relationship Id="rId62" Type="http://schemas.openxmlformats.org/officeDocument/2006/relationships/image" Target="media/image26.png"/><Relationship Id="rId83" Type="http://schemas.openxmlformats.org/officeDocument/2006/relationships/image" Target="media/image47.emf"/><Relationship Id="rId88" Type="http://schemas.openxmlformats.org/officeDocument/2006/relationships/oleObject" Target="embeddings/oleObject13.bin"/><Relationship Id="rId11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mazar.atwebpages.com/Downloads/WileyChapter9RF-EMF_HumanHazards_MazarJanuary2021.pdf" TargetMode="External"/><Relationship Id="rId2" Type="http://schemas.openxmlformats.org/officeDocument/2006/relationships/oleObject" Target="embeddings/oleObject2.bin"/><Relationship Id="rId1" Type="http://schemas.openxmlformats.org/officeDocument/2006/relationships/image" Target="media/image4.wmf"/><Relationship Id="rId4" Type="http://schemas.openxmlformats.org/officeDocument/2006/relationships/hyperlink" Target="https://www.itu.int/itu-t/recommendations/rec.aspx?rec=1487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1952D-E1AF-4AB0-919B-A0864FB57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1676</TotalTime>
  <Pages>70</Pages>
  <Words>21719</Words>
  <Characters>121932</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Recomendación UIT-R BS.1968-1 (05/2023) – Evaluación de los campos electromagnéticos de los sistemas transmisores de radiodifusión terrenal para evaluar la exposición de las personas a las emisiones no ionizantes</vt:lpstr>
    </vt:vector>
  </TitlesOfParts>
  <Manager/>
  <Company>ITU</Company>
  <LinksUpToDate>false</LinksUpToDate>
  <CharactersWithSpaces>143365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BS.1968-1 (05/2023) – Evaluación de los campos electromagnéticos de los sistemas transmisores de radiodifusión terrenal para evaluar la exposición de las personas a las emisiones no ionizantes</dc:title>
  <dc:subject/>
  <dc:creator>Catalano Moreira, Rossana</dc:creator>
  <cp:keywords/>
  <dc:description>2023-03-17 Version 1</dc:description>
  <cp:lastModifiedBy>Catalano Moreira, Rossana</cp:lastModifiedBy>
  <cp:revision>69</cp:revision>
  <cp:lastPrinted>2024-03-28T12:53:00Z</cp:lastPrinted>
  <dcterms:created xsi:type="dcterms:W3CDTF">2024-03-21T13:38:00Z</dcterms:created>
  <dcterms:modified xsi:type="dcterms:W3CDTF">2024-03-28T13:10:00Z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