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AE7" w:rsidRPr="00C61BE3" w:rsidRDefault="00760AE7" w:rsidP="00760AE7">
      <w:pPr>
        <w:rPr>
          <w:lang w:val="es-ES_tradnl"/>
        </w:rPr>
      </w:pPr>
    </w:p>
    <w:p w:rsidR="00760AE7" w:rsidRPr="00C61BE3" w:rsidRDefault="00760AE7" w:rsidP="00760AE7">
      <w:pPr>
        <w:rPr>
          <w:lang w:val="es-ES_tradnl"/>
        </w:rPr>
      </w:pPr>
      <w:bookmarkStart w:id="0" w:name="dbreak"/>
      <w:bookmarkEnd w:id="0"/>
    </w:p>
    <w:p w:rsidR="00760AE7" w:rsidRPr="00C61BE3" w:rsidRDefault="00760AE7" w:rsidP="00760AE7">
      <w:pPr>
        <w:rPr>
          <w:lang w:val="es-ES_tradnl"/>
        </w:rPr>
      </w:pPr>
    </w:p>
    <w:p w:rsidR="00760AE7" w:rsidRPr="00C61BE3" w:rsidRDefault="00760AE7" w:rsidP="00760AE7">
      <w:pPr>
        <w:rPr>
          <w:lang w:val="es-ES_tradnl"/>
        </w:rPr>
      </w:pPr>
    </w:p>
    <w:p w:rsidR="00760AE7" w:rsidRPr="00C61BE3" w:rsidRDefault="00760AE7" w:rsidP="00760AE7">
      <w:pPr>
        <w:rPr>
          <w:lang w:val="es-ES_tradnl"/>
        </w:rPr>
      </w:pPr>
    </w:p>
    <w:p w:rsidR="00760AE7" w:rsidRPr="00C61BE3" w:rsidRDefault="00760AE7" w:rsidP="00760AE7">
      <w:pPr>
        <w:rPr>
          <w:lang w:val="es-ES_tradnl"/>
        </w:rPr>
      </w:pPr>
    </w:p>
    <w:p w:rsidR="00760AE7" w:rsidRPr="00C61BE3" w:rsidRDefault="00760AE7" w:rsidP="00760AE7">
      <w:pPr>
        <w:rPr>
          <w:lang w:val="es-ES_tradnl"/>
        </w:rPr>
      </w:pPr>
      <w:bookmarkStart w:id="1" w:name="_GoBack"/>
      <w:bookmarkEnd w:id="1"/>
    </w:p>
    <w:p w:rsidR="00760AE7" w:rsidRPr="00C61BE3" w:rsidRDefault="00760AE7" w:rsidP="00760AE7">
      <w:pPr>
        <w:rPr>
          <w:lang w:val="es-ES_tradnl"/>
        </w:rPr>
      </w:pPr>
    </w:p>
    <w:p w:rsidR="00760AE7" w:rsidRPr="00C61BE3" w:rsidRDefault="00760AE7" w:rsidP="00760AE7">
      <w:pPr>
        <w:rPr>
          <w:lang w:val="es-ES_tradnl"/>
        </w:rPr>
      </w:pPr>
    </w:p>
    <w:p w:rsidR="00760AE7" w:rsidRPr="00C61BE3" w:rsidRDefault="00760AE7" w:rsidP="00760AE7">
      <w:pPr>
        <w:rPr>
          <w:lang w:val="es-ES_tradnl"/>
        </w:rPr>
      </w:pPr>
    </w:p>
    <w:p w:rsidR="00760AE7" w:rsidRPr="00C61BE3" w:rsidRDefault="00760AE7" w:rsidP="00760AE7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60AE7" w:rsidRPr="00C61BE3" w:rsidTr="005C4648">
        <w:tc>
          <w:tcPr>
            <w:tcW w:w="10089" w:type="dxa"/>
          </w:tcPr>
          <w:p w:rsidR="00760AE7" w:rsidRPr="00C61BE3" w:rsidRDefault="00760AE7" w:rsidP="005C464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760AE7" w:rsidRPr="00C61BE3" w:rsidRDefault="00760AE7" w:rsidP="00760AE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C61BE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BS.1348-3</w:t>
            </w:r>
          </w:p>
          <w:p w:rsidR="00760AE7" w:rsidRPr="00C61BE3" w:rsidRDefault="00760AE7" w:rsidP="005C464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C61BE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(06/2014)</w:t>
            </w:r>
          </w:p>
        </w:tc>
      </w:tr>
      <w:tr w:rsidR="00760AE7" w:rsidRPr="00492094" w:rsidTr="005C4648">
        <w:tc>
          <w:tcPr>
            <w:tcW w:w="10089" w:type="dxa"/>
          </w:tcPr>
          <w:p w:rsidR="00760AE7" w:rsidRPr="00C61BE3" w:rsidRDefault="00760AE7" w:rsidP="005C464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760AE7" w:rsidRPr="00C61BE3" w:rsidRDefault="00760AE7" w:rsidP="00760A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bookmarkStart w:id="2" w:name="Pre_title"/>
            <w:r w:rsidRPr="00C61BE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Requisitos de servicio de la radiodifusión sonora digital para frecuencias</w:t>
            </w:r>
            <w:r w:rsidRPr="00C61BE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inferiores a 30 MHz</w:t>
            </w:r>
            <w:bookmarkEnd w:id="2"/>
          </w:p>
          <w:p w:rsidR="00760AE7" w:rsidRPr="00C61BE3" w:rsidRDefault="00760AE7" w:rsidP="005C464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760AE7" w:rsidRPr="00492094" w:rsidTr="005C4648">
        <w:tc>
          <w:tcPr>
            <w:tcW w:w="10089" w:type="dxa"/>
          </w:tcPr>
          <w:p w:rsidR="00760AE7" w:rsidRPr="00C61BE3" w:rsidRDefault="00760AE7" w:rsidP="005C464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760AE7" w:rsidRPr="00C61BE3" w:rsidRDefault="00760AE7" w:rsidP="005C464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760AE7" w:rsidRPr="00C61BE3" w:rsidRDefault="00760AE7" w:rsidP="005C464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C61BE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BS</w:t>
            </w:r>
          </w:p>
          <w:p w:rsidR="00760AE7" w:rsidRPr="00C61BE3" w:rsidRDefault="00760AE7" w:rsidP="005C4648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C61BE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 w:rsidRPr="00C61BE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(sonora)</w:t>
            </w:r>
          </w:p>
        </w:tc>
      </w:tr>
    </w:tbl>
    <w:p w:rsidR="00760AE7" w:rsidRPr="00C61BE3" w:rsidRDefault="00760AE7" w:rsidP="00760AE7">
      <w:pPr>
        <w:spacing w:before="80"/>
        <w:rPr>
          <w:i/>
          <w:sz w:val="22"/>
          <w:lang w:val="es-ES_tradnl"/>
        </w:rPr>
      </w:pPr>
    </w:p>
    <w:p w:rsidR="00760AE7" w:rsidRPr="00C61BE3" w:rsidRDefault="00760AE7" w:rsidP="00760AE7">
      <w:pPr>
        <w:spacing w:before="80"/>
        <w:rPr>
          <w:i/>
          <w:sz w:val="22"/>
          <w:lang w:val="es-ES_tradnl"/>
        </w:rPr>
      </w:pPr>
    </w:p>
    <w:p w:rsidR="00760AE7" w:rsidRPr="00C61BE3" w:rsidRDefault="00760AE7" w:rsidP="00760AE7">
      <w:pPr>
        <w:spacing w:before="80"/>
        <w:rPr>
          <w:i/>
          <w:sz w:val="22"/>
          <w:lang w:val="es-ES_tradnl"/>
        </w:rPr>
      </w:pPr>
    </w:p>
    <w:p w:rsidR="00760AE7" w:rsidRPr="00C61BE3" w:rsidRDefault="00760AE7" w:rsidP="00760AE7">
      <w:pPr>
        <w:spacing w:before="80"/>
        <w:rPr>
          <w:i/>
          <w:sz w:val="22"/>
          <w:lang w:val="es-ES_tradnl"/>
        </w:rPr>
      </w:pPr>
    </w:p>
    <w:p w:rsidR="00760AE7" w:rsidRPr="00C61BE3" w:rsidRDefault="00760AE7" w:rsidP="00760AE7">
      <w:pPr>
        <w:spacing w:before="80"/>
        <w:rPr>
          <w:i/>
          <w:sz w:val="22"/>
          <w:lang w:val="es-ES_tradnl"/>
        </w:rPr>
      </w:pPr>
    </w:p>
    <w:p w:rsidR="00760AE7" w:rsidRPr="00C61BE3" w:rsidRDefault="00760AE7" w:rsidP="00760AE7">
      <w:pPr>
        <w:spacing w:before="80"/>
        <w:rPr>
          <w:i/>
          <w:sz w:val="22"/>
          <w:lang w:val="es-ES_tradnl"/>
        </w:rPr>
      </w:pPr>
    </w:p>
    <w:p w:rsidR="00760AE7" w:rsidRPr="00C61BE3" w:rsidRDefault="00760AE7" w:rsidP="00760AE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760AE7" w:rsidRPr="00C61BE3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60AE7" w:rsidRPr="00C61BE3" w:rsidRDefault="00760AE7" w:rsidP="00760AE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3" w:name="c2tope"/>
      <w:bookmarkEnd w:id="3"/>
      <w:r w:rsidRPr="00C61BE3">
        <w:rPr>
          <w:bCs/>
          <w:sz w:val="24"/>
          <w:szCs w:val="24"/>
          <w:lang w:val="es-ES_tradnl"/>
        </w:rPr>
        <w:lastRenderedPageBreak/>
        <w:t>Prólogo</w:t>
      </w:r>
    </w:p>
    <w:p w:rsidR="00760AE7" w:rsidRPr="00C61BE3" w:rsidRDefault="00760AE7" w:rsidP="00760AE7">
      <w:pPr>
        <w:spacing w:before="180"/>
        <w:rPr>
          <w:sz w:val="20"/>
          <w:lang w:val="es-ES_tradnl"/>
        </w:rPr>
      </w:pPr>
      <w:r w:rsidRPr="00C61BE3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760AE7" w:rsidRPr="00C61BE3" w:rsidRDefault="00760AE7" w:rsidP="00760AE7">
      <w:pPr>
        <w:rPr>
          <w:sz w:val="20"/>
          <w:lang w:val="es-ES_tradnl"/>
        </w:rPr>
      </w:pPr>
      <w:r w:rsidRPr="00C61BE3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760AE7" w:rsidRPr="00C61BE3" w:rsidRDefault="00760AE7" w:rsidP="00760AE7">
      <w:pPr>
        <w:pStyle w:val="Heading1"/>
        <w:spacing w:before="340"/>
        <w:jc w:val="center"/>
        <w:rPr>
          <w:szCs w:val="24"/>
          <w:lang w:val="es-ES_tradnl"/>
        </w:rPr>
      </w:pPr>
      <w:r w:rsidRPr="00C61BE3">
        <w:rPr>
          <w:lang w:val="es-ES_tradnl"/>
        </w:rPr>
        <w:t>Política sobre Derechos de Propiedad Intelectual</w:t>
      </w:r>
      <w:r w:rsidRPr="00C61BE3">
        <w:rPr>
          <w:szCs w:val="24"/>
          <w:lang w:val="es-ES_tradnl"/>
        </w:rPr>
        <w:t xml:space="preserve"> (IPR)</w:t>
      </w:r>
    </w:p>
    <w:p w:rsidR="00760AE7" w:rsidRPr="00C61BE3" w:rsidRDefault="00760AE7" w:rsidP="00760AE7">
      <w:pPr>
        <w:spacing w:before="180"/>
        <w:rPr>
          <w:sz w:val="20"/>
          <w:lang w:val="es-ES_tradnl"/>
        </w:rPr>
      </w:pPr>
      <w:r w:rsidRPr="00C61BE3">
        <w:rPr>
          <w:sz w:val="20"/>
          <w:lang w:val="es-ES_tradnl"/>
        </w:rPr>
        <w:t>La política del UIT</w:t>
      </w:r>
      <w:r w:rsidRPr="00C61BE3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C61BE3">
        <w:rPr>
          <w:sz w:val="20"/>
          <w:lang w:val="es-ES_tradnl"/>
        </w:rPr>
        <w:noBreakHyphen/>
        <w:t>T/UIT</w:t>
      </w:r>
      <w:r w:rsidRPr="00C61BE3">
        <w:rPr>
          <w:sz w:val="20"/>
          <w:lang w:val="es-ES_tradnl"/>
        </w:rPr>
        <w:noBreakHyphen/>
        <w:t>R/ISO/CEI a la que se hace referencia en el Anexo 1 a la Resolución UIT</w:t>
      </w:r>
      <w:r w:rsidRPr="00C61BE3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C61BE3">
          <w:rPr>
            <w:rStyle w:val="Hyperlink"/>
            <w:sz w:val="20"/>
            <w:lang w:val="es-ES_tradnl"/>
          </w:rPr>
          <w:t>http://www.itu.int/ITU-R/go/patents/es</w:t>
        </w:r>
      </w:hyperlink>
      <w:r w:rsidRPr="00C61BE3">
        <w:rPr>
          <w:sz w:val="20"/>
          <w:lang w:val="es-ES_tradnl"/>
        </w:rPr>
        <w:t>, donde también aparecen las Directrices para la implementación de la Política Común de Patentes UIT</w:t>
      </w:r>
      <w:r w:rsidRPr="00C61BE3">
        <w:rPr>
          <w:sz w:val="20"/>
          <w:lang w:val="es-ES_tradnl"/>
        </w:rPr>
        <w:noBreakHyphen/>
        <w:t>T/UIT</w:t>
      </w:r>
      <w:r w:rsidRPr="00C61BE3">
        <w:rPr>
          <w:sz w:val="20"/>
          <w:lang w:val="es-ES_tradnl"/>
        </w:rPr>
        <w:noBreakHyphen/>
        <w:t>R/ISO/CEI y la base de datos sobre información de patentes del UIT</w:t>
      </w:r>
      <w:r w:rsidRPr="00C61BE3">
        <w:rPr>
          <w:sz w:val="20"/>
          <w:lang w:val="es-ES_tradnl"/>
        </w:rPr>
        <w:noBreakHyphen/>
        <w:t>R sobre este asunto.</w:t>
      </w:r>
    </w:p>
    <w:p w:rsidR="00760AE7" w:rsidRPr="00C61BE3" w:rsidRDefault="00760AE7" w:rsidP="00760AE7">
      <w:pPr>
        <w:spacing w:before="0"/>
        <w:jc w:val="center"/>
        <w:rPr>
          <w:sz w:val="22"/>
          <w:lang w:val="es-ES_tradnl"/>
        </w:rPr>
      </w:pPr>
    </w:p>
    <w:p w:rsidR="00760AE7" w:rsidRPr="00C61BE3" w:rsidRDefault="00760AE7" w:rsidP="00760AE7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60AE7" w:rsidRPr="00492094" w:rsidTr="005C4648">
        <w:tc>
          <w:tcPr>
            <w:tcW w:w="9360" w:type="dxa"/>
            <w:gridSpan w:val="2"/>
          </w:tcPr>
          <w:p w:rsidR="00760AE7" w:rsidRPr="00C61BE3" w:rsidRDefault="00760AE7" w:rsidP="005C464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C61BE3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760AE7" w:rsidRPr="00C61BE3" w:rsidRDefault="00760AE7" w:rsidP="005C464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C61BE3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C61BE3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C61BE3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760AE7" w:rsidRPr="00C61BE3" w:rsidTr="005C4648">
        <w:tc>
          <w:tcPr>
            <w:tcW w:w="1140" w:type="dxa"/>
            <w:tcBorders>
              <w:bottom w:val="nil"/>
            </w:tcBorders>
          </w:tcPr>
          <w:p w:rsidR="00760AE7" w:rsidRPr="00C61BE3" w:rsidRDefault="00760AE7" w:rsidP="005C4648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760AE7" w:rsidRPr="00C61BE3" w:rsidRDefault="00760AE7" w:rsidP="005C464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Título</w:t>
            </w:r>
          </w:p>
        </w:tc>
      </w:tr>
      <w:tr w:rsidR="00760AE7" w:rsidRPr="00C61BE3" w:rsidTr="005C464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0AE7" w:rsidRPr="00C61BE3" w:rsidRDefault="00760AE7" w:rsidP="005C464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C61BE3">
              <w:rPr>
                <w:b w:val="0"/>
                <w:sz w:val="20"/>
                <w:lang w:val="es-ES_tradnl"/>
              </w:rPr>
              <w:t>Distribución por satélite</w:t>
            </w:r>
          </w:p>
        </w:tc>
      </w:tr>
      <w:tr w:rsidR="00760AE7" w:rsidRPr="00492094" w:rsidTr="005C464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0AE7" w:rsidRPr="00C61BE3" w:rsidRDefault="00760AE7" w:rsidP="005C464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C61BE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760AE7" w:rsidRPr="00C61BE3" w:rsidTr="005C464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C61BE3">
              <w:rPr>
                <w:b/>
                <w:bCs/>
                <w:color w:val="000080"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60AE7" w:rsidRPr="00C61BE3" w:rsidRDefault="00760AE7" w:rsidP="005C464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C61BE3">
              <w:rPr>
                <w:bCs/>
                <w:color w:val="000080"/>
                <w:sz w:val="20"/>
                <w:lang w:val="es-ES_tradnl"/>
              </w:rPr>
              <w:t>Servicio de radiodifusión (sonora)</w:t>
            </w:r>
          </w:p>
        </w:tc>
      </w:tr>
      <w:tr w:rsidR="00760AE7" w:rsidRPr="00C61BE3" w:rsidTr="005C4648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760AE7" w:rsidRPr="00C61BE3" w:rsidRDefault="00760AE7" w:rsidP="005C464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C61BE3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760AE7" w:rsidRPr="00C61BE3" w:rsidTr="005C4648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760AE7" w:rsidRPr="00C61BE3" w:rsidRDefault="00760AE7" w:rsidP="005C464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760AE7" w:rsidRPr="00492094" w:rsidTr="005C464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C61BE3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60AE7" w:rsidRPr="00C61BE3" w:rsidRDefault="00760AE7" w:rsidP="005C464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C61BE3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C61BE3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C61BE3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C61BE3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C61BE3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C61BE3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C61BE3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760AE7" w:rsidRPr="00492094" w:rsidTr="005C4648">
        <w:tc>
          <w:tcPr>
            <w:tcW w:w="1140" w:type="dxa"/>
            <w:tcBorders>
              <w:top w:val="nil"/>
            </w:tcBorders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60AE7" w:rsidRPr="00C61BE3" w:rsidRDefault="00760AE7" w:rsidP="005C464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760AE7" w:rsidRPr="00C61BE3" w:rsidTr="005C4648">
        <w:tc>
          <w:tcPr>
            <w:tcW w:w="1140" w:type="dxa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:rsidR="00760AE7" w:rsidRPr="00C61BE3" w:rsidRDefault="00760AE7" w:rsidP="005C464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760AE7" w:rsidRPr="00492094" w:rsidTr="005C4648">
        <w:tc>
          <w:tcPr>
            <w:tcW w:w="1140" w:type="dxa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:rsidR="00760AE7" w:rsidRPr="00C61BE3" w:rsidRDefault="00760AE7" w:rsidP="005C464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760AE7" w:rsidRPr="00C61BE3" w:rsidTr="005C4648">
        <w:tc>
          <w:tcPr>
            <w:tcW w:w="1140" w:type="dxa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:rsidR="00760AE7" w:rsidRPr="00C61BE3" w:rsidRDefault="00760AE7" w:rsidP="005C464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760AE7" w:rsidRPr="00C61BE3" w:rsidTr="005C4648">
        <w:tc>
          <w:tcPr>
            <w:tcW w:w="1140" w:type="dxa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:rsidR="00760AE7" w:rsidRPr="00C61BE3" w:rsidRDefault="00760AE7" w:rsidP="005C464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760AE7" w:rsidRPr="00492094" w:rsidTr="005C4648">
        <w:tc>
          <w:tcPr>
            <w:tcW w:w="1140" w:type="dxa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:rsidR="00760AE7" w:rsidRPr="00C61BE3" w:rsidRDefault="00760AE7" w:rsidP="005C464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760AE7" w:rsidRPr="00C61BE3" w:rsidTr="005C4648">
        <w:tc>
          <w:tcPr>
            <w:tcW w:w="1140" w:type="dxa"/>
            <w:shd w:val="clear" w:color="auto" w:fill="auto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760AE7" w:rsidRPr="00C61BE3" w:rsidRDefault="00760AE7" w:rsidP="005C4648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C61BE3">
              <w:rPr>
                <w:sz w:val="20"/>
                <w:lang w:val="es-ES_tradnl"/>
              </w:rPr>
              <w:t>Gestión del espectro</w:t>
            </w:r>
          </w:p>
        </w:tc>
      </w:tr>
      <w:tr w:rsidR="00760AE7" w:rsidRPr="00C61BE3" w:rsidTr="005C4648">
        <w:tc>
          <w:tcPr>
            <w:tcW w:w="1140" w:type="dxa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:rsidR="00760AE7" w:rsidRPr="00C61BE3" w:rsidRDefault="00760AE7" w:rsidP="005C464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760AE7" w:rsidRPr="00492094" w:rsidTr="005C4648">
        <w:tc>
          <w:tcPr>
            <w:tcW w:w="1140" w:type="dxa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:rsidR="00760AE7" w:rsidRPr="00C61BE3" w:rsidRDefault="00760AE7" w:rsidP="005C464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760AE7" w:rsidRPr="00C61BE3" w:rsidTr="005C4648">
        <w:tc>
          <w:tcPr>
            <w:tcW w:w="1140" w:type="dxa"/>
          </w:tcPr>
          <w:p w:rsidR="00760AE7" w:rsidRPr="00C61BE3" w:rsidRDefault="00760AE7" w:rsidP="005C464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C61BE3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:rsidR="00760AE7" w:rsidRPr="00C61BE3" w:rsidRDefault="00760AE7" w:rsidP="005C4648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C61BE3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:rsidR="00760AE7" w:rsidRPr="00C61BE3" w:rsidRDefault="00760AE7" w:rsidP="00760AE7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760AE7" w:rsidRPr="00C61BE3" w:rsidTr="005C4648">
        <w:tc>
          <w:tcPr>
            <w:tcW w:w="720" w:type="dxa"/>
          </w:tcPr>
          <w:p w:rsidR="00760AE7" w:rsidRPr="00C61BE3" w:rsidRDefault="00760AE7" w:rsidP="005C4648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60AE7" w:rsidRPr="00492094" w:rsidTr="005C4648">
        <w:tc>
          <w:tcPr>
            <w:tcW w:w="9360" w:type="dxa"/>
          </w:tcPr>
          <w:p w:rsidR="00760AE7" w:rsidRPr="00C61BE3" w:rsidRDefault="00760AE7" w:rsidP="005C4648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C61BE3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C61BE3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C61BE3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760AE7" w:rsidRPr="00C61BE3" w:rsidRDefault="00760AE7" w:rsidP="00760AE7">
      <w:pPr>
        <w:spacing w:before="0"/>
        <w:jc w:val="center"/>
        <w:rPr>
          <w:sz w:val="22"/>
          <w:lang w:val="es-ES_tradnl"/>
        </w:rPr>
      </w:pPr>
    </w:p>
    <w:p w:rsidR="00760AE7" w:rsidRPr="00C61BE3" w:rsidRDefault="00760AE7" w:rsidP="00760AE7">
      <w:pPr>
        <w:spacing w:before="60"/>
        <w:jc w:val="right"/>
        <w:rPr>
          <w:i/>
          <w:iCs/>
          <w:sz w:val="20"/>
          <w:lang w:val="es-ES_tradnl"/>
        </w:rPr>
      </w:pPr>
      <w:r w:rsidRPr="00C61BE3">
        <w:rPr>
          <w:i/>
          <w:iCs/>
          <w:sz w:val="20"/>
          <w:lang w:val="es-ES_tradnl"/>
        </w:rPr>
        <w:t>Publicación electrónica</w:t>
      </w:r>
    </w:p>
    <w:p w:rsidR="00760AE7" w:rsidRPr="00C61BE3" w:rsidRDefault="00760AE7" w:rsidP="00760AE7">
      <w:pPr>
        <w:spacing w:before="0" w:after="40"/>
        <w:jc w:val="right"/>
        <w:rPr>
          <w:sz w:val="20"/>
          <w:lang w:val="es-ES_tradnl"/>
        </w:rPr>
      </w:pPr>
      <w:r w:rsidRPr="00C61BE3">
        <w:rPr>
          <w:sz w:val="20"/>
          <w:lang w:val="es-ES_tradnl"/>
        </w:rPr>
        <w:t>Ginebra, 2015</w:t>
      </w:r>
    </w:p>
    <w:p w:rsidR="00760AE7" w:rsidRPr="00C61BE3" w:rsidRDefault="00760AE7" w:rsidP="00760AE7">
      <w:pPr>
        <w:spacing w:before="0"/>
        <w:jc w:val="center"/>
        <w:rPr>
          <w:sz w:val="22"/>
          <w:lang w:val="es-ES_tradnl"/>
        </w:rPr>
      </w:pPr>
    </w:p>
    <w:p w:rsidR="00760AE7" w:rsidRPr="00C61BE3" w:rsidRDefault="00760AE7" w:rsidP="00760AE7">
      <w:pPr>
        <w:spacing w:before="0"/>
        <w:jc w:val="center"/>
        <w:rPr>
          <w:sz w:val="20"/>
          <w:lang w:val="es-ES_tradnl"/>
        </w:rPr>
      </w:pPr>
      <w:r w:rsidRPr="00C61BE3">
        <w:rPr>
          <w:sz w:val="20"/>
          <w:lang w:val="es-ES_tradnl"/>
        </w:rPr>
        <w:sym w:font="Symbol" w:char="F0E3"/>
      </w:r>
      <w:r w:rsidRPr="00C61BE3">
        <w:rPr>
          <w:sz w:val="20"/>
          <w:lang w:val="es-ES_tradnl"/>
        </w:rPr>
        <w:t xml:space="preserve"> UIT </w:t>
      </w:r>
      <w:bookmarkStart w:id="4" w:name="iiannee"/>
      <w:bookmarkEnd w:id="4"/>
      <w:r w:rsidRPr="00C61BE3">
        <w:rPr>
          <w:sz w:val="20"/>
          <w:lang w:val="es-ES_tradnl"/>
        </w:rPr>
        <w:t>2015</w:t>
      </w:r>
    </w:p>
    <w:p w:rsidR="00760AE7" w:rsidRPr="00C61BE3" w:rsidRDefault="00760AE7" w:rsidP="00760AE7">
      <w:pPr>
        <w:spacing w:before="80"/>
        <w:rPr>
          <w:sz w:val="18"/>
          <w:szCs w:val="18"/>
          <w:lang w:val="es-ES_tradnl"/>
        </w:rPr>
      </w:pPr>
      <w:r w:rsidRPr="00C61BE3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760AE7" w:rsidRPr="00C61BE3" w:rsidRDefault="00760AE7" w:rsidP="00760AE7">
      <w:pPr>
        <w:spacing w:before="160"/>
        <w:rPr>
          <w:i/>
          <w:sz w:val="20"/>
          <w:highlight w:val="yellow"/>
          <w:lang w:val="es-ES_tradnl"/>
        </w:rPr>
        <w:sectPr w:rsidR="00760AE7" w:rsidRPr="00C61BE3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760AE7" w:rsidRPr="00C61BE3" w:rsidRDefault="00760AE7" w:rsidP="00760AE7">
      <w:pPr>
        <w:pStyle w:val="RecNo"/>
        <w:spacing w:before="0"/>
        <w:rPr>
          <w:lang w:val="es-ES_tradnl"/>
        </w:rPr>
      </w:pPr>
      <w:bookmarkStart w:id="5" w:name="irecnoe"/>
      <w:bookmarkEnd w:id="5"/>
      <w:r w:rsidRPr="00C61BE3">
        <w:rPr>
          <w:lang w:val="es-ES_tradnl"/>
        </w:rPr>
        <w:t xml:space="preserve">RECOMENDACIÓN  </w:t>
      </w:r>
      <w:r w:rsidRPr="00C61BE3">
        <w:rPr>
          <w:rStyle w:val="href"/>
          <w:lang w:val="es-ES_tradnl"/>
        </w:rPr>
        <w:t>UIT-R  BS.1348-3</w:t>
      </w:r>
    </w:p>
    <w:p w:rsidR="00760AE7" w:rsidRPr="00C61BE3" w:rsidRDefault="00760AE7" w:rsidP="00760AE7">
      <w:pPr>
        <w:pStyle w:val="Rectitle"/>
        <w:rPr>
          <w:lang w:val="es-ES_tradnl"/>
        </w:rPr>
      </w:pPr>
      <w:r w:rsidRPr="00C61BE3">
        <w:rPr>
          <w:lang w:val="es-ES_tradnl"/>
        </w:rPr>
        <w:t>Requisitos de servicio de la radiodifusión sonora digital</w:t>
      </w:r>
      <w:r w:rsidRPr="00C61BE3">
        <w:rPr>
          <w:lang w:val="es-ES_tradnl"/>
        </w:rPr>
        <w:br/>
        <w:t>para frecuencias inferiores a 30 MHz</w:t>
      </w:r>
      <w:r w:rsidRPr="00C61BE3">
        <w:rPr>
          <w:rStyle w:val="FootnoteReference"/>
          <w:lang w:val="es-ES_tradnl"/>
        </w:rPr>
        <w:footnoteReference w:customMarkFollows="1" w:id="1"/>
        <w:t>*</w:t>
      </w:r>
    </w:p>
    <w:p w:rsidR="00760AE7" w:rsidRPr="00C61BE3" w:rsidRDefault="00760AE7" w:rsidP="00760AE7">
      <w:pPr>
        <w:pStyle w:val="Recref"/>
        <w:rPr>
          <w:lang w:val="es-ES_tradnl"/>
        </w:rPr>
      </w:pPr>
      <w:r w:rsidRPr="00C61BE3">
        <w:rPr>
          <w:lang w:val="es-ES_tradnl"/>
        </w:rPr>
        <w:t>(Cuestión UIT-R 217/10)</w:t>
      </w:r>
    </w:p>
    <w:p w:rsidR="00760AE7" w:rsidRPr="00C61BE3" w:rsidRDefault="00760AE7" w:rsidP="00760AE7">
      <w:pPr>
        <w:pStyle w:val="Blanc"/>
        <w:rPr>
          <w:lang w:val="es-ES_tradnl"/>
        </w:rPr>
      </w:pPr>
    </w:p>
    <w:p w:rsidR="00760AE7" w:rsidRPr="00C61BE3" w:rsidRDefault="00760AE7" w:rsidP="00760AE7">
      <w:pPr>
        <w:pStyle w:val="Recdate"/>
        <w:rPr>
          <w:lang w:val="es-ES_tradnl"/>
        </w:rPr>
      </w:pPr>
      <w:r w:rsidRPr="00C61BE3">
        <w:rPr>
          <w:lang w:val="es-ES_tradnl"/>
        </w:rPr>
        <w:t>(1998-2001-2011-2014)</w:t>
      </w:r>
    </w:p>
    <w:p w:rsidR="00760AE7" w:rsidRPr="00C61BE3" w:rsidRDefault="00760AE7" w:rsidP="00760AE7">
      <w:pPr>
        <w:pStyle w:val="Blanc"/>
        <w:rPr>
          <w:lang w:val="es-ES_tradnl"/>
        </w:rPr>
      </w:pPr>
    </w:p>
    <w:p w:rsidR="00760AE7" w:rsidRPr="00C61BE3" w:rsidRDefault="00760AE7" w:rsidP="00760AE7">
      <w:pPr>
        <w:pStyle w:val="HeadingSum"/>
      </w:pPr>
      <w:r w:rsidRPr="00C61BE3">
        <w:t>Cometido</w:t>
      </w:r>
    </w:p>
    <w:p w:rsidR="00760AE7" w:rsidRPr="00C61BE3" w:rsidRDefault="00760AE7" w:rsidP="00760AE7">
      <w:pPr>
        <w:pStyle w:val="Summary"/>
        <w:spacing w:after="0"/>
      </w:pPr>
      <w:r w:rsidRPr="00C61BE3">
        <w:t>En esta Recomendación se describen las características y capacidades técnicas y operativas deseables cuando se utilizan sistemas de radiodifusión sonora digital para la radiodifusión de sonido terrenal digital a receptores en vehículos, portátiles y fijos en frecuencias inferiores a 30 MHz..</w:t>
      </w:r>
    </w:p>
    <w:p w:rsidR="00760AE7" w:rsidRPr="00C61BE3" w:rsidRDefault="00760AE7" w:rsidP="00760AE7">
      <w:pPr>
        <w:pStyle w:val="Headingb"/>
        <w:rPr>
          <w:lang w:val="es-ES_tradnl"/>
        </w:rPr>
      </w:pPr>
      <w:r w:rsidRPr="00C61BE3">
        <w:rPr>
          <w:lang w:val="es-ES_tradnl"/>
        </w:rPr>
        <w:t>Palabras clave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lang w:val="es-ES_tradnl"/>
        </w:rPr>
        <w:t>Requisitos de servicio, radiodifusión sonora digital, ondas kilométricas (LF), ondas hectométricas (MF), ondas decamétricas (HF).</w:t>
      </w:r>
    </w:p>
    <w:p w:rsidR="00D83D7F" w:rsidRPr="00C61BE3" w:rsidRDefault="00D83D7F" w:rsidP="00D83D7F">
      <w:pPr>
        <w:pStyle w:val="Blanc"/>
        <w:rPr>
          <w:lang w:val="es-ES_tradnl"/>
        </w:rPr>
      </w:pPr>
    </w:p>
    <w:p w:rsidR="00760AE7" w:rsidRPr="00C61BE3" w:rsidRDefault="00760AE7" w:rsidP="00760AE7">
      <w:pPr>
        <w:pStyle w:val="Normalaftertitle0"/>
        <w:rPr>
          <w:sz w:val="24"/>
          <w:szCs w:val="24"/>
          <w:lang w:val="es-ES_tradnl"/>
        </w:rPr>
      </w:pPr>
      <w:r w:rsidRPr="00C61BE3">
        <w:rPr>
          <w:sz w:val="24"/>
          <w:szCs w:val="24"/>
          <w:lang w:val="es-ES_tradnl"/>
        </w:rPr>
        <w:t>La Asamblea de Radiocomunicaciones de la UIT,</w:t>
      </w:r>
    </w:p>
    <w:p w:rsidR="00760AE7" w:rsidRPr="00C61BE3" w:rsidRDefault="00760AE7" w:rsidP="00760AE7">
      <w:pPr>
        <w:pStyle w:val="call0"/>
        <w:rPr>
          <w:sz w:val="24"/>
          <w:szCs w:val="24"/>
          <w:lang w:val="es-ES_tradnl"/>
        </w:rPr>
      </w:pPr>
      <w:r w:rsidRPr="00C61BE3">
        <w:rPr>
          <w:sz w:val="24"/>
          <w:szCs w:val="24"/>
          <w:lang w:val="es-ES_tradnl"/>
        </w:rPr>
        <w:t>considerando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i/>
          <w:iCs/>
          <w:lang w:val="es-ES_tradnl"/>
        </w:rPr>
        <w:t>a)</w:t>
      </w:r>
      <w:r w:rsidRPr="00C61BE3">
        <w:rPr>
          <w:lang w:val="es-ES_tradnl"/>
        </w:rPr>
        <w:tab/>
        <w:t>que en todo el mundo es cada vez más necesario disponer de medios adecuados de radiodifusión sonora monofónica o estereofónica de alta calidad para receptores instalados en vehículos, portátiles y fijos;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i/>
          <w:iCs/>
          <w:lang w:val="es-ES_tradnl"/>
        </w:rPr>
        <w:t>b)</w:t>
      </w:r>
      <w:r w:rsidRPr="00C61BE3">
        <w:rPr>
          <w:lang w:val="es-ES_tradnl"/>
        </w:rPr>
        <w:tab/>
        <w:t>las limitaciones de la capacidad de los servicios actuales de radiodifusión sonora en ondas kilométricas, hectométricas y decamétricas para satisfacer estas necesidades;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i/>
          <w:iCs/>
          <w:lang w:val="es-ES_tradnl"/>
        </w:rPr>
        <w:t>c)</w:t>
      </w:r>
      <w:r w:rsidRPr="00C61BE3">
        <w:rPr>
          <w:lang w:val="es-ES_tradnl"/>
        </w:rPr>
        <w:tab/>
        <w:t>que la congestión que existe actualmente en algunos países en las bandas de ondas kilométricas, hectométricas y decamétricas provoca un alto nivel de interferencia y limita el número de programas que pueden transmitirse;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i/>
          <w:iCs/>
          <w:lang w:val="es-ES_tradnl"/>
        </w:rPr>
        <w:t>d)</w:t>
      </w:r>
      <w:r w:rsidRPr="00C61BE3">
        <w:rPr>
          <w:lang w:val="es-ES_tradnl"/>
        </w:rPr>
        <w:tab/>
        <w:t>que los avances técnicos en materia de codificación en la fuente y del canal, modulación y procesamiento de señales digitales han puesto de manifiesto la viabilidad técnica y la madurez de los sistemas de radiodifusión sonora digital que funcionan en otras bandas;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i/>
          <w:iCs/>
          <w:lang w:val="es-ES_tradnl"/>
        </w:rPr>
        <w:t>e)</w:t>
      </w:r>
      <w:r w:rsidRPr="00C61BE3">
        <w:rPr>
          <w:lang w:val="es-ES_tradnl"/>
        </w:rPr>
        <w:tab/>
        <w:t>que una amplia serie de demostraciones y pruebas de funcionamiento realizadas en distintos lugares del mundo han confirmado la viabilidad técnica y económica, desde el punto de vista del diseño, de los sistemas de radiodifusión sonora digital que utilizan otras bandas;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i/>
          <w:iCs/>
          <w:lang w:val="es-ES_tradnl"/>
        </w:rPr>
        <w:t>f)</w:t>
      </w:r>
      <w:r w:rsidRPr="00C61BE3">
        <w:rPr>
          <w:lang w:val="es-ES_tradnl"/>
        </w:rPr>
        <w:tab/>
        <w:t>que un sistema de radiodifusión sonora digital avanzado puede proporcionar una mejor cobertura y una mayor eficacia en la utilización del espectro y de la potencia, así como una mejor calidad de funcionamiento en entornos multitrayecto, que los sistemas analógicos convencionales;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i/>
          <w:iCs/>
          <w:lang w:val="es-ES_tradnl"/>
        </w:rPr>
        <w:t>g)</w:t>
      </w:r>
      <w:r w:rsidRPr="00C61BE3">
        <w:rPr>
          <w:lang w:val="es-ES_tradnl"/>
        </w:rPr>
        <w:tab/>
        <w:t>que un sistema de radiodifusión digital puede diseñarse de forma que pueda utilizarse por igual en aplicaciones terrenales y por satélite utilizando parámetros de señal en emisión estrechamente relacionados entre sí, lo que permite emplear elementos comunes para el diseño del receptor;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i/>
          <w:iCs/>
          <w:lang w:val="es-ES_tradnl"/>
        </w:rPr>
        <w:t>h)</w:t>
      </w:r>
      <w:r w:rsidRPr="00C61BE3">
        <w:rPr>
          <w:lang w:val="es-ES_tradnl"/>
        </w:rPr>
        <w:tab/>
        <w:t>que en la radiodifusión sonora siempre se han utilizado técnicas de modulación semejantes, como la modulación de amplitud o de frecuencia, y bandas de frecuencias similares o idénticas, en todo el mundo, gracias a lo cual existen receptores que pueden ser utilizados en todo el mundo, lo que redunda en beneficio del oyente;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i/>
          <w:iCs/>
          <w:lang w:val="es-ES_tradnl"/>
        </w:rPr>
        <w:t>i)</w:t>
      </w:r>
      <w:r w:rsidRPr="00C61BE3">
        <w:rPr>
          <w:lang w:val="es-ES_tradnl"/>
        </w:rPr>
        <w:tab/>
        <w:t>que en todo el mundo existen grandes servicios de radiodifusión sonora, tanto públicos como privados, que proporcionan programas radiofónicos a los oyentes,</w:t>
      </w:r>
    </w:p>
    <w:p w:rsidR="00760AE7" w:rsidRPr="00C61BE3" w:rsidRDefault="00760AE7" w:rsidP="00760AE7">
      <w:pPr>
        <w:pStyle w:val="Call"/>
        <w:rPr>
          <w:lang w:val="es-ES_tradnl"/>
        </w:rPr>
      </w:pPr>
      <w:r w:rsidRPr="00C61BE3">
        <w:rPr>
          <w:lang w:val="es-ES_tradnl"/>
        </w:rPr>
        <w:t>recomienda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b/>
          <w:lang w:val="es-ES_tradnl"/>
        </w:rPr>
        <w:t>1</w:t>
      </w:r>
      <w:r w:rsidRPr="00C61BE3">
        <w:rPr>
          <w:b/>
          <w:lang w:val="es-ES_tradnl"/>
        </w:rPr>
        <w:tab/>
      </w:r>
      <w:r w:rsidRPr="00C61BE3">
        <w:rPr>
          <w:lang w:val="es-ES_tradnl"/>
        </w:rPr>
        <w:t>que, cuando se introduzcan servicios de radiodifusión sonora digital con transmisores terrenales para recepción en vehículos, portátil y fija en las bandas de ondas kilométricas, hectométricas y decamétricas, el sistema digital utilizado ofrezca las siguientes características y posibilidades técnicas y de funcionamiento, así como los requisitos del servicio en el Anexo 1:</w:t>
      </w:r>
    </w:p>
    <w:p w:rsidR="00760AE7" w:rsidRPr="00C61BE3" w:rsidRDefault="00760AE7" w:rsidP="00760AE7">
      <w:pPr>
        <w:pStyle w:val="enumlev1"/>
        <w:rPr>
          <w:lang w:val="es-ES_tradnl"/>
        </w:rPr>
      </w:pPr>
      <w:r w:rsidRPr="00C61BE3">
        <w:rPr>
          <w:lang w:val="es-ES_tradnl"/>
        </w:rPr>
        <w:t>–</w:t>
      </w:r>
      <w:r w:rsidRPr="00C61BE3">
        <w:rPr>
          <w:lang w:val="es-ES_tradnl"/>
        </w:rPr>
        <w:tab/>
        <w:t>sonido monofónico o estereofónico de alta calidad para receptores instalados en vehículos, portátiles y fijos;</w:t>
      </w:r>
    </w:p>
    <w:p w:rsidR="00760AE7" w:rsidRPr="00C61BE3" w:rsidRDefault="00760AE7" w:rsidP="00760AE7">
      <w:pPr>
        <w:pStyle w:val="enumlev1"/>
        <w:rPr>
          <w:lang w:val="es-ES_tradnl"/>
        </w:rPr>
      </w:pPr>
      <w:r w:rsidRPr="00C61BE3">
        <w:rPr>
          <w:lang w:val="es-ES_tradnl"/>
        </w:rPr>
        <w:t>–</w:t>
      </w:r>
      <w:r w:rsidRPr="00C61BE3">
        <w:rPr>
          <w:lang w:val="es-ES_tradnl"/>
        </w:rPr>
        <w:tab/>
        <w:t>mayor eficacia en la utilización del espectro y de la potencia que los sistemas analógicos convencionales;</w:t>
      </w:r>
    </w:p>
    <w:p w:rsidR="00760AE7" w:rsidRPr="00C61BE3" w:rsidRDefault="00760AE7" w:rsidP="00760AE7">
      <w:pPr>
        <w:pStyle w:val="enumlev1"/>
        <w:rPr>
          <w:lang w:val="es-ES_tradnl"/>
        </w:rPr>
      </w:pPr>
      <w:r w:rsidRPr="00C61BE3">
        <w:rPr>
          <w:lang w:val="es-ES_tradnl"/>
        </w:rPr>
        <w:t>–</w:t>
      </w:r>
      <w:r w:rsidRPr="00C61BE3">
        <w:rPr>
          <w:lang w:val="es-ES_tradnl"/>
        </w:rPr>
        <w:tab/>
        <w:t>mejora significativa de la calidad de funcionamiento en los entornos afectados por propagación multitrayecto;</w:t>
      </w:r>
    </w:p>
    <w:p w:rsidR="00760AE7" w:rsidRPr="00C61BE3" w:rsidRDefault="00760AE7" w:rsidP="00760AE7">
      <w:pPr>
        <w:pStyle w:val="enumlev1"/>
        <w:rPr>
          <w:lang w:val="es-ES_tradnl"/>
        </w:rPr>
      </w:pPr>
      <w:r w:rsidRPr="00C61BE3">
        <w:rPr>
          <w:lang w:val="es-ES_tradnl"/>
        </w:rPr>
        <w:t>–</w:t>
      </w:r>
      <w:r w:rsidRPr="00C61BE3">
        <w:rPr>
          <w:lang w:val="es-ES_tradnl"/>
        </w:rPr>
        <w:tab/>
        <w:t>solución de compromiso entre la amplitud de la cobertura y la calidad de servicio para una determinada potencia de emisión;</w:t>
      </w:r>
    </w:p>
    <w:p w:rsidR="00760AE7" w:rsidRPr="00C61BE3" w:rsidRDefault="00760AE7" w:rsidP="00760AE7">
      <w:pPr>
        <w:pStyle w:val="enumlev1"/>
        <w:rPr>
          <w:lang w:val="es-ES_tradnl"/>
        </w:rPr>
      </w:pPr>
      <w:r w:rsidRPr="00C61BE3">
        <w:rPr>
          <w:lang w:val="es-ES_tradnl"/>
        </w:rPr>
        <w:t>–</w:t>
      </w:r>
      <w:r w:rsidRPr="00C61BE3">
        <w:rPr>
          <w:lang w:val="es-ES_tradnl"/>
        </w:rPr>
        <w:tab/>
        <w:t xml:space="preserve">posibilidad de utilizar, con un receptor común, </w:t>
      </w:r>
      <w:r w:rsidRPr="00C61BE3">
        <w:rPr>
          <w:b/>
          <w:bCs/>
          <w:lang w:val="es-ES_tradnl"/>
        </w:rPr>
        <w:t xml:space="preserve">todos </w:t>
      </w:r>
      <w:r w:rsidRPr="00C61BE3">
        <w:rPr>
          <w:lang w:val="es-ES_tradnl"/>
        </w:rPr>
        <w:t>los medios de distribución de programas (por ejemplo, mono, estéreo, mono dual);</w:t>
      </w:r>
    </w:p>
    <w:p w:rsidR="00760AE7" w:rsidRPr="00C61BE3" w:rsidRDefault="00760AE7" w:rsidP="00760AE7">
      <w:pPr>
        <w:pStyle w:val="enumlev1"/>
        <w:rPr>
          <w:lang w:val="es-ES_tradnl"/>
        </w:rPr>
      </w:pPr>
      <w:r w:rsidRPr="00C61BE3">
        <w:rPr>
          <w:lang w:val="es-ES_tradnl"/>
        </w:rPr>
        <w:t>–</w:t>
      </w:r>
      <w:r w:rsidRPr="00C61BE3">
        <w:rPr>
          <w:lang w:val="es-ES_tradnl"/>
        </w:rPr>
        <w:tab/>
        <w:t>capacidad para proporcionar dispositivos de transmisión de datos relacionados con los programas;</w:t>
      </w:r>
    </w:p>
    <w:p w:rsidR="00760AE7" w:rsidRPr="00C61BE3" w:rsidRDefault="00760AE7" w:rsidP="00760AE7">
      <w:pPr>
        <w:pStyle w:val="enumlev1"/>
        <w:rPr>
          <w:lang w:val="es-ES_tradnl"/>
        </w:rPr>
      </w:pPr>
      <w:r w:rsidRPr="00C61BE3">
        <w:rPr>
          <w:lang w:val="es-ES_tradnl"/>
        </w:rPr>
        <w:t>–</w:t>
      </w:r>
      <w:r w:rsidRPr="00C61BE3">
        <w:rPr>
          <w:lang w:val="es-ES_tradnl"/>
        </w:rPr>
        <w:tab/>
        <w:t>servicios de datos adicionales;</w:t>
      </w:r>
    </w:p>
    <w:p w:rsidR="00760AE7" w:rsidRPr="00C61BE3" w:rsidRDefault="00760AE7" w:rsidP="00760AE7">
      <w:pPr>
        <w:pStyle w:val="enumlev1"/>
        <w:rPr>
          <w:lang w:val="es-ES_tradnl"/>
        </w:rPr>
      </w:pPr>
      <w:r w:rsidRPr="00C61BE3">
        <w:rPr>
          <w:lang w:val="es-ES_tradnl"/>
        </w:rPr>
        <w:t>–</w:t>
      </w:r>
      <w:r w:rsidRPr="00C61BE3">
        <w:rPr>
          <w:lang w:val="es-ES_tradnl"/>
        </w:rPr>
        <w:tab/>
        <w:t>posibilidad de fabricación en serie de receptores de bajo coste;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b/>
          <w:bCs/>
          <w:lang w:val="es-ES_tradnl"/>
        </w:rPr>
        <w:t>2</w:t>
      </w:r>
      <w:r w:rsidRPr="00C61BE3">
        <w:rPr>
          <w:lang w:val="es-ES_tradnl"/>
        </w:rPr>
        <w:tab/>
        <w:t>que los receptores diseñados para señales digitales puedan recibir señales analógicas convencionales con la máxima homogeneidad en las tecnologías y en las piezas,</w:t>
      </w:r>
    </w:p>
    <w:p w:rsidR="00760AE7" w:rsidRPr="00C61BE3" w:rsidRDefault="00760AE7" w:rsidP="00760AE7">
      <w:pPr>
        <w:pStyle w:val="Call"/>
        <w:rPr>
          <w:u w:val="single"/>
          <w:lang w:val="es-ES_tradnl"/>
        </w:rPr>
      </w:pPr>
      <w:r w:rsidRPr="00C61BE3">
        <w:rPr>
          <w:lang w:val="es-ES_tradnl"/>
        </w:rPr>
        <w:t>invita a los miembros de la UIT y a los fabricantes de receptores de radio a considerar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b/>
          <w:bCs/>
          <w:lang w:val="es-ES_tradnl"/>
        </w:rPr>
        <w:t>1</w:t>
      </w:r>
      <w:r w:rsidRPr="00C61BE3">
        <w:rPr>
          <w:b/>
          <w:bCs/>
          <w:lang w:val="es-ES_tradnl"/>
        </w:rPr>
        <w:tab/>
      </w:r>
      <w:r w:rsidRPr="00C61BE3">
        <w:rPr>
          <w:lang w:val="es-ES_tradnl"/>
        </w:rPr>
        <w:t>unos receptores de radio económicamente viables, portátiles, multibanda y multinorma diseñados para funcionar mediante selección manual o, de preferencia, automática con todos los sistemas de radiodifusión analógica y digital actualmente en uso en todas las bandas de frecuencia pertinentes;</w:t>
      </w:r>
    </w:p>
    <w:p w:rsidR="00760AE7" w:rsidRPr="00C61BE3" w:rsidRDefault="00760AE7" w:rsidP="00760AE7">
      <w:pPr>
        <w:rPr>
          <w:lang w:val="es-ES_tradnl"/>
        </w:rPr>
      </w:pPr>
      <w:r w:rsidRPr="00C61BE3">
        <w:rPr>
          <w:b/>
          <w:bCs/>
          <w:lang w:val="es-ES_tradnl"/>
        </w:rPr>
        <w:t>2</w:t>
      </w:r>
      <w:r w:rsidRPr="00C61BE3">
        <w:rPr>
          <w:lang w:val="es-ES_tradnl"/>
        </w:rPr>
        <w:tab/>
        <w:t>unos receptores de radio digital que permitan la descarga de actualizaciones para algunas de sus funcionalidades específicas, tales como la decodificación, la navegación, la capacidad de gestión, etc.;</w:t>
      </w:r>
    </w:p>
    <w:p w:rsidR="00760AE7" w:rsidRPr="00C61BE3" w:rsidRDefault="00760AE7" w:rsidP="00757955">
      <w:pPr>
        <w:rPr>
          <w:lang w:val="es-ES_tradnl"/>
        </w:rPr>
      </w:pPr>
      <w:r w:rsidRPr="00C61BE3">
        <w:rPr>
          <w:b/>
          <w:bCs/>
          <w:lang w:val="es-ES_tradnl"/>
        </w:rPr>
        <w:t>3</w:t>
      </w:r>
      <w:r w:rsidRPr="00C61BE3">
        <w:rPr>
          <w:lang w:val="es-ES_tradnl"/>
        </w:rPr>
        <w:tab/>
        <w:t>un indicador simple del nivel de campo RF recibido y de la tasa de errores en los bits.</w:t>
      </w:r>
    </w:p>
    <w:p w:rsidR="00760AE7" w:rsidRPr="00C61BE3" w:rsidRDefault="00A14567" w:rsidP="00A14567">
      <w:pPr>
        <w:pStyle w:val="AnnexNoTitle"/>
        <w:rPr>
          <w:lang w:val="es-ES_tradnl"/>
        </w:rPr>
      </w:pPr>
      <w:r w:rsidRPr="00C61BE3">
        <w:rPr>
          <w:lang w:val="es-ES_tradnl"/>
        </w:rPr>
        <w:t>Anexo</w:t>
      </w:r>
      <w:r w:rsidR="00760AE7" w:rsidRPr="00C61BE3">
        <w:rPr>
          <w:lang w:val="es-ES_tradnl"/>
        </w:rPr>
        <w:t xml:space="preserve"> 1</w:t>
      </w:r>
      <w:bookmarkStart w:id="6" w:name="_Toc445621045"/>
      <w:bookmarkStart w:id="7" w:name="_Toc461856187"/>
      <w:r w:rsidR="00760AE7" w:rsidRPr="00C61BE3">
        <w:rPr>
          <w:lang w:val="es-ES_tradnl"/>
        </w:rPr>
        <w:br/>
      </w:r>
      <w:r w:rsidR="00760AE7" w:rsidRPr="00C61BE3">
        <w:rPr>
          <w:lang w:val="es-ES_tradnl"/>
        </w:rPr>
        <w:br/>
        <w:t>Requisitos de servicio para la radiodifusión sonora digital</w:t>
      </w:r>
      <w:r w:rsidR="00760AE7" w:rsidRPr="00C61BE3">
        <w:rPr>
          <w:lang w:val="es-ES_tradnl"/>
        </w:rPr>
        <w:br/>
        <w:t>y su importancia relativa</w:t>
      </w:r>
    </w:p>
    <w:p w:rsidR="00760AE7" w:rsidRPr="00C61BE3" w:rsidRDefault="00760AE7" w:rsidP="00760AE7">
      <w:pPr>
        <w:pStyle w:val="Blanc"/>
        <w:rPr>
          <w:lang w:val="es-ES_tradnl"/>
        </w:rPr>
      </w:pPr>
    </w:p>
    <w:tbl>
      <w:tblPr>
        <w:tblW w:w="0" w:type="auto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222"/>
        <w:gridCol w:w="1418"/>
      </w:tblGrid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bookmarkEnd w:id="6"/>
          <w:bookmarkEnd w:id="7"/>
          <w:p w:rsidR="00760AE7" w:rsidRPr="00C61BE3" w:rsidRDefault="00760AE7" w:rsidP="00D83D7F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C61BE3">
              <w:rPr>
                <w:sz w:val="18"/>
                <w:szCs w:val="18"/>
                <w:lang w:val="es-ES_tradnl"/>
              </w:rPr>
              <w:t>Características de los sistemas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D83D7F">
            <w:pPr>
              <w:pStyle w:val="Tablehead"/>
              <w:rPr>
                <w:sz w:val="18"/>
                <w:szCs w:val="18"/>
                <w:lang w:val="es-ES_tradnl"/>
              </w:rPr>
            </w:pPr>
            <w:r w:rsidRPr="00C61BE3">
              <w:rPr>
                <w:sz w:val="18"/>
                <w:szCs w:val="18"/>
                <w:lang w:val="es-ES_tradnl"/>
              </w:rPr>
              <w:t>Importancia</w:t>
            </w:r>
          </w:p>
        </w:tc>
      </w:tr>
      <w:tr w:rsidR="00760AE7" w:rsidRPr="00492094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sz w:val="18"/>
                <w:lang w:val="es-ES_tradnl"/>
              </w:rPr>
              <w:t>1</w:t>
            </w:r>
            <w:r w:rsidRPr="00C61BE3">
              <w:rPr>
                <w:sz w:val="18"/>
                <w:lang w:val="es-ES_tradnl"/>
              </w:rPr>
              <w:t> –</w:t>
            </w:r>
            <w:r w:rsidRPr="00C61BE3">
              <w:rPr>
                <w:b/>
                <w:bCs/>
                <w:sz w:val="18"/>
                <w:lang w:val="es-ES_tradnl"/>
              </w:rPr>
              <w:t> Requisito de la norma del sistema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El receptor digital debe funcionar en todo el mundo.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492094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sz w:val="18"/>
                <w:lang w:val="es-ES_tradnl"/>
              </w:rPr>
              <w:t>2</w:t>
            </w:r>
            <w:r w:rsidRPr="00C61BE3">
              <w:rPr>
                <w:sz w:val="18"/>
                <w:lang w:val="es-ES_tradnl"/>
              </w:rPr>
              <w:t> –</w:t>
            </w:r>
            <w:r w:rsidRPr="00C61BE3">
              <w:rPr>
                <w:b/>
                <w:bCs/>
                <w:sz w:val="18"/>
                <w:lang w:val="es-ES_tradnl"/>
              </w:rPr>
              <w:t> Capacidad para una transición gradual del sistema analógico al sistema digital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spacing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Radiodifusión simultánea («simulcast») (el sistema analógico y el sistema digital comparten un solo canal).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spacing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492094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spacing w:before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b.</w:t>
            </w:r>
            <w:r w:rsidRPr="00C61BE3">
              <w:rPr>
                <w:sz w:val="18"/>
                <w:lang w:val="es-ES_tradnl"/>
              </w:rPr>
              <w:tab/>
              <w:t>Multidifusión («multicast») (el sistema analógico y el sistema digital ocupan canales distintos).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757955">
            <w:pPr>
              <w:pStyle w:val="Tabletext"/>
              <w:keepNext/>
              <w:keepLines/>
              <w:spacing w:before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sz w:val="18"/>
                <w:lang w:val="es-ES_tradnl"/>
              </w:rPr>
              <w:t>3</w:t>
            </w:r>
            <w:r w:rsidRPr="00C61BE3">
              <w:rPr>
                <w:sz w:val="18"/>
                <w:lang w:val="es-ES_tradnl"/>
              </w:rPr>
              <w:t> –</w:t>
            </w:r>
            <w:r w:rsidRPr="00C61BE3">
              <w:rPr>
                <w:b/>
                <w:bCs/>
                <w:sz w:val="18"/>
                <w:lang w:val="es-ES_tradnl"/>
              </w:rPr>
              <w:t> Difusión de datos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Audio y datos (es decir capacidad de difusión de datos).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b.</w:t>
            </w:r>
            <w:r w:rsidRPr="00C61BE3">
              <w:rPr>
                <w:sz w:val="18"/>
                <w:lang w:val="es-ES_tradnl"/>
              </w:rPr>
              <w:tab/>
              <w:t>Provisión de control de acceso y aleatorización.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C</w:t>
            </w:r>
          </w:p>
        </w:tc>
      </w:tr>
      <w:tr w:rsidR="00760AE7" w:rsidRPr="00492094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sz w:val="18"/>
                <w:lang w:val="es-ES_tradnl"/>
              </w:rPr>
              <w:t>4</w:t>
            </w:r>
            <w:r w:rsidRPr="00C61BE3">
              <w:rPr>
                <w:sz w:val="18"/>
                <w:lang w:val="es-ES_tradnl"/>
              </w:rPr>
              <w:t> –</w:t>
            </w:r>
            <w:r w:rsidRPr="00C61BE3">
              <w:rPr>
                <w:b/>
                <w:bCs/>
                <w:sz w:val="18"/>
                <w:lang w:val="es-ES_tradnl"/>
              </w:rPr>
              <w:t> Requisitos de la calidad de audio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Calidad de audio mejorada con respecto a la de los sistemas analógicos equivalentes.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b.</w:t>
            </w:r>
            <w:r w:rsidRPr="00C61BE3">
              <w:rPr>
                <w:sz w:val="18"/>
                <w:lang w:val="es-ES_tradnl"/>
              </w:rPr>
              <w:tab/>
              <w:t>Multiidioma o dual-mono.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c.</w:t>
            </w:r>
            <w:r w:rsidRPr="00C61BE3">
              <w:rPr>
                <w:sz w:val="18"/>
                <w:lang w:val="es-ES_tradnl"/>
              </w:rPr>
              <w:tab/>
              <w:t>Capacidad estereofónica.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d.</w:t>
            </w:r>
            <w:r w:rsidRPr="00C61BE3">
              <w:rPr>
                <w:sz w:val="18"/>
                <w:lang w:val="es-ES_tradnl"/>
              </w:rPr>
              <w:tab/>
              <w:t>División de velocidad binaria dinámica entre audio y datos (datos oportunísticos).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0AE7" w:rsidRPr="00C61BE3" w:rsidRDefault="00760AE7" w:rsidP="00AB77B7">
            <w:pPr>
              <w:pStyle w:val="Tabletext"/>
              <w:spacing w:before="0"/>
              <w:ind w:left="284" w:hanging="284"/>
              <w:jc w:val="left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e.</w:t>
            </w:r>
            <w:r w:rsidRPr="00C61BE3">
              <w:rPr>
                <w:sz w:val="18"/>
                <w:lang w:val="es-ES_tradnl"/>
              </w:rPr>
              <w:tab/>
              <w:t>Velocidad binaria seleccionable en pequeños incrementos y soporte de la velocidad binaria superior a la que</w:t>
            </w:r>
            <w:r w:rsidR="00AB77B7" w:rsidRPr="00C61BE3">
              <w:rPr>
                <w:sz w:val="18"/>
                <w:lang w:val="es-ES_tradnl"/>
              </w:rPr>
              <w:t> </w:t>
            </w:r>
            <w:r w:rsidRPr="00C61BE3">
              <w:rPr>
                <w:sz w:val="18"/>
                <w:lang w:val="es-ES_tradnl"/>
              </w:rPr>
              <w:t>podría lograrse en la fecha de introducción.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sz w:val="18"/>
                <w:lang w:val="es-ES_tradnl"/>
              </w:rPr>
              <w:t>5</w:t>
            </w:r>
            <w:r w:rsidRPr="00C61BE3">
              <w:rPr>
                <w:sz w:val="18"/>
                <w:lang w:val="es-ES_tradnl"/>
              </w:rPr>
              <w:t> –</w:t>
            </w:r>
            <w:r w:rsidRPr="00C61BE3">
              <w:rPr>
                <w:b/>
                <w:bCs/>
                <w:sz w:val="18"/>
                <w:lang w:val="es-ES_tradnl"/>
              </w:rPr>
              <w:t> Eficacia espectral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Una sola frecuencia desde transmisores geográficamente separados o coubicados.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b.</w:t>
            </w:r>
            <w:r w:rsidRPr="00C61BE3">
              <w:rPr>
                <w:sz w:val="18"/>
                <w:lang w:val="es-ES_tradnl"/>
              </w:rPr>
              <w:tab/>
              <w:t>Cumple los requisitos de la UIT con respecto a la anchura de banda y a la separación de canales en RF.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c.</w:t>
            </w:r>
            <w:r w:rsidRPr="00C61BE3">
              <w:rPr>
                <w:sz w:val="18"/>
                <w:lang w:val="es-ES_tradnl"/>
              </w:rPr>
              <w:tab/>
              <w:t>Posible interferencia no superior a la modulación de amplitud equivalente.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d.</w:t>
            </w:r>
            <w:r w:rsidRPr="00C61BE3">
              <w:rPr>
                <w:sz w:val="18"/>
                <w:lang w:val="es-ES_tradnl"/>
              </w:rPr>
              <w:tab/>
              <w:t>Susceptibilidad a la interferencia no superior a la de la modulación de amplitud equivalente.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sz w:val="18"/>
                <w:lang w:val="es-ES_tradnl"/>
              </w:rPr>
              <w:t>6</w:t>
            </w:r>
            <w:r w:rsidRPr="00C61BE3">
              <w:rPr>
                <w:sz w:val="18"/>
                <w:lang w:val="es-ES_tradnl"/>
              </w:rPr>
              <w:t> –</w:t>
            </w:r>
            <w:r w:rsidRPr="00C61BE3">
              <w:rPr>
                <w:b/>
                <w:bCs/>
                <w:sz w:val="18"/>
                <w:lang w:val="es-ES_tradnl"/>
              </w:rPr>
              <w:t> Fiabilidad de los servicios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Mejora en la fiabilidad de la recepción.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b.</w:t>
            </w:r>
            <w:r w:rsidRPr="00C61BE3">
              <w:rPr>
                <w:sz w:val="18"/>
                <w:lang w:val="es-ES_tradnl"/>
              </w:rPr>
              <w:tab/>
              <w:t>Disminución importante de la susceptibilidad a los efectos del desvanecimiento.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ind w:left="284" w:hanging="284"/>
              <w:jc w:val="left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c.</w:t>
            </w:r>
            <w:r w:rsidRPr="00C61BE3">
              <w:rPr>
                <w:sz w:val="18"/>
                <w:lang w:val="es-ES_tradnl"/>
              </w:rPr>
              <w:tab/>
              <w:t>1)</w:t>
            </w:r>
            <w:r w:rsidRPr="00C61BE3">
              <w:rPr>
                <w:sz w:val="18"/>
                <w:lang w:val="es-ES_tradnl"/>
              </w:rPr>
              <w:tab/>
              <w:t>Conmutación de frecuencia automática en el receptor.</w:t>
            </w:r>
            <w:r w:rsidRPr="00C61BE3">
              <w:rPr>
                <w:sz w:val="18"/>
                <w:lang w:val="es-ES_tradnl"/>
              </w:rPr>
              <w:br/>
              <w:t>2)</w:t>
            </w:r>
            <w:r w:rsidRPr="00C61BE3">
              <w:rPr>
                <w:sz w:val="18"/>
                <w:lang w:val="es-ES_tradnl"/>
              </w:rPr>
              <w:tab/>
              <w:t>Conmutación de frecuencia automática en el receptor inaudible.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  <w:r w:rsidRPr="00C61BE3">
              <w:rPr>
                <w:sz w:val="18"/>
                <w:lang w:val="es-ES_tradnl"/>
              </w:rPr>
              <w:br/>
              <w:t>C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d.</w:t>
            </w:r>
            <w:r w:rsidRPr="00C61BE3">
              <w:rPr>
                <w:sz w:val="18"/>
                <w:lang w:val="es-ES_tradnl"/>
              </w:rPr>
              <w:tab/>
              <w:t>Recepción en vehículos, portátil y fija.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e.</w:t>
            </w:r>
            <w:r w:rsidRPr="00C61BE3">
              <w:rPr>
                <w:sz w:val="18"/>
                <w:lang w:val="es-ES_tradnl"/>
              </w:rPr>
              <w:tab/>
              <w:t>Sintonía rápida.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f.</w:t>
            </w:r>
            <w:r w:rsidRPr="00C61BE3">
              <w:rPr>
                <w:sz w:val="18"/>
                <w:lang w:val="es-ES_tradnl"/>
              </w:rPr>
              <w:tab/>
              <w:t>Degradación gradual.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g.</w:t>
            </w:r>
            <w:r w:rsidRPr="00C61BE3">
              <w:rPr>
                <w:sz w:val="18"/>
                <w:lang w:val="es-ES_tradnl"/>
              </w:rPr>
              <w:tab/>
              <w:t>Mantenimiento de la zona de cobertura.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h.</w:t>
            </w:r>
            <w:r w:rsidRPr="00C61BE3">
              <w:rPr>
                <w:sz w:val="18"/>
                <w:lang w:val="es-ES_tradnl"/>
              </w:rPr>
              <w:tab/>
              <w:t>Buena recepción en interiores.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492094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sz w:val="18"/>
                <w:lang w:val="es-ES_tradnl"/>
              </w:rPr>
              <w:t>7</w:t>
            </w:r>
            <w:r w:rsidRPr="00C61BE3">
              <w:rPr>
                <w:sz w:val="18"/>
                <w:lang w:val="es-ES_tradnl"/>
              </w:rPr>
              <w:t> – </w:t>
            </w:r>
            <w:r w:rsidRPr="00C61BE3">
              <w:rPr>
                <w:b/>
                <w:bCs/>
                <w:sz w:val="18"/>
                <w:lang w:val="es-ES_tradnl"/>
              </w:rPr>
              <w:t>Información del servicio para selección de sintonía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ind w:left="284" w:hanging="284"/>
              <w:jc w:val="left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Selección simplificada de servicios utilizando datos relacionados con el programa para seleccionar el organismo de radiodifusión y el contenido del programa.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br/>
              <w:t>B</w:t>
            </w:r>
          </w:p>
        </w:tc>
      </w:tr>
      <w:tr w:rsidR="00760AE7" w:rsidRPr="00492094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sz w:val="18"/>
                <w:lang w:val="es-ES_tradnl"/>
              </w:rPr>
              <w:t>8</w:t>
            </w:r>
            <w:r w:rsidRPr="00C61BE3">
              <w:rPr>
                <w:sz w:val="18"/>
                <w:lang w:val="es-ES_tradnl"/>
              </w:rPr>
              <w:t> – </w:t>
            </w:r>
            <w:r w:rsidRPr="00C61BE3">
              <w:rPr>
                <w:b/>
                <w:bCs/>
                <w:sz w:val="18"/>
                <w:lang w:val="es-ES_tradnl"/>
              </w:rPr>
              <w:t>Consideraciones sobre el sistema de transmisión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Utilización de los actuales transmisores modernos capaces de funcionar con sistemas digitales y analógicos.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b.</w:t>
            </w:r>
            <w:r w:rsidRPr="00C61BE3">
              <w:rPr>
                <w:sz w:val="18"/>
                <w:lang w:val="es-ES_tradnl"/>
              </w:rPr>
              <w:tab/>
              <w:t>Ahorro de potencia cubriendo la misma zona de servicio con la misma fiabilidad de servicio.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C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c.</w:t>
            </w:r>
            <w:r w:rsidRPr="00C61BE3">
              <w:rPr>
                <w:sz w:val="18"/>
                <w:lang w:val="es-ES_tradnl"/>
              </w:rPr>
              <w:tab/>
              <w:t>Las emisiones no esenciales y fuera de banda deben cumplir la reglamentación de la UIT.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caps/>
                <w:sz w:val="18"/>
                <w:lang w:val="es-ES_tradnl"/>
              </w:rPr>
              <w:t>9</w:t>
            </w:r>
            <w:r w:rsidRPr="00C61BE3">
              <w:rPr>
                <w:caps/>
                <w:sz w:val="18"/>
                <w:lang w:val="es-ES_tradnl"/>
              </w:rPr>
              <w:t> –</w:t>
            </w:r>
            <w:r w:rsidRPr="00C61BE3">
              <w:rPr>
                <w:b/>
                <w:bCs/>
                <w:caps/>
                <w:sz w:val="18"/>
                <w:lang w:val="es-ES_tradnl"/>
              </w:rPr>
              <w:t> C</w:t>
            </w:r>
            <w:r w:rsidRPr="00C61BE3">
              <w:rPr>
                <w:b/>
                <w:bCs/>
                <w:sz w:val="18"/>
                <w:lang w:val="es-ES_tradnl"/>
              </w:rPr>
              <w:t>onsideraciones sobre el receptor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La complejidad del sistema no debe impedir la fabricación de receptores de bajo coste.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ind w:left="284" w:hanging="284"/>
              <w:jc w:val="left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b.</w:t>
            </w:r>
            <w:r w:rsidRPr="00C61BE3">
              <w:rPr>
                <w:sz w:val="18"/>
                <w:lang w:val="es-ES_tradnl"/>
              </w:rPr>
              <w:tab/>
              <w:t>La complejidad del sistema debe permitir la fabricación de receptores alimentados por pilas con un bajo consumo de potencia.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before="0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</w:t>
            </w: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rPr>
                <w:sz w:val="18"/>
                <w:lang w:val="es-ES_tradnl"/>
              </w:rPr>
            </w:pPr>
            <w:r w:rsidRPr="00C61BE3">
              <w:rPr>
                <w:b/>
                <w:bCs/>
                <w:sz w:val="18"/>
                <w:lang w:val="es-ES_tradnl"/>
              </w:rPr>
              <w:t>10</w:t>
            </w:r>
            <w:r w:rsidRPr="00C61BE3">
              <w:rPr>
                <w:sz w:val="18"/>
                <w:lang w:val="es-ES_tradnl"/>
              </w:rPr>
              <w:t> –</w:t>
            </w:r>
            <w:r w:rsidRPr="00C61BE3">
              <w:rPr>
                <w:b/>
                <w:bCs/>
                <w:sz w:val="18"/>
                <w:lang w:val="es-ES_tradnl"/>
              </w:rPr>
              <w:t> Compromiso variable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spacing w:after="0"/>
              <w:jc w:val="center"/>
              <w:rPr>
                <w:sz w:val="18"/>
                <w:lang w:val="es-ES_tradnl"/>
              </w:rPr>
            </w:pPr>
          </w:p>
        </w:tc>
      </w:tr>
      <w:tr w:rsidR="00760AE7" w:rsidRPr="00C61BE3" w:rsidTr="005C4648">
        <w:trPr>
          <w:cantSplit/>
          <w:jc w:val="center"/>
        </w:trPr>
        <w:tc>
          <w:tcPr>
            <w:tcW w:w="822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0AE7" w:rsidRPr="00C61BE3" w:rsidRDefault="00760AE7" w:rsidP="005C4648">
            <w:pPr>
              <w:pStyle w:val="Tabletext"/>
              <w:ind w:left="284" w:hanging="284"/>
              <w:jc w:val="left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a.</w:t>
            </w:r>
            <w:r w:rsidRPr="00C61BE3">
              <w:rPr>
                <w:sz w:val="18"/>
                <w:lang w:val="es-ES_tradnl"/>
              </w:rPr>
              <w:tab/>
              <w:t>Posibilidad de seleccionar los parámetros del sistema dependiendo de los requisitos del organismo de radiodifusión.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60AE7" w:rsidRPr="00C61BE3" w:rsidRDefault="00760AE7" w:rsidP="005C464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B</w:t>
            </w:r>
          </w:p>
        </w:tc>
      </w:tr>
      <w:tr w:rsidR="00760AE7" w:rsidRPr="00492094" w:rsidTr="005C4648">
        <w:trPr>
          <w:cantSplit/>
          <w:jc w:val="center"/>
        </w:trPr>
        <w:tc>
          <w:tcPr>
            <w:tcW w:w="9640" w:type="dxa"/>
            <w:gridSpan w:val="2"/>
            <w:tcBorders>
              <w:top w:val="single" w:sz="6" w:space="0" w:color="auto"/>
            </w:tcBorders>
          </w:tcPr>
          <w:p w:rsidR="00760AE7" w:rsidRPr="00C61BE3" w:rsidRDefault="00760AE7" w:rsidP="005C4648">
            <w:pPr>
              <w:pStyle w:val="TableLegendNote"/>
              <w:ind w:left="0" w:right="0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Importancia relativa de las características del sistema:</w:t>
            </w:r>
          </w:p>
          <w:p w:rsidR="00760AE7" w:rsidRPr="00C61BE3" w:rsidRDefault="00760AE7" w:rsidP="005C4648">
            <w:pPr>
              <w:pStyle w:val="TableLegendNote"/>
              <w:spacing w:before="40"/>
              <w:ind w:left="0" w:right="0"/>
              <w:jc w:val="left"/>
              <w:rPr>
                <w:sz w:val="18"/>
                <w:lang w:val="es-ES_tradnl"/>
              </w:rPr>
            </w:pPr>
            <w:r w:rsidRPr="00C61BE3">
              <w:rPr>
                <w:sz w:val="18"/>
                <w:lang w:val="es-ES_tradnl"/>
              </w:rPr>
              <w:t>A = Obligatoria</w:t>
            </w:r>
            <w:r w:rsidRPr="00C61BE3">
              <w:rPr>
                <w:sz w:val="18"/>
                <w:lang w:val="es-ES_tradnl"/>
              </w:rPr>
              <w:br/>
              <w:t>B = Muy deseable</w:t>
            </w:r>
            <w:r w:rsidRPr="00C61BE3">
              <w:rPr>
                <w:sz w:val="18"/>
                <w:lang w:val="es-ES_tradnl"/>
              </w:rPr>
              <w:br/>
              <w:t>C = Deseable</w:t>
            </w:r>
          </w:p>
        </w:tc>
      </w:tr>
    </w:tbl>
    <w:p w:rsidR="00760AE7" w:rsidRPr="00C61BE3" w:rsidRDefault="00760AE7" w:rsidP="00760AE7">
      <w:pPr>
        <w:pStyle w:val="Tablefin"/>
        <w:rPr>
          <w:lang w:val="es-ES_tradnl"/>
        </w:rPr>
      </w:pPr>
    </w:p>
    <w:p w:rsidR="00973801" w:rsidRPr="00C61BE3" w:rsidRDefault="00973801" w:rsidP="00973801">
      <w:pPr>
        <w:spacing w:before="0"/>
        <w:rPr>
          <w:lang w:val="es-ES_tradnl"/>
        </w:rPr>
      </w:pPr>
    </w:p>
    <w:p w:rsidR="00760AE7" w:rsidRPr="00C61BE3" w:rsidRDefault="00760AE7">
      <w:pPr>
        <w:jc w:val="center"/>
        <w:rPr>
          <w:lang w:val="es-ES_tradnl"/>
        </w:rPr>
      </w:pPr>
      <w:r w:rsidRPr="00C61BE3">
        <w:rPr>
          <w:lang w:val="es-ES_tradnl"/>
        </w:rPr>
        <w:t>______________</w:t>
      </w:r>
    </w:p>
    <w:sectPr w:rsidR="00760AE7" w:rsidRPr="00C61BE3" w:rsidSect="006E3C46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AE7" w:rsidRDefault="00760AE7">
      <w:r>
        <w:separator/>
      </w:r>
    </w:p>
  </w:endnote>
  <w:endnote w:type="continuationSeparator" w:id="0">
    <w:p w:rsidR="00760AE7" w:rsidRDefault="00760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AE7" w:rsidRDefault="00760AE7">
      <w:r>
        <w:separator/>
      </w:r>
    </w:p>
  </w:footnote>
  <w:footnote w:type="continuationSeparator" w:id="0">
    <w:p w:rsidR="00760AE7" w:rsidRDefault="00760AE7">
      <w:r>
        <w:continuationSeparator/>
      </w:r>
    </w:p>
  </w:footnote>
  <w:footnote w:id="1">
    <w:p w:rsidR="00760AE7" w:rsidRPr="00D456B2" w:rsidRDefault="00760AE7" w:rsidP="00760AE7">
      <w:pPr>
        <w:pStyle w:val="FootnoteText"/>
        <w:rPr>
          <w:lang w:val="es-ES_tradnl"/>
        </w:rPr>
      </w:pPr>
      <w:r w:rsidRPr="00D456B2">
        <w:rPr>
          <w:rStyle w:val="FootnoteReference"/>
          <w:lang w:val="es-ES_tradnl"/>
        </w:rPr>
        <w:t>*</w:t>
      </w:r>
      <w:r w:rsidRPr="00D456B2">
        <w:rPr>
          <w:lang w:val="es-ES_tradnl"/>
        </w:rPr>
        <w:t xml:space="preserve"> </w:t>
      </w:r>
      <w:r>
        <w:rPr>
          <w:lang w:val="es-ES_tradnl"/>
        </w:rPr>
        <w:tab/>
      </w:r>
      <w:r w:rsidRPr="00D456B2">
        <w:rPr>
          <w:szCs w:val="22"/>
          <w:lang w:val="es-ES"/>
        </w:rPr>
        <w:t>Esta Recomendación debe señalarse a la atención de la Comisión Electrotécnica Internacional (CEI).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AE7" w:rsidRDefault="00760AE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AE7" w:rsidRDefault="00760AE7" w:rsidP="00D62884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9264" behindDoc="0" locked="0" layoutInCell="1" allowOverlap="1" wp14:anchorId="036F4D99" wp14:editId="6000AB5D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_tradnl" w:eastAsia="zh-CN"/>
      </w:rPr>
      <w:drawing>
        <wp:anchor distT="0" distB="0" distL="114300" distR="114300" simplePos="0" relativeHeight="251657216" behindDoc="1" locked="0" layoutInCell="1" allowOverlap="1" wp14:anchorId="14BB0540" wp14:editId="65C522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AE7" w:rsidRDefault="00760AE7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9209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A57730" w:rsidRPr="00A57730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92094">
      <w:rPr>
        <w:b/>
        <w:bCs/>
        <w:noProof/>
      </w:rPr>
      <w:t>UIT-R  BS.1348-3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AE7" w:rsidRDefault="00760AE7">
    <w:pPr>
      <w:pStyle w:val="Header"/>
    </w:pPr>
    <w:r>
      <w:tab/>
    </w:r>
    <w:fldSimple w:instr=" DOCPROPERTY &quot;Header&quot; \* MERGEFORMAT ">
      <w:r w:rsidR="00A57730" w:rsidRPr="00A57730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57730">
      <w:rPr>
        <w:b/>
        <w:bCs/>
        <w:noProof/>
      </w:rPr>
      <w:t>UIT-R  BS.1348-3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9209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A57730" w:rsidRPr="00A57730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92094">
      <w:rPr>
        <w:b/>
        <w:bCs/>
        <w:noProof/>
      </w:rPr>
      <w:t>UIT-R  BS.1348-3</w:t>
    </w:r>
    <w:r>
      <w:rPr>
        <w:b/>
        <w:bCs/>
      </w:rPr>
      <w:fldChar w:fldCharType="end"/>
    </w:r>
  </w:p>
  <w:p w:rsidR="00410137" w:rsidRDefault="0041013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A57730" w:rsidRPr="00A5773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92094">
      <w:rPr>
        <w:b/>
        <w:bCs/>
        <w:noProof/>
      </w:rPr>
      <w:t>UIT-R  BS.1348-3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92094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  <w:p w:rsidR="00410137" w:rsidRDefault="0041013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1826C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B428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9483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B0EC1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744D0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D472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CBE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C0F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B46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9CC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AE7"/>
    <w:rsid w:val="001F6ED1"/>
    <w:rsid w:val="00217EBF"/>
    <w:rsid w:val="00242AEE"/>
    <w:rsid w:val="002D76C4"/>
    <w:rsid w:val="00410137"/>
    <w:rsid w:val="00492094"/>
    <w:rsid w:val="0052529D"/>
    <w:rsid w:val="005C03D6"/>
    <w:rsid w:val="00607D68"/>
    <w:rsid w:val="006E3C46"/>
    <w:rsid w:val="007468DA"/>
    <w:rsid w:val="00757955"/>
    <w:rsid w:val="00760AE7"/>
    <w:rsid w:val="00952A7F"/>
    <w:rsid w:val="00973801"/>
    <w:rsid w:val="009E00A8"/>
    <w:rsid w:val="00A14567"/>
    <w:rsid w:val="00A57730"/>
    <w:rsid w:val="00A6617B"/>
    <w:rsid w:val="00AB0DC8"/>
    <w:rsid w:val="00AB77B7"/>
    <w:rsid w:val="00B44E24"/>
    <w:rsid w:val="00C21232"/>
    <w:rsid w:val="00C25E15"/>
    <w:rsid w:val="00C61BE3"/>
    <w:rsid w:val="00D83D7F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44460671-DE1F-4433-AB95-A7A45620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AE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760AE7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760AE7"/>
    <w:rPr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760AE7"/>
    <w:pPr>
      <w:spacing w:before="480"/>
    </w:pPr>
    <w:rPr>
      <w:sz w:val="20"/>
      <w:lang w:val="en-GB" w:eastAsia="zh-CN"/>
    </w:rPr>
  </w:style>
  <w:style w:type="paragraph" w:customStyle="1" w:styleId="call0">
    <w:name w:val="call"/>
    <w:basedOn w:val="Normal"/>
    <w:next w:val="Normal"/>
    <w:rsid w:val="00760AE7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asons">
    <w:name w:val="Reasons"/>
    <w:basedOn w:val="Normal"/>
    <w:qFormat/>
    <w:rsid w:val="00760AE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75795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57955"/>
    <w:rPr>
      <w:rFonts w:ascii="Segoe UI" w:hAnsi="Segoe UI" w:cs="Segoe UI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3FE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82</TotalTime>
  <Pages>5</Pages>
  <Words>1664</Words>
  <Characters>9152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RECOMENDACIÓN  UIT-R  BS.1348-3 - Requisitos de servicio de la radiodifusión sonora digital para frecuencias inferiores a 30 MHz*</vt:lpstr>
      <vt:lpstr>Política sobre Derechos de Propiedad Intelectual (IPR)</vt:lpstr>
    </vt:vector>
  </TitlesOfParts>
  <Manager/>
  <Company>ITU</Company>
  <LinksUpToDate>false</LinksUpToDate>
  <CharactersWithSpaces>10795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BS.1348-3 - Requisitos de servicio de la radiodifusión sonora digital para frecuencias inferiores a 30 MHz*</dc:title>
  <dc:subject>Serie BS = Servicio de radiodifusión (radiofonía)</dc:subject>
  <dc:creator>Oficina de Radiocomunicaciones del UIT (BR)</dc:creator>
  <cp:keywords>BS,1348-3</cp:keywords>
  <dc:description>Martiner, 06.08.2015, ITU51007786</dc:description>
  <cp:lastModifiedBy>Martinez Romera, Angel</cp:lastModifiedBy>
  <cp:revision>14</cp:revision>
  <cp:lastPrinted>2015-08-06T09:03:00Z</cp:lastPrinted>
  <dcterms:created xsi:type="dcterms:W3CDTF">2015-08-06T07:46:00Z</dcterms:created>
  <dcterms:modified xsi:type="dcterms:W3CDTF">2015-08-06T09:31:00Z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Martiner</vt:lpwstr>
  </property>
  <property fmtid="{D5CDD505-2E9C-101B-9397-08002B2CF9AE}" pid="11" name="Date completed">
    <vt:lpwstr>jeudi 6 août 2015</vt:lpwstr>
  </property>
</Properties>
</file>