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008" w:rsidRDefault="00667008" w:rsidP="00667008">
      <w:bookmarkStart w:id="0" w:name="_GoBack"/>
      <w:bookmarkEnd w:id="0"/>
    </w:p>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tbl>
      <w:tblPr>
        <w:tblW w:w="10089" w:type="dxa"/>
        <w:tblLook w:val="01E0" w:firstRow="1" w:lastRow="1" w:firstColumn="1" w:lastColumn="1" w:noHBand="0" w:noVBand="0"/>
      </w:tblPr>
      <w:tblGrid>
        <w:gridCol w:w="10089"/>
      </w:tblGrid>
      <w:tr w:rsidR="00667008" w:rsidRPr="00A443C2" w:rsidTr="000D72CA">
        <w:tc>
          <w:tcPr>
            <w:tcW w:w="10089" w:type="dxa"/>
          </w:tcPr>
          <w:p w:rsidR="00667008" w:rsidRPr="00B033C8" w:rsidRDefault="00667008" w:rsidP="000D72CA">
            <w:pPr>
              <w:spacing w:before="380" w:line="280" w:lineRule="exact"/>
              <w:jc w:val="right"/>
              <w:rPr>
                <w:rFonts w:ascii="Tahoma" w:hAnsi="Tahoma" w:cs="Tahoma"/>
                <w:b/>
                <w:bCs/>
                <w:iCs/>
                <w:color w:val="243285"/>
                <w:sz w:val="32"/>
                <w:szCs w:val="32"/>
                <w:lang w:val="en-US"/>
              </w:rPr>
            </w:pPr>
          </w:p>
          <w:p w:rsidR="00667008" w:rsidRDefault="00667008" w:rsidP="0066700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6E345F">
              <w:rPr>
                <w:rFonts w:ascii="Tahoma" w:hAnsi="Tahoma" w:cs="Tahoma"/>
                <w:b/>
                <w:bCs/>
                <w:iCs/>
                <w:color w:val="243285"/>
                <w:sz w:val="36"/>
                <w:szCs w:val="36"/>
              </w:rPr>
              <w:t>1348-3</w:t>
            </w:r>
          </w:p>
          <w:p w:rsidR="00667008" w:rsidRPr="00A443C2" w:rsidRDefault="00667008" w:rsidP="000D72C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D72CA">
              <w:rPr>
                <w:rFonts w:ascii="Tahoma" w:hAnsi="Tahoma" w:cs="Tahoma"/>
                <w:b/>
                <w:bCs/>
                <w:iCs/>
                <w:color w:val="243285"/>
                <w:szCs w:val="24"/>
              </w:rPr>
              <w:t>06</w:t>
            </w:r>
            <w:r w:rsidRPr="00A443C2">
              <w:rPr>
                <w:rFonts w:ascii="Tahoma" w:hAnsi="Tahoma" w:cs="Tahoma"/>
                <w:b/>
                <w:bCs/>
                <w:iCs/>
                <w:color w:val="243285"/>
                <w:szCs w:val="24"/>
              </w:rPr>
              <w:t>/</w:t>
            </w:r>
            <w:r w:rsidR="000D72CA">
              <w:rPr>
                <w:rFonts w:ascii="Tahoma" w:hAnsi="Tahoma" w:cs="Tahoma"/>
                <w:b/>
                <w:bCs/>
                <w:iCs/>
                <w:color w:val="243285"/>
                <w:szCs w:val="24"/>
              </w:rPr>
              <w:t>2014</w:t>
            </w:r>
            <w:r w:rsidRPr="00A443C2">
              <w:rPr>
                <w:rFonts w:ascii="Tahoma" w:hAnsi="Tahoma" w:cs="Tahoma"/>
                <w:b/>
                <w:bCs/>
                <w:iCs/>
                <w:color w:val="243285"/>
                <w:szCs w:val="24"/>
              </w:rPr>
              <w:t>)</w:t>
            </w:r>
          </w:p>
        </w:tc>
      </w:tr>
      <w:tr w:rsidR="00667008" w:rsidRPr="00F54FBD" w:rsidTr="000D72CA">
        <w:tc>
          <w:tcPr>
            <w:tcW w:w="10089" w:type="dxa"/>
          </w:tcPr>
          <w:p w:rsidR="00667008" w:rsidRDefault="00667008" w:rsidP="000D72CA">
            <w:pPr>
              <w:spacing w:before="80" w:line="500" w:lineRule="exact"/>
              <w:jc w:val="right"/>
              <w:rPr>
                <w:rFonts w:ascii="Tahoma" w:hAnsi="Tahoma" w:cs="Tahoma"/>
                <w:b/>
                <w:bCs/>
                <w:iCs/>
                <w:color w:val="243285"/>
                <w:sz w:val="44"/>
                <w:szCs w:val="44"/>
              </w:rPr>
            </w:pPr>
          </w:p>
          <w:p w:rsidR="00667008" w:rsidRDefault="00667008" w:rsidP="00667008">
            <w:pPr>
              <w:spacing w:before="80" w:line="500" w:lineRule="exact"/>
              <w:jc w:val="right"/>
              <w:rPr>
                <w:rFonts w:ascii="Tahoma" w:hAnsi="Tahoma" w:cs="Tahoma"/>
                <w:b/>
                <w:bCs/>
                <w:iCs/>
                <w:color w:val="243285"/>
                <w:sz w:val="44"/>
                <w:szCs w:val="44"/>
              </w:rPr>
            </w:pPr>
            <w:r w:rsidRPr="00667008">
              <w:rPr>
                <w:rFonts w:ascii="Tahoma" w:hAnsi="Tahoma" w:cs="Tahoma"/>
                <w:b/>
                <w:bCs/>
                <w:iCs/>
                <w:color w:val="243285"/>
                <w:sz w:val="44"/>
                <w:szCs w:val="44"/>
                <w:lang w:val="fr-CH"/>
              </w:rPr>
              <w:t>Cahier des charges du service de radiodiffusion sonore numérique aux fréquences inférieures à 30 MHz</w:t>
            </w:r>
          </w:p>
          <w:p w:rsidR="00667008" w:rsidRPr="00F54FBD" w:rsidRDefault="00667008" w:rsidP="000D72CA">
            <w:pPr>
              <w:spacing w:before="80" w:line="500" w:lineRule="exact"/>
              <w:jc w:val="right"/>
              <w:rPr>
                <w:rFonts w:ascii="Tahoma" w:hAnsi="Tahoma" w:cs="Tahoma"/>
                <w:b/>
                <w:bCs/>
                <w:iCs/>
                <w:color w:val="243285"/>
                <w:sz w:val="44"/>
                <w:szCs w:val="44"/>
              </w:rPr>
            </w:pPr>
          </w:p>
        </w:tc>
      </w:tr>
      <w:tr w:rsidR="00667008" w:rsidRPr="00F54FBD" w:rsidTr="000D72CA">
        <w:tc>
          <w:tcPr>
            <w:tcW w:w="10089" w:type="dxa"/>
          </w:tcPr>
          <w:p w:rsidR="00667008" w:rsidRPr="00F54FBD" w:rsidRDefault="00667008" w:rsidP="000D72CA">
            <w:pPr>
              <w:spacing w:before="80" w:line="280" w:lineRule="exact"/>
              <w:ind w:right="640"/>
              <w:rPr>
                <w:rFonts w:ascii="Tahoma" w:hAnsi="Tahoma" w:cs="Tahoma"/>
                <w:b/>
                <w:bCs/>
                <w:iCs/>
                <w:color w:val="243285"/>
                <w:sz w:val="32"/>
                <w:szCs w:val="32"/>
              </w:rPr>
            </w:pPr>
          </w:p>
          <w:p w:rsidR="00667008" w:rsidRPr="00F54FBD" w:rsidRDefault="00667008" w:rsidP="000D72CA">
            <w:pPr>
              <w:spacing w:before="80" w:line="280" w:lineRule="exact"/>
              <w:ind w:right="640"/>
              <w:rPr>
                <w:rFonts w:ascii="Tahoma" w:hAnsi="Tahoma" w:cs="Tahoma"/>
                <w:b/>
                <w:bCs/>
                <w:iCs/>
                <w:color w:val="243285"/>
                <w:sz w:val="32"/>
                <w:szCs w:val="32"/>
              </w:rPr>
            </w:pPr>
          </w:p>
          <w:p w:rsidR="00667008" w:rsidRPr="00F54FBD" w:rsidRDefault="00667008" w:rsidP="000D72CA">
            <w:pPr>
              <w:spacing w:before="80" w:after="180" w:line="360" w:lineRule="exact"/>
              <w:ind w:right="720"/>
              <w:rPr>
                <w:rFonts w:ascii="Tahoma" w:hAnsi="Tahoma" w:cs="Tahoma"/>
                <w:b/>
                <w:bCs/>
                <w:iCs/>
                <w:color w:val="243285"/>
                <w:sz w:val="36"/>
                <w:szCs w:val="36"/>
              </w:rPr>
            </w:pPr>
          </w:p>
          <w:p w:rsidR="00667008" w:rsidRPr="00F54FBD" w:rsidRDefault="00667008" w:rsidP="000D72C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667008" w:rsidRPr="00F54FBD" w:rsidRDefault="00667008" w:rsidP="000D72C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pStyle w:val="Equation"/>
        <w:tabs>
          <w:tab w:val="clear" w:pos="4820"/>
          <w:tab w:val="clear" w:pos="9639"/>
          <w:tab w:val="left" w:pos="1191"/>
          <w:tab w:val="left" w:pos="1588"/>
          <w:tab w:val="left" w:pos="1985"/>
        </w:tabs>
        <w:rPr>
          <w:rFonts w:ascii="Palatino Linotype" w:hAnsi="Palatino Linotype"/>
        </w:rPr>
        <w:sectPr w:rsidR="00667008" w:rsidRPr="00F54FBD">
          <w:headerReference w:type="even" r:id="rId7"/>
          <w:headerReference w:type="default" r:id="rId8"/>
          <w:pgSz w:w="11907" w:h="16840" w:code="9"/>
          <w:pgMar w:top="1089" w:right="1089" w:bottom="284" w:left="1089" w:header="567" w:footer="284" w:gutter="0"/>
          <w:pgNumType w:start="1"/>
          <w:cols w:space="720"/>
        </w:sectPr>
      </w:pPr>
    </w:p>
    <w:p w:rsidR="00667008" w:rsidRPr="00F54FBD" w:rsidRDefault="00667008" w:rsidP="00667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67008" w:rsidRPr="00F54FBD" w:rsidRDefault="00667008" w:rsidP="00667008">
      <w:pPr>
        <w:spacing w:before="240"/>
        <w:rPr>
          <w:sz w:val="20"/>
        </w:rPr>
      </w:pPr>
      <w:r w:rsidRPr="00F54FBD">
        <w:rPr>
          <w:sz w:val="20"/>
        </w:rPr>
        <w:t>Le rôle du Secteur des radiocommunications est d</w:t>
      </w:r>
      <w:r w:rsidR="00BF2183">
        <w:rPr>
          <w:sz w:val="20"/>
        </w:rPr>
        <w:t>'</w:t>
      </w:r>
      <w:r w:rsidRPr="00F54FBD">
        <w:rPr>
          <w:sz w:val="20"/>
        </w:rPr>
        <w:t>assurer l</w:t>
      </w:r>
      <w:r w:rsidR="00BF2183">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67008" w:rsidRPr="00F54FBD" w:rsidRDefault="00667008" w:rsidP="0066700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BF2183">
        <w:rPr>
          <w:sz w:val="20"/>
        </w:rPr>
        <w:t>'</w:t>
      </w:r>
      <w:r>
        <w:rPr>
          <w:sz w:val="20"/>
        </w:rPr>
        <w:t>études.</w:t>
      </w:r>
    </w:p>
    <w:p w:rsidR="00667008" w:rsidRPr="00E44CBB" w:rsidRDefault="00667008" w:rsidP="0066700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67008" w:rsidRPr="00E44CBB" w:rsidRDefault="00667008" w:rsidP="0066700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67008" w:rsidRPr="00232031" w:rsidRDefault="00667008" w:rsidP="0066700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67008" w:rsidRPr="009454F8" w:rsidTr="000D72CA">
        <w:tc>
          <w:tcPr>
            <w:tcW w:w="9360" w:type="dxa"/>
            <w:gridSpan w:val="2"/>
          </w:tcPr>
          <w:p w:rsidR="00667008" w:rsidRPr="009454F8" w:rsidRDefault="00667008" w:rsidP="000D72C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67008" w:rsidRPr="009454F8" w:rsidRDefault="00667008" w:rsidP="000D72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67008" w:rsidRPr="00036EE3" w:rsidTr="000D72CA">
        <w:tc>
          <w:tcPr>
            <w:tcW w:w="1140" w:type="dxa"/>
            <w:tcBorders>
              <w:bottom w:val="nil"/>
            </w:tcBorders>
          </w:tcPr>
          <w:p w:rsidR="00667008" w:rsidRPr="00614CC6" w:rsidRDefault="00667008" w:rsidP="000D72CA">
            <w:pPr>
              <w:spacing w:before="90" w:after="100"/>
              <w:ind w:left="57"/>
              <w:rPr>
                <w:b/>
                <w:bCs/>
                <w:sz w:val="20"/>
                <w:lang w:val="en-US"/>
              </w:rPr>
            </w:pPr>
            <w:r w:rsidRPr="00614CC6">
              <w:rPr>
                <w:b/>
                <w:bCs/>
                <w:sz w:val="20"/>
                <w:lang w:val="en-US"/>
              </w:rPr>
              <w:t>Séries</w:t>
            </w:r>
          </w:p>
        </w:tc>
        <w:tc>
          <w:tcPr>
            <w:tcW w:w="8220" w:type="dxa"/>
            <w:tcBorders>
              <w:bottom w:val="nil"/>
            </w:tcBorders>
          </w:tcPr>
          <w:p w:rsidR="00667008" w:rsidRPr="00614CC6" w:rsidRDefault="00667008" w:rsidP="000D72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67008" w:rsidRPr="005E427C" w:rsidTr="000D72CA">
        <w:tc>
          <w:tcPr>
            <w:tcW w:w="1140" w:type="dxa"/>
            <w:tcBorders>
              <w:top w:val="nil"/>
              <w:bottom w:val="nil"/>
            </w:tcBorders>
            <w:shd w:val="clear" w:color="auto" w:fill="auto"/>
          </w:tcPr>
          <w:p w:rsidR="00667008" w:rsidRPr="005E427C" w:rsidRDefault="00667008" w:rsidP="000D72C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67008" w:rsidRPr="005E427C" w:rsidRDefault="00667008" w:rsidP="000D72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67008" w:rsidRPr="009454F8" w:rsidTr="000D72CA">
        <w:tc>
          <w:tcPr>
            <w:tcW w:w="1140" w:type="dxa"/>
            <w:tcBorders>
              <w:top w:val="nil"/>
              <w:bottom w:val="nil"/>
            </w:tcBorders>
          </w:tcPr>
          <w:p w:rsidR="00667008" w:rsidRPr="00614CC6" w:rsidRDefault="00667008" w:rsidP="000D72C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67008" w:rsidRPr="00614CC6" w:rsidRDefault="00667008" w:rsidP="000D72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67008" w:rsidRPr="005E427C" w:rsidTr="000D72CA">
        <w:tc>
          <w:tcPr>
            <w:tcW w:w="1140" w:type="dxa"/>
            <w:tcBorders>
              <w:top w:val="nil"/>
              <w:bottom w:val="nil"/>
            </w:tcBorders>
            <w:shd w:val="clear" w:color="auto" w:fill="F3F3F3"/>
          </w:tcPr>
          <w:p w:rsidR="00667008" w:rsidRPr="005E427C" w:rsidRDefault="00667008" w:rsidP="000D72CA">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667008" w:rsidRPr="005E427C" w:rsidRDefault="00667008" w:rsidP="000D72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667008" w:rsidRPr="00ED2695" w:rsidTr="000D72CA">
        <w:tc>
          <w:tcPr>
            <w:tcW w:w="1140" w:type="dxa"/>
            <w:tcBorders>
              <w:top w:val="nil"/>
            </w:tcBorders>
            <w:shd w:val="clear" w:color="auto" w:fill="auto"/>
          </w:tcPr>
          <w:p w:rsidR="00667008" w:rsidRPr="00614CC6" w:rsidRDefault="00667008" w:rsidP="000D72CA">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667008" w:rsidRPr="00614CC6" w:rsidRDefault="00667008" w:rsidP="000D72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67008" w:rsidRPr="00036EE3" w:rsidTr="000D72CA">
        <w:tc>
          <w:tcPr>
            <w:tcW w:w="1140" w:type="dxa"/>
            <w:tcBorders>
              <w:bottom w:val="nil"/>
            </w:tcBorders>
            <w:shd w:val="clear" w:color="auto" w:fill="auto"/>
          </w:tcPr>
          <w:p w:rsidR="00667008" w:rsidRPr="00614CC6" w:rsidRDefault="00667008" w:rsidP="000D72CA">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667008" w:rsidRPr="00614CC6" w:rsidRDefault="00667008" w:rsidP="000D72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67008" w:rsidRPr="00B21066" w:rsidTr="000D72CA">
        <w:tc>
          <w:tcPr>
            <w:tcW w:w="1140" w:type="dxa"/>
            <w:tcBorders>
              <w:top w:val="nil"/>
              <w:bottom w:val="nil"/>
            </w:tcBorders>
            <w:shd w:val="clear" w:color="auto" w:fill="auto"/>
          </w:tcPr>
          <w:p w:rsidR="00667008" w:rsidRPr="00B21066" w:rsidRDefault="00667008" w:rsidP="000D72C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67008" w:rsidRPr="00B21066" w:rsidRDefault="00667008" w:rsidP="000D72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67008" w:rsidRPr="00036EE3" w:rsidTr="000D72CA">
        <w:tc>
          <w:tcPr>
            <w:tcW w:w="1140" w:type="dxa"/>
            <w:tcBorders>
              <w:top w:val="nil"/>
            </w:tcBorders>
          </w:tcPr>
          <w:p w:rsidR="00667008" w:rsidRPr="00614CC6" w:rsidRDefault="00667008" w:rsidP="000D72CA">
            <w:pPr>
              <w:spacing w:before="30" w:after="30"/>
              <w:ind w:left="57"/>
              <w:jc w:val="left"/>
              <w:rPr>
                <w:b/>
                <w:bCs/>
                <w:sz w:val="20"/>
                <w:lang w:val="fr-CH"/>
              </w:rPr>
            </w:pPr>
            <w:r w:rsidRPr="00614CC6">
              <w:rPr>
                <w:b/>
                <w:bCs/>
                <w:sz w:val="20"/>
                <w:lang w:val="fr-CH"/>
              </w:rPr>
              <w:t>P</w:t>
            </w:r>
          </w:p>
        </w:tc>
        <w:tc>
          <w:tcPr>
            <w:tcW w:w="8220" w:type="dxa"/>
            <w:tcBorders>
              <w:top w:val="nil"/>
            </w:tcBorders>
          </w:tcPr>
          <w:p w:rsidR="00667008" w:rsidRPr="00614CC6" w:rsidRDefault="00667008" w:rsidP="000D72CA">
            <w:pPr>
              <w:spacing w:before="30" w:after="30"/>
              <w:jc w:val="left"/>
              <w:rPr>
                <w:sz w:val="20"/>
                <w:lang w:val="fr-CH"/>
              </w:rPr>
            </w:pPr>
            <w:r w:rsidRPr="00614CC6">
              <w:rPr>
                <w:sz w:val="20"/>
              </w:rPr>
              <w:t>Propagation des ondes radioélectriques</w:t>
            </w:r>
          </w:p>
        </w:tc>
      </w:tr>
      <w:tr w:rsidR="00667008" w:rsidRPr="00036EE3" w:rsidTr="000D72CA">
        <w:tc>
          <w:tcPr>
            <w:tcW w:w="1140" w:type="dxa"/>
          </w:tcPr>
          <w:p w:rsidR="00667008" w:rsidRPr="00614CC6" w:rsidRDefault="00667008" w:rsidP="000D72CA">
            <w:pPr>
              <w:spacing w:before="30" w:after="30"/>
              <w:ind w:left="57"/>
              <w:jc w:val="left"/>
              <w:rPr>
                <w:b/>
                <w:bCs/>
                <w:sz w:val="20"/>
                <w:lang w:val="en-US"/>
              </w:rPr>
            </w:pPr>
            <w:r w:rsidRPr="00614CC6">
              <w:rPr>
                <w:b/>
                <w:bCs/>
                <w:sz w:val="20"/>
                <w:lang w:val="en-US"/>
              </w:rPr>
              <w:t>RA</w:t>
            </w:r>
          </w:p>
        </w:tc>
        <w:tc>
          <w:tcPr>
            <w:tcW w:w="8220" w:type="dxa"/>
          </w:tcPr>
          <w:p w:rsidR="00667008" w:rsidRPr="00614CC6" w:rsidRDefault="00667008" w:rsidP="000D72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67008" w:rsidRPr="00036EE3" w:rsidTr="000D72CA">
        <w:tc>
          <w:tcPr>
            <w:tcW w:w="1140" w:type="dxa"/>
          </w:tcPr>
          <w:p w:rsidR="00667008" w:rsidRPr="00614CC6" w:rsidRDefault="00667008" w:rsidP="000D72CA">
            <w:pPr>
              <w:spacing w:before="30" w:after="30"/>
              <w:ind w:left="57"/>
              <w:jc w:val="left"/>
              <w:rPr>
                <w:b/>
                <w:bCs/>
                <w:sz w:val="20"/>
                <w:lang w:val="en-US"/>
              </w:rPr>
            </w:pPr>
            <w:r w:rsidRPr="00614CC6">
              <w:rPr>
                <w:b/>
                <w:bCs/>
                <w:sz w:val="20"/>
                <w:lang w:val="en-US"/>
              </w:rPr>
              <w:t>RS</w:t>
            </w:r>
          </w:p>
        </w:tc>
        <w:tc>
          <w:tcPr>
            <w:tcW w:w="8220" w:type="dxa"/>
          </w:tcPr>
          <w:p w:rsidR="00667008" w:rsidRPr="00614CC6" w:rsidRDefault="00667008" w:rsidP="000D72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67008" w:rsidRPr="00036EE3" w:rsidTr="000D72CA">
        <w:tc>
          <w:tcPr>
            <w:tcW w:w="1140" w:type="dxa"/>
          </w:tcPr>
          <w:p w:rsidR="00667008" w:rsidRPr="00614CC6" w:rsidRDefault="00667008" w:rsidP="000D72CA">
            <w:pPr>
              <w:spacing w:before="30" w:after="30"/>
              <w:ind w:left="57"/>
              <w:jc w:val="left"/>
              <w:rPr>
                <w:b/>
                <w:bCs/>
                <w:sz w:val="20"/>
                <w:lang w:val="en-US"/>
              </w:rPr>
            </w:pPr>
            <w:r w:rsidRPr="00614CC6">
              <w:rPr>
                <w:b/>
                <w:bCs/>
                <w:sz w:val="20"/>
                <w:lang w:val="en-US"/>
              </w:rPr>
              <w:t>S</w:t>
            </w:r>
          </w:p>
        </w:tc>
        <w:tc>
          <w:tcPr>
            <w:tcW w:w="8220" w:type="dxa"/>
          </w:tcPr>
          <w:p w:rsidR="00667008" w:rsidRPr="00614CC6" w:rsidRDefault="00667008" w:rsidP="000D72CA">
            <w:pPr>
              <w:spacing w:before="30" w:after="30"/>
              <w:jc w:val="left"/>
              <w:rPr>
                <w:sz w:val="20"/>
                <w:lang w:val="en-US"/>
              </w:rPr>
            </w:pPr>
            <w:r w:rsidRPr="00614CC6">
              <w:rPr>
                <w:sz w:val="20"/>
              </w:rPr>
              <w:t>Service fixe par satellite</w:t>
            </w:r>
          </w:p>
        </w:tc>
      </w:tr>
      <w:tr w:rsidR="00667008" w:rsidRPr="00036EE3" w:rsidTr="000D72CA">
        <w:tc>
          <w:tcPr>
            <w:tcW w:w="1140" w:type="dxa"/>
          </w:tcPr>
          <w:p w:rsidR="00667008" w:rsidRPr="00614CC6" w:rsidRDefault="00667008" w:rsidP="000D72CA">
            <w:pPr>
              <w:spacing w:before="30" w:after="30"/>
              <w:ind w:left="57"/>
              <w:jc w:val="left"/>
              <w:rPr>
                <w:b/>
                <w:bCs/>
                <w:sz w:val="20"/>
                <w:lang w:val="en-US"/>
              </w:rPr>
            </w:pPr>
            <w:r w:rsidRPr="00614CC6">
              <w:rPr>
                <w:b/>
                <w:bCs/>
                <w:sz w:val="20"/>
                <w:lang w:val="en-US"/>
              </w:rPr>
              <w:t>SA</w:t>
            </w:r>
          </w:p>
        </w:tc>
        <w:tc>
          <w:tcPr>
            <w:tcW w:w="8220" w:type="dxa"/>
          </w:tcPr>
          <w:p w:rsidR="00667008" w:rsidRPr="00614CC6" w:rsidRDefault="00667008" w:rsidP="000D72CA">
            <w:pPr>
              <w:spacing w:before="30" w:after="30"/>
              <w:jc w:val="left"/>
              <w:rPr>
                <w:sz w:val="20"/>
                <w:lang w:val="en-US"/>
              </w:rPr>
            </w:pPr>
            <w:r w:rsidRPr="00614CC6">
              <w:rPr>
                <w:sz w:val="20"/>
              </w:rPr>
              <w:t>Applications spatiales et météorologie</w:t>
            </w:r>
          </w:p>
        </w:tc>
      </w:tr>
      <w:tr w:rsidR="00667008" w:rsidRPr="00614CC6" w:rsidTr="000D72CA">
        <w:tc>
          <w:tcPr>
            <w:tcW w:w="1140" w:type="dxa"/>
          </w:tcPr>
          <w:p w:rsidR="00667008" w:rsidRPr="00614CC6" w:rsidRDefault="00667008" w:rsidP="000D72CA">
            <w:pPr>
              <w:spacing w:before="30" w:after="30"/>
              <w:ind w:left="57"/>
              <w:jc w:val="left"/>
              <w:rPr>
                <w:b/>
                <w:bCs/>
                <w:sz w:val="20"/>
                <w:lang w:val="en-US"/>
              </w:rPr>
            </w:pPr>
            <w:r w:rsidRPr="00614CC6">
              <w:rPr>
                <w:b/>
                <w:bCs/>
                <w:sz w:val="20"/>
                <w:lang w:val="en-US"/>
              </w:rPr>
              <w:t>SF</w:t>
            </w:r>
          </w:p>
        </w:tc>
        <w:tc>
          <w:tcPr>
            <w:tcW w:w="8220" w:type="dxa"/>
          </w:tcPr>
          <w:p w:rsidR="00667008" w:rsidRPr="00614CC6" w:rsidRDefault="00667008" w:rsidP="000D72CA">
            <w:pPr>
              <w:spacing w:before="30" w:after="30"/>
              <w:jc w:val="left"/>
              <w:rPr>
                <w:sz w:val="20"/>
              </w:rPr>
            </w:pPr>
            <w:r w:rsidRPr="00614CC6">
              <w:rPr>
                <w:sz w:val="20"/>
              </w:rPr>
              <w:t>Partage des fréquences et coordination entre les systèmes du service fixe par satellite et du service fixe</w:t>
            </w:r>
          </w:p>
        </w:tc>
      </w:tr>
      <w:tr w:rsidR="00667008" w:rsidRPr="00036EE3" w:rsidTr="000D72CA">
        <w:tc>
          <w:tcPr>
            <w:tcW w:w="1140" w:type="dxa"/>
            <w:shd w:val="clear" w:color="auto" w:fill="auto"/>
          </w:tcPr>
          <w:p w:rsidR="00667008" w:rsidRPr="00592F9F" w:rsidRDefault="00667008" w:rsidP="000D72CA">
            <w:pPr>
              <w:spacing w:before="30" w:after="30"/>
              <w:ind w:left="57"/>
              <w:jc w:val="left"/>
              <w:rPr>
                <w:b/>
                <w:bCs/>
                <w:sz w:val="20"/>
                <w:lang w:val="en-US"/>
              </w:rPr>
            </w:pPr>
            <w:r w:rsidRPr="00592F9F">
              <w:rPr>
                <w:b/>
                <w:bCs/>
                <w:sz w:val="20"/>
                <w:lang w:val="en-US"/>
              </w:rPr>
              <w:t>SM</w:t>
            </w:r>
          </w:p>
        </w:tc>
        <w:tc>
          <w:tcPr>
            <w:tcW w:w="8220" w:type="dxa"/>
            <w:shd w:val="clear" w:color="auto" w:fill="auto"/>
          </w:tcPr>
          <w:p w:rsidR="00667008" w:rsidRPr="00592F9F" w:rsidRDefault="00667008" w:rsidP="000D72CA">
            <w:pPr>
              <w:spacing w:before="30" w:after="30"/>
              <w:jc w:val="left"/>
              <w:rPr>
                <w:sz w:val="20"/>
                <w:lang w:val="en-US"/>
              </w:rPr>
            </w:pPr>
            <w:r w:rsidRPr="00592F9F">
              <w:rPr>
                <w:sz w:val="20"/>
              </w:rPr>
              <w:t>Gestion du spectre</w:t>
            </w:r>
          </w:p>
        </w:tc>
      </w:tr>
      <w:tr w:rsidR="00667008" w:rsidRPr="00036EE3" w:rsidTr="000D72CA">
        <w:tc>
          <w:tcPr>
            <w:tcW w:w="1140" w:type="dxa"/>
          </w:tcPr>
          <w:p w:rsidR="00667008" w:rsidRPr="00614CC6" w:rsidRDefault="00667008" w:rsidP="000D72CA">
            <w:pPr>
              <w:spacing w:before="30" w:after="30"/>
              <w:ind w:left="57"/>
              <w:jc w:val="left"/>
              <w:rPr>
                <w:b/>
                <w:bCs/>
                <w:sz w:val="20"/>
                <w:lang w:val="en-US"/>
              </w:rPr>
            </w:pPr>
            <w:r w:rsidRPr="00614CC6">
              <w:rPr>
                <w:b/>
                <w:bCs/>
                <w:sz w:val="20"/>
                <w:lang w:val="en-US"/>
              </w:rPr>
              <w:t>SNG</w:t>
            </w:r>
          </w:p>
        </w:tc>
        <w:tc>
          <w:tcPr>
            <w:tcW w:w="8220" w:type="dxa"/>
          </w:tcPr>
          <w:p w:rsidR="00667008" w:rsidRPr="00614CC6" w:rsidRDefault="00667008" w:rsidP="000D72CA">
            <w:pPr>
              <w:spacing w:before="30" w:after="30"/>
              <w:jc w:val="left"/>
              <w:rPr>
                <w:sz w:val="20"/>
                <w:lang w:val="en-US"/>
              </w:rPr>
            </w:pPr>
            <w:r w:rsidRPr="00614CC6">
              <w:rPr>
                <w:sz w:val="20"/>
              </w:rPr>
              <w:t>Reportage d'actualités par satellite</w:t>
            </w:r>
          </w:p>
        </w:tc>
      </w:tr>
      <w:tr w:rsidR="00667008" w:rsidRPr="00614CC6" w:rsidTr="000D72CA">
        <w:tc>
          <w:tcPr>
            <w:tcW w:w="1140" w:type="dxa"/>
          </w:tcPr>
          <w:p w:rsidR="00667008" w:rsidRPr="00614CC6" w:rsidRDefault="00667008" w:rsidP="000D72CA">
            <w:pPr>
              <w:spacing w:before="30" w:after="30"/>
              <w:ind w:left="57"/>
              <w:jc w:val="left"/>
              <w:rPr>
                <w:b/>
                <w:bCs/>
                <w:sz w:val="20"/>
                <w:lang w:val="en-US"/>
              </w:rPr>
            </w:pPr>
            <w:r w:rsidRPr="00614CC6">
              <w:rPr>
                <w:b/>
                <w:bCs/>
                <w:sz w:val="20"/>
                <w:lang w:val="en-US"/>
              </w:rPr>
              <w:t>TF</w:t>
            </w:r>
          </w:p>
        </w:tc>
        <w:tc>
          <w:tcPr>
            <w:tcW w:w="8220" w:type="dxa"/>
          </w:tcPr>
          <w:p w:rsidR="00667008" w:rsidRPr="00614CC6" w:rsidRDefault="00667008" w:rsidP="000D72CA">
            <w:pPr>
              <w:spacing w:before="30" w:after="30"/>
              <w:jc w:val="left"/>
              <w:rPr>
                <w:sz w:val="20"/>
              </w:rPr>
            </w:pPr>
            <w:r w:rsidRPr="00614CC6">
              <w:rPr>
                <w:sz w:val="20"/>
              </w:rPr>
              <w:t>Emissions de fréquences étalon et de signaux horaires</w:t>
            </w:r>
          </w:p>
        </w:tc>
      </w:tr>
      <w:tr w:rsidR="00667008" w:rsidRPr="00036EE3" w:rsidTr="000D72CA">
        <w:tc>
          <w:tcPr>
            <w:tcW w:w="1140" w:type="dxa"/>
          </w:tcPr>
          <w:p w:rsidR="00667008" w:rsidRPr="00614CC6" w:rsidRDefault="00667008" w:rsidP="000D72CA">
            <w:pPr>
              <w:spacing w:before="30" w:after="30"/>
              <w:ind w:left="57"/>
              <w:jc w:val="left"/>
              <w:rPr>
                <w:b/>
                <w:bCs/>
                <w:sz w:val="20"/>
                <w:lang w:val="en-US"/>
              </w:rPr>
            </w:pPr>
            <w:r w:rsidRPr="00614CC6">
              <w:rPr>
                <w:b/>
                <w:bCs/>
                <w:sz w:val="20"/>
                <w:lang w:val="en-US"/>
              </w:rPr>
              <w:t>V</w:t>
            </w:r>
          </w:p>
        </w:tc>
        <w:tc>
          <w:tcPr>
            <w:tcW w:w="8220" w:type="dxa"/>
          </w:tcPr>
          <w:p w:rsidR="00667008" w:rsidRPr="00614CC6" w:rsidRDefault="00667008" w:rsidP="000D72CA">
            <w:pPr>
              <w:spacing w:before="30" w:after="140"/>
              <w:jc w:val="left"/>
              <w:rPr>
                <w:sz w:val="20"/>
                <w:lang w:val="en-US"/>
              </w:rPr>
            </w:pPr>
            <w:r w:rsidRPr="00614CC6">
              <w:rPr>
                <w:sz w:val="20"/>
              </w:rPr>
              <w:t>Vocabulaire et sujets associés</w:t>
            </w:r>
          </w:p>
        </w:tc>
      </w:tr>
    </w:tbl>
    <w:p w:rsidR="00667008" w:rsidRPr="00036EE3" w:rsidRDefault="00667008" w:rsidP="00667008">
      <w:pPr>
        <w:spacing w:before="0"/>
        <w:jc w:val="center"/>
        <w:rPr>
          <w:sz w:val="20"/>
          <w:lang w:val="en-US"/>
        </w:rPr>
      </w:pPr>
    </w:p>
    <w:p w:rsidR="00667008" w:rsidRPr="00036EE3" w:rsidRDefault="00667008" w:rsidP="0066700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67008" w:rsidRPr="00756B4D" w:rsidTr="000D72CA">
        <w:tc>
          <w:tcPr>
            <w:tcW w:w="9360" w:type="dxa"/>
          </w:tcPr>
          <w:p w:rsidR="00667008" w:rsidRPr="00756B4D" w:rsidRDefault="00667008" w:rsidP="000D72C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67008" w:rsidRPr="00756B4D" w:rsidRDefault="00667008" w:rsidP="00667008">
      <w:pPr>
        <w:spacing w:before="0"/>
        <w:jc w:val="center"/>
        <w:rPr>
          <w:sz w:val="22"/>
        </w:rPr>
      </w:pPr>
    </w:p>
    <w:p w:rsidR="00667008" w:rsidRPr="00614CC6" w:rsidRDefault="00667008" w:rsidP="00667008">
      <w:pPr>
        <w:spacing w:before="100"/>
        <w:jc w:val="right"/>
        <w:rPr>
          <w:i/>
          <w:iCs/>
          <w:sz w:val="20"/>
        </w:rPr>
      </w:pPr>
      <w:r w:rsidRPr="00614CC6">
        <w:rPr>
          <w:i/>
          <w:iCs/>
          <w:sz w:val="20"/>
        </w:rPr>
        <w:t>Publication électronique</w:t>
      </w:r>
    </w:p>
    <w:p w:rsidR="00667008" w:rsidRPr="00614CC6" w:rsidRDefault="00667008" w:rsidP="000D72CA">
      <w:pPr>
        <w:spacing w:before="0"/>
        <w:jc w:val="right"/>
        <w:rPr>
          <w:sz w:val="20"/>
        </w:rPr>
      </w:pPr>
      <w:r w:rsidRPr="00614CC6">
        <w:rPr>
          <w:sz w:val="20"/>
        </w:rPr>
        <w:t>Genève, 20</w:t>
      </w:r>
      <w:r>
        <w:rPr>
          <w:sz w:val="20"/>
        </w:rPr>
        <w:t>1</w:t>
      </w:r>
      <w:r w:rsidR="002B540D">
        <w:rPr>
          <w:sz w:val="20"/>
        </w:rPr>
        <w:t>5</w:t>
      </w:r>
    </w:p>
    <w:p w:rsidR="00667008" w:rsidRPr="00614CC6" w:rsidRDefault="00667008" w:rsidP="000D72CA">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2B540D">
        <w:rPr>
          <w:sz w:val="20"/>
        </w:rPr>
        <w:t>5</w:t>
      </w:r>
    </w:p>
    <w:p w:rsidR="00667008" w:rsidRPr="00614CC6" w:rsidRDefault="00667008" w:rsidP="0066700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BF2183">
        <w:rPr>
          <w:sz w:val="18"/>
          <w:szCs w:val="18"/>
        </w:rPr>
        <w:t>'</w:t>
      </w:r>
      <w:r>
        <w:rPr>
          <w:sz w:val="18"/>
          <w:szCs w:val="18"/>
        </w:rPr>
        <w:t>accord écrit préalable de l</w:t>
      </w:r>
      <w:r w:rsidR="00BF2183">
        <w:rPr>
          <w:sz w:val="18"/>
          <w:szCs w:val="18"/>
        </w:rPr>
        <w:t>'</w:t>
      </w:r>
      <w:r>
        <w:rPr>
          <w:sz w:val="18"/>
          <w:szCs w:val="18"/>
        </w:rPr>
        <w:t>UIT</w:t>
      </w:r>
      <w:r w:rsidRPr="00614CC6">
        <w:rPr>
          <w:sz w:val="18"/>
          <w:szCs w:val="18"/>
        </w:rPr>
        <w:t>.</w:t>
      </w:r>
    </w:p>
    <w:p w:rsidR="00667008" w:rsidRPr="00614CC6" w:rsidRDefault="00667008" w:rsidP="00667008">
      <w:pPr>
        <w:spacing w:before="160"/>
        <w:rPr>
          <w:i/>
          <w:sz w:val="20"/>
          <w:highlight w:val="yellow"/>
        </w:rPr>
        <w:sectPr w:rsidR="00667008" w:rsidRPr="00614CC6" w:rsidSect="000D72CA">
          <w:headerReference w:type="even" r:id="rId11"/>
          <w:headerReference w:type="default" r:id="rId12"/>
          <w:pgSz w:w="11907" w:h="16834" w:code="9"/>
          <w:pgMar w:top="1418" w:right="1134" w:bottom="1134" w:left="1134" w:header="720" w:footer="482" w:gutter="0"/>
          <w:pgNumType w:fmt="lowerRoman" w:start="2"/>
          <w:cols w:space="720"/>
        </w:sectPr>
      </w:pPr>
    </w:p>
    <w:p w:rsidR="00667008" w:rsidRPr="00756B4D" w:rsidRDefault="00667008" w:rsidP="000D72CA">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1348-</w:t>
      </w:r>
      <w:r w:rsidR="000D72CA">
        <w:rPr>
          <w:rStyle w:val="href"/>
        </w:rPr>
        <w:t>3</w:t>
      </w:r>
    </w:p>
    <w:p w:rsidR="00667008" w:rsidRDefault="00667008" w:rsidP="00667008">
      <w:pPr>
        <w:pStyle w:val="Rectitle"/>
      </w:pPr>
      <w:bookmarkStart w:id="4" w:name="Pre_title"/>
      <w:r>
        <w:t xml:space="preserve">Cahier des charges du service de radiodiffusion sonore numérique </w:t>
      </w:r>
      <w:r>
        <w:br/>
        <w:t>aux fréquences inférieures à 30 MHz</w:t>
      </w:r>
      <w:bookmarkEnd w:id="4"/>
      <w:r>
        <w:rPr>
          <w:rStyle w:val="FootnoteReference"/>
        </w:rPr>
        <w:footnoteReference w:customMarkFollows="1" w:id="1"/>
        <w:t>*</w:t>
      </w:r>
    </w:p>
    <w:p w:rsidR="00667008" w:rsidRPr="00225E09" w:rsidRDefault="00667008" w:rsidP="00667008">
      <w:pPr>
        <w:pStyle w:val="Recref"/>
      </w:pPr>
      <w:bookmarkStart w:id="5" w:name="Related_Questions"/>
      <w:r>
        <w:t>(Question UIT-R 217/10)</w:t>
      </w:r>
      <w:bookmarkEnd w:id="5"/>
    </w:p>
    <w:p w:rsidR="00667008" w:rsidRPr="003A2BE9" w:rsidRDefault="00667008" w:rsidP="00667008">
      <w:pPr>
        <w:pStyle w:val="Recdate"/>
        <w:rPr>
          <w:lang w:val="fr-CH"/>
        </w:rPr>
      </w:pPr>
      <w:r w:rsidRPr="003A2BE9">
        <w:rPr>
          <w:lang w:val="fr-CH"/>
        </w:rPr>
        <w:t>(</w:t>
      </w:r>
      <w:r>
        <w:t>1998-2001-</w:t>
      </w:r>
      <w:r w:rsidRPr="003A2BE9">
        <w:rPr>
          <w:lang w:val="fr-CH"/>
        </w:rPr>
        <w:t>2011</w:t>
      </w:r>
      <w:r w:rsidR="000D72CA">
        <w:rPr>
          <w:lang w:val="fr-CH"/>
        </w:rPr>
        <w:t>-2014</w:t>
      </w:r>
      <w:r w:rsidRPr="003A2BE9">
        <w:rPr>
          <w:lang w:val="fr-CH"/>
        </w:rPr>
        <w:t>)</w:t>
      </w:r>
    </w:p>
    <w:p w:rsidR="000D72CA" w:rsidRPr="00157094" w:rsidRDefault="000D72CA" w:rsidP="00547D10">
      <w:pPr>
        <w:pStyle w:val="HeadingSum"/>
        <w:rPr>
          <w:lang w:val="fr-CH"/>
        </w:rPr>
      </w:pPr>
      <w:r w:rsidRPr="00157094">
        <w:rPr>
          <w:lang w:val="fr-CH"/>
        </w:rPr>
        <w:t>Domaine d</w:t>
      </w:r>
      <w:r w:rsidR="00BF2183">
        <w:rPr>
          <w:lang w:val="fr-CH"/>
        </w:rPr>
        <w:t>'</w:t>
      </w:r>
      <w:r w:rsidRPr="00157094">
        <w:rPr>
          <w:lang w:val="fr-CH"/>
        </w:rPr>
        <w:t>application</w:t>
      </w:r>
    </w:p>
    <w:p w:rsidR="00BB33B5" w:rsidRPr="00157094" w:rsidRDefault="000D72CA" w:rsidP="00547D10">
      <w:pPr>
        <w:pStyle w:val="Summary"/>
        <w:rPr>
          <w:lang w:val="fr-CH"/>
        </w:rPr>
      </w:pPr>
      <w:r w:rsidRPr="00157094">
        <w:rPr>
          <w:lang w:val="fr-CH"/>
        </w:rPr>
        <w:t>La présente Recommandation décrit les caractéristiques et les capacités techniques et opérationnelles recommandées des systèmes de radiodiffusion sonore numérique lorsqu</w:t>
      </w:r>
      <w:r w:rsidR="00BF2183">
        <w:rPr>
          <w:lang w:val="fr-CH"/>
        </w:rPr>
        <w:t>'</w:t>
      </w:r>
      <w:r w:rsidRPr="00157094">
        <w:rPr>
          <w:lang w:val="fr-CH"/>
        </w:rPr>
        <w:t xml:space="preserve">ils sont utilisés </w:t>
      </w:r>
      <w:r w:rsidR="00BF2183">
        <w:rPr>
          <w:lang w:val="fr-CH"/>
        </w:rPr>
        <w:t>pour la</w:t>
      </w:r>
      <w:r w:rsidR="00BB33B5" w:rsidRPr="00157094">
        <w:rPr>
          <w:lang w:val="fr-CH"/>
        </w:rPr>
        <w:t xml:space="preserve"> radiodiffusion sonore numérique</w:t>
      </w:r>
      <w:r w:rsidR="00157094">
        <w:rPr>
          <w:lang w:val="fr-CH"/>
        </w:rPr>
        <w:t xml:space="preserve"> </w:t>
      </w:r>
      <w:r w:rsidRPr="00157094">
        <w:rPr>
          <w:lang w:val="fr-CH"/>
        </w:rPr>
        <w:t>de Terre</w:t>
      </w:r>
      <w:r w:rsidR="00157094">
        <w:rPr>
          <w:lang w:val="fr-CH"/>
        </w:rPr>
        <w:t xml:space="preserve"> </w:t>
      </w:r>
      <w:r w:rsidRPr="00157094">
        <w:rPr>
          <w:lang w:val="fr-CH"/>
        </w:rPr>
        <w:t>à destination de récepteurs à bord de véhicules, portables ou fixes fonctionnant dans les bandes</w:t>
      </w:r>
      <w:r w:rsidR="00157094">
        <w:rPr>
          <w:lang w:val="fr-CH"/>
        </w:rPr>
        <w:t xml:space="preserve"> </w:t>
      </w:r>
      <w:r w:rsidR="00BB33B5" w:rsidRPr="00157094">
        <w:rPr>
          <w:lang w:val="fr-CH"/>
        </w:rPr>
        <w:t>au</w:t>
      </w:r>
      <w:r w:rsidR="00BB33B5" w:rsidRPr="00157094">
        <w:rPr>
          <w:lang w:val="fr-CH"/>
        </w:rPr>
        <w:noBreakHyphen/>
        <w:t>dessous de 30 MHz.</w:t>
      </w:r>
    </w:p>
    <w:p w:rsidR="00BB33B5" w:rsidRPr="006E345F" w:rsidRDefault="00BB33B5" w:rsidP="006E345F">
      <w:pPr>
        <w:pStyle w:val="HeadingSum"/>
        <w:rPr>
          <w:lang w:val="fr-CH"/>
        </w:rPr>
      </w:pPr>
      <w:r w:rsidRPr="006E345F">
        <w:rPr>
          <w:lang w:val="fr-CH"/>
        </w:rPr>
        <w:t>Mots-clés</w:t>
      </w:r>
    </w:p>
    <w:p w:rsidR="000D72CA" w:rsidRDefault="004D7049" w:rsidP="00547D10">
      <w:r>
        <w:rPr>
          <w:color w:val="000000"/>
        </w:rPr>
        <w:t>Cahier des charges</w:t>
      </w:r>
      <w:r w:rsidR="00BB33B5">
        <w:rPr>
          <w:color w:val="000000"/>
        </w:rPr>
        <w:t>,</w:t>
      </w:r>
      <w:r>
        <w:rPr>
          <w:color w:val="000000"/>
        </w:rPr>
        <w:t xml:space="preserve"> </w:t>
      </w:r>
      <w:r w:rsidR="00BB33B5">
        <w:t xml:space="preserve">radiodiffusion sonore numérique, </w:t>
      </w:r>
      <w:r w:rsidR="006E345F">
        <w:t>bandes d'</w:t>
      </w:r>
      <w:r w:rsidR="00BB33B5">
        <w:t>ondes kilométriques, hectométriques et décamétriques</w:t>
      </w:r>
    </w:p>
    <w:p w:rsidR="00667008" w:rsidRDefault="00667008" w:rsidP="00667008">
      <w:pPr>
        <w:pStyle w:val="Normalaftertitle0"/>
      </w:pPr>
      <w:r>
        <w:t>L'Assemblée des radiocommunications de l'UIT,</w:t>
      </w:r>
    </w:p>
    <w:p w:rsidR="00667008" w:rsidRDefault="00667008" w:rsidP="00667008">
      <w:pPr>
        <w:pStyle w:val="Call"/>
      </w:pPr>
      <w:r>
        <w:t>considérant</w:t>
      </w:r>
    </w:p>
    <w:p w:rsidR="00667008" w:rsidRDefault="00667008" w:rsidP="00667008">
      <w:r w:rsidRPr="005C3558">
        <w:rPr>
          <w:i/>
          <w:iCs/>
        </w:rPr>
        <w:t>a)</w:t>
      </w:r>
      <w:r>
        <w:tab/>
        <w:t>qu'il devient nécessaire, dans le monde entier de disposer de moyens adaptés à la diffusion de programmes radiophoniques de haute qualité, en monophonie ou en stéréophonie, à destination de récepteurs installés à bord de véhicules de récepteurs et de récepteurs portatifs ou fixes;</w:t>
      </w:r>
    </w:p>
    <w:p w:rsidR="00667008" w:rsidRDefault="00667008" w:rsidP="00667008">
      <w:r w:rsidRPr="005C3558">
        <w:rPr>
          <w:i/>
          <w:iCs/>
        </w:rPr>
        <w:t>b)</w:t>
      </w:r>
      <w:r>
        <w:tab/>
        <w:t>la capacité limitée des services de radiodiffusion sonore actuels dans les bandes d'ondes kilométriques, hectométriques ou décamétriques de satisfaire à ce besoin;</w:t>
      </w:r>
    </w:p>
    <w:p w:rsidR="00667008" w:rsidRDefault="00667008" w:rsidP="00667008">
      <w:r w:rsidRPr="005C3558">
        <w:rPr>
          <w:i/>
          <w:iCs/>
        </w:rPr>
        <w:t>c)</w:t>
      </w:r>
      <w:r>
        <w:tab/>
        <w:t xml:space="preserve">que, dans certains pays, les bandes d'ondes kilométriques, hectométriques et décamétriques sont actuellement encombrées, ce qui entraîne un niveau </w:t>
      </w:r>
      <w:r>
        <w:rPr>
          <w:bCs/>
        </w:rPr>
        <w:t xml:space="preserve">important </w:t>
      </w:r>
      <w:r>
        <w:t>de brouillage et limite le nombre de programmes qui peuvent être émis;</w:t>
      </w:r>
    </w:p>
    <w:p w:rsidR="00667008" w:rsidRDefault="00667008" w:rsidP="00667008">
      <w:r w:rsidRPr="005C3558">
        <w:rPr>
          <w:i/>
          <w:iCs/>
        </w:rPr>
        <w:t>d)</w:t>
      </w:r>
      <w:r>
        <w:tab/>
        <w:t>qu'avec les nouvelles techniques – codage source, codage canal, modulation, traitement évolué des signaux numériques – des systèmes de radiodiffusion sonore numérique suffisamment au point peuvent être mis en œuvre dans d'autres bandes;</w:t>
      </w:r>
    </w:p>
    <w:p w:rsidR="00667008" w:rsidRDefault="00667008" w:rsidP="00667008">
      <w:r w:rsidRPr="005C3558">
        <w:rPr>
          <w:i/>
          <w:iCs/>
        </w:rPr>
        <w:t>e)</w:t>
      </w:r>
      <w:r>
        <w:tab/>
        <w:t>que de nombreux essais en conditions réelles, ainsi que des démonstrations, effectués dans diverses parties du monde ont confirmé la faisabilité technique et la viabilité économique, sur le plan de la conception, de systèmes de radiodiffusion sonore numérique fonctionnant dans d'autres bandes;</w:t>
      </w:r>
    </w:p>
    <w:p w:rsidR="00667008" w:rsidRDefault="00667008" w:rsidP="00667008">
      <w:r w:rsidRPr="005C3558">
        <w:rPr>
          <w:i/>
          <w:iCs/>
        </w:rPr>
        <w:t>f)</w:t>
      </w:r>
      <w:r>
        <w:tab/>
        <w:t>que, comparé aux systèmes analogiques classiques, un système de radiodiffusion sonore numérique évolué peut assurer une plus large couverture, une meilleure efficacité spectrale et un plus grand rendement en puissance et aussi une qualité de fonctionnement supérieure dans des conditions de propagation par trajets multiples;</w:t>
      </w:r>
    </w:p>
    <w:p w:rsidR="00667008" w:rsidRDefault="00667008" w:rsidP="00667008">
      <w:r w:rsidRPr="005C3558">
        <w:rPr>
          <w:i/>
          <w:iCs/>
        </w:rPr>
        <w:t>g)</w:t>
      </w:r>
      <w:r>
        <w:tab/>
        <w:t>que l'on peut concevoir un système de radiodiffusion numérique qui puisse être utilisé à la fois dans des applications de radiodiffusion par satellite ou par voie hertzienne de Terre présentant des signaux diffusés de caractéristiques très voisines, ce qui permet d'utiliser des composants communs pour la conception du récepteur;</w:t>
      </w:r>
    </w:p>
    <w:p w:rsidR="00667008" w:rsidRDefault="00667008" w:rsidP="00667008">
      <w:r w:rsidRPr="005C3558">
        <w:rPr>
          <w:i/>
          <w:iCs/>
        </w:rPr>
        <w:lastRenderedPageBreak/>
        <w:t>h)</w:t>
      </w:r>
      <w:r>
        <w:tab/>
        <w:t>que, en radiodiffusion sonore, les techniques de modulation adoptées dans le monde ne varient guère d'un pays à l'autre (modulation d'amplitude ou de fréquence, bandes de fréquences identiques ou quasi identiques), de sorte que les récepteurs peuvent fonctionner en tout lieu, ce qui est très intéressant pour les utilisateurs;</w:t>
      </w:r>
    </w:p>
    <w:p w:rsidR="00667008" w:rsidRDefault="00BB33B5" w:rsidP="00667008">
      <w:r>
        <w:rPr>
          <w:i/>
          <w:iCs/>
        </w:rPr>
        <w:t>i</w:t>
      </w:r>
      <w:r w:rsidR="00667008" w:rsidRPr="005C3558">
        <w:rPr>
          <w:i/>
          <w:iCs/>
        </w:rPr>
        <w:t>)</w:t>
      </w:r>
      <w:r w:rsidR="00667008">
        <w:tab/>
        <w:t>qu'il existe dans le monde nombre de services de radiodiffusion sonore, publics et privés, qui diffusent des programmes radiophoniques aux auditeurs,</w:t>
      </w:r>
    </w:p>
    <w:p w:rsidR="00667008" w:rsidRDefault="00667008" w:rsidP="00B77136">
      <w:pPr>
        <w:pStyle w:val="Call"/>
      </w:pPr>
      <w:r>
        <w:t>recommande</w:t>
      </w:r>
    </w:p>
    <w:p w:rsidR="00667008" w:rsidRDefault="00667008" w:rsidP="00B77136">
      <w:pPr>
        <w:keepNext/>
        <w:keepLines/>
      </w:pPr>
      <w:r w:rsidRPr="006868FC">
        <w:rPr>
          <w:b/>
          <w:bCs/>
        </w:rPr>
        <w:t>1</w:t>
      </w:r>
      <w:r>
        <w:tab/>
        <w:t>de faire en sorte que, lorsque les services de radiodiffusion sonore numérique assurés par des émetteurs de Terre à destination de récepteurs installés à bord de véhicules, de récepteurs portatifs ou de récepteurs fixes, seront mis en œuvre dans les bandes d'ondes kilométriques, hecto</w:t>
      </w:r>
      <w:r>
        <w:softHyphen/>
        <w:t xml:space="preserve">métriques et décamétriques, </w:t>
      </w:r>
      <w:r>
        <w:rPr>
          <w:bCs/>
        </w:rPr>
        <w:t xml:space="preserve">le système numérique utilisé présente </w:t>
      </w:r>
      <w:r>
        <w:t xml:space="preserve">les caractéristiques techniques et opérationnelles, ainsi que les capacités suivantes, c'est-à-dire </w:t>
      </w:r>
      <w:r>
        <w:rPr>
          <w:bCs/>
        </w:rPr>
        <w:t>tout en répondant au cahier des charges figurant dans l'Annexe 1</w:t>
      </w:r>
      <w:r>
        <w:t>:</w:t>
      </w:r>
    </w:p>
    <w:p w:rsidR="00667008" w:rsidRDefault="00667008" w:rsidP="00667008">
      <w:pPr>
        <w:pStyle w:val="enumlev1"/>
      </w:pPr>
      <w:bookmarkStart w:id="6" w:name="dsgno"/>
      <w:bookmarkEnd w:id="6"/>
      <w:r>
        <w:t>–</w:t>
      </w:r>
      <w:r>
        <w:tab/>
        <w:t>pouvoir diffuser des programmes radiophoniques de haute qualité, en monophonie ou en stéréophonie, à destination de récepteurs installés à bord de véhicules et de récepteurs portatifs ou fixes;</w:t>
      </w:r>
    </w:p>
    <w:p w:rsidR="00667008" w:rsidRDefault="00667008" w:rsidP="00667008">
      <w:pPr>
        <w:pStyle w:val="enumlev1"/>
      </w:pPr>
      <w:r>
        <w:t>–</w:t>
      </w:r>
      <w:r>
        <w:tab/>
        <w:t>offrir une meilleure efficacité spectrale et un rendement en puissance supérieurs à ceux offerts par les systèmes analogiques conventionnels;</w:t>
      </w:r>
    </w:p>
    <w:p w:rsidR="00667008" w:rsidRDefault="00667008" w:rsidP="00667008">
      <w:pPr>
        <w:pStyle w:val="enumlev1"/>
      </w:pPr>
      <w:r>
        <w:t>–</w:t>
      </w:r>
      <w:r>
        <w:tab/>
        <w:t>offrir une qualité de fonctionnement nettement meilleure dans un environnement de propagation par trajets multiples;</w:t>
      </w:r>
    </w:p>
    <w:p w:rsidR="00667008" w:rsidRDefault="00667008" w:rsidP="00667008">
      <w:pPr>
        <w:pStyle w:val="enumlev1"/>
      </w:pPr>
      <w:r>
        <w:t>–</w:t>
      </w:r>
      <w:r>
        <w:tab/>
        <w:t>offrir un compromis satisfaisant entre couverture et qualité de service, pour une puissance d'émission donnée;</w:t>
      </w:r>
    </w:p>
    <w:p w:rsidR="00667008" w:rsidRDefault="00667008" w:rsidP="00667008">
      <w:pPr>
        <w:pStyle w:val="enumlev1"/>
      </w:pPr>
      <w:r>
        <w:t>–</w:t>
      </w:r>
      <w:r>
        <w:tab/>
        <w:t xml:space="preserve">permettre d'utiliser, avec un récepteur commun, </w:t>
      </w:r>
      <w:r>
        <w:rPr>
          <w:b/>
        </w:rPr>
        <w:t>tous</w:t>
      </w:r>
      <w:r>
        <w:t xml:space="preserve"> les moyens de messagerie de programmes (mono, stéréo, double mono par exemple);</w:t>
      </w:r>
    </w:p>
    <w:p w:rsidR="00667008" w:rsidRDefault="00667008" w:rsidP="00667008">
      <w:pPr>
        <w:pStyle w:val="enumlev1"/>
      </w:pPr>
      <w:r>
        <w:t>–</w:t>
      </w:r>
      <w:r>
        <w:tab/>
        <w:t>permettre la transmission de données relatives aux programmes;</w:t>
      </w:r>
    </w:p>
    <w:p w:rsidR="00667008" w:rsidRDefault="00667008" w:rsidP="00667008">
      <w:pPr>
        <w:pStyle w:val="enumlev1"/>
      </w:pPr>
      <w:r>
        <w:t>–</w:t>
      </w:r>
      <w:r>
        <w:tab/>
        <w:t>pouvoir offrir d'autres services de données;</w:t>
      </w:r>
    </w:p>
    <w:p w:rsidR="00667008" w:rsidRDefault="00667008" w:rsidP="00667008">
      <w:pPr>
        <w:pStyle w:val="enumlev1"/>
      </w:pPr>
      <w:r>
        <w:t>–</w:t>
      </w:r>
      <w:r>
        <w:tab/>
        <w:t>permettre la fabrication en</w:t>
      </w:r>
      <w:r w:rsidR="00B77136">
        <w:t xml:space="preserve"> série de récepteurs bon marché;</w:t>
      </w:r>
    </w:p>
    <w:p w:rsidR="00667008" w:rsidRDefault="00667008" w:rsidP="00547D10">
      <w:r w:rsidRPr="006868FC">
        <w:rPr>
          <w:b/>
          <w:bCs/>
        </w:rPr>
        <w:t>2</w:t>
      </w:r>
      <w:r>
        <w:tab/>
        <w:t>qu'un récepteur conçu pour la réception de signaux numériques soit également à même d'assurer la réception de signaux analogiques conventionnels en utilisant au maximum une techno</w:t>
      </w:r>
      <w:r>
        <w:softHyphen/>
      </w:r>
      <w:r w:rsidR="00B77136">
        <w:t>logie et des composants communs,</w:t>
      </w:r>
    </w:p>
    <w:p w:rsidR="00667008" w:rsidRDefault="00667008" w:rsidP="00BB33B5">
      <w:pPr>
        <w:pStyle w:val="Call"/>
        <w:rPr>
          <w:bCs/>
        </w:rPr>
      </w:pPr>
      <w:r>
        <w:t>invite</w:t>
      </w:r>
      <w:r>
        <w:rPr>
          <w:lang w:val="fr-CH"/>
        </w:rPr>
        <w:t xml:space="preserve"> les membres de l'UIT et les fabricants de récepteurs radio à </w:t>
      </w:r>
      <w:r w:rsidR="00BB33B5">
        <w:rPr>
          <w:lang w:val="fr-CH"/>
        </w:rPr>
        <w:t>examiner</w:t>
      </w:r>
    </w:p>
    <w:p w:rsidR="00667008" w:rsidRDefault="00667008" w:rsidP="00547D10">
      <w:pPr>
        <w:jc w:val="left"/>
      </w:pPr>
      <w:r w:rsidRPr="006868FC">
        <w:rPr>
          <w:b/>
        </w:rPr>
        <w:t>1</w:t>
      </w:r>
      <w:r>
        <w:tab/>
        <w:t>des récepteurs radio portatifs, multibandes et multinormes qui soient viables é</w:t>
      </w:r>
      <w:r w:rsidRPr="00F04A66">
        <w:t>conomi</w:t>
      </w:r>
      <w:r>
        <w:t>quement et qui soient conçus pour fonctionner</w:t>
      </w:r>
      <w:r w:rsidRPr="00F04A66">
        <w:t xml:space="preserve">, </w:t>
      </w:r>
      <w:r>
        <w:t>par sélection manuelle ou de préférence automatique</w:t>
      </w:r>
      <w:r w:rsidRPr="00F04A66">
        <w:t xml:space="preserve">, </w:t>
      </w:r>
      <w:r>
        <w:t>avec tous les différents systèmes de radiodiffusion analogique ou numérique actuellement utilisés dans toutes les bandes de fréquences applicables</w:t>
      </w:r>
      <w:r w:rsidRPr="00F04A66">
        <w:t>;</w:t>
      </w:r>
    </w:p>
    <w:p w:rsidR="00667008" w:rsidRDefault="00667008" w:rsidP="00157094">
      <w:pPr>
        <w:jc w:val="left"/>
      </w:pPr>
      <w:r w:rsidRPr="006868FC">
        <w:rPr>
          <w:b/>
        </w:rPr>
        <w:t>2</w:t>
      </w:r>
      <w:r>
        <w:tab/>
        <w:t>des récepteurs radio numériques permett</w:t>
      </w:r>
      <w:r w:rsidR="00BB33B5">
        <w:t>a</w:t>
      </w:r>
      <w:r>
        <w:t xml:space="preserve">nt de télécharger des mises à niveau de certaines de leurs fonctionnalités </w:t>
      </w:r>
      <w:r w:rsidRPr="00F04A66">
        <w:t>sp</w:t>
      </w:r>
      <w:r>
        <w:t>écifiques</w:t>
      </w:r>
      <w:r w:rsidR="00BB33B5">
        <w:t xml:space="preserve">, telles que le </w:t>
      </w:r>
      <w:r>
        <w:t>décodage</w:t>
      </w:r>
      <w:r w:rsidRPr="00F04A66">
        <w:t xml:space="preserve">, </w:t>
      </w:r>
      <w:r w:rsidR="00BB33B5">
        <w:t xml:space="preserve">la </w:t>
      </w:r>
      <w:r w:rsidRPr="00F04A66">
        <w:t xml:space="preserve">navigation, </w:t>
      </w:r>
      <w:r w:rsidR="00BB33B5">
        <w:t xml:space="preserve">la </w:t>
      </w:r>
      <w:r>
        <w:t xml:space="preserve">gestion </w:t>
      </w:r>
      <w:r w:rsidRPr="00F04A66">
        <w:t>etc.</w:t>
      </w:r>
      <w:r w:rsidR="00BB33B5">
        <w:t>;</w:t>
      </w:r>
    </w:p>
    <w:p w:rsidR="00BB33B5" w:rsidRDefault="0066269E" w:rsidP="00157094">
      <w:pPr>
        <w:jc w:val="left"/>
      </w:pPr>
      <w:r w:rsidRPr="0066269E">
        <w:rPr>
          <w:b/>
          <w:bCs/>
        </w:rPr>
        <w:t>3</w:t>
      </w:r>
      <w:r w:rsidRPr="0066269E">
        <w:rPr>
          <w:b/>
          <w:bCs/>
        </w:rPr>
        <w:tab/>
      </w:r>
      <w:r w:rsidR="007A27A0">
        <w:t xml:space="preserve">un indicateur simple </w:t>
      </w:r>
      <w:r w:rsidR="007F4C1B">
        <w:rPr>
          <w:color w:val="000000"/>
        </w:rPr>
        <w:t>du niveau de</w:t>
      </w:r>
      <w:r w:rsidR="007F4C1B">
        <w:t xml:space="preserve"> </w:t>
      </w:r>
      <w:r w:rsidR="007F4C1B">
        <w:rPr>
          <w:color w:val="000000"/>
        </w:rPr>
        <w:t xml:space="preserve">champ </w:t>
      </w:r>
      <w:r w:rsidR="007A27A0">
        <w:t>RF reçu</w:t>
      </w:r>
      <w:r w:rsidR="00157094">
        <w:t xml:space="preserve"> </w:t>
      </w:r>
      <w:r w:rsidR="007A27A0">
        <w:t>et du taux d</w:t>
      </w:r>
      <w:r w:rsidR="00BF2183">
        <w:t>'</w:t>
      </w:r>
      <w:r w:rsidR="007A27A0">
        <w:t>erreur sur les bits.</w:t>
      </w:r>
    </w:p>
    <w:p w:rsidR="00667008" w:rsidRDefault="00667008" w:rsidP="00B77136">
      <w:pPr>
        <w:pStyle w:val="AnnexNoTitle"/>
      </w:pPr>
      <w:r>
        <w:lastRenderedPageBreak/>
        <w:t>Annexe</w:t>
      </w:r>
      <w:r w:rsidR="00B77136">
        <w:t xml:space="preserve"> </w:t>
      </w:r>
      <w:r>
        <w:t>1</w:t>
      </w:r>
      <w:r w:rsidR="00B77136">
        <w:rPr>
          <w:bCs/>
        </w:rPr>
        <w:br/>
      </w:r>
      <w:r w:rsidR="00B77136">
        <w:rPr>
          <w:bCs/>
        </w:rPr>
        <w:br/>
      </w:r>
      <w:r>
        <w:t xml:space="preserve">Cahier des charges du service de radiodiffusion sonore numérique </w:t>
      </w:r>
      <w:r>
        <w:br/>
        <w:t>et importance relative des éléments du cahier des charges</w:t>
      </w:r>
    </w:p>
    <w:p w:rsidR="00667008" w:rsidRDefault="00667008" w:rsidP="00667008">
      <w:pPr>
        <w:pStyle w:val="Blanc"/>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gridCol w:w="1418"/>
      </w:tblGrid>
      <w:tr w:rsidR="00667008" w:rsidTr="00B77136">
        <w:trPr>
          <w:jc w:val="center"/>
        </w:trPr>
        <w:tc>
          <w:tcPr>
            <w:tcW w:w="8222" w:type="dxa"/>
            <w:tcBorders>
              <w:bottom w:val="single" w:sz="6" w:space="0" w:color="auto"/>
            </w:tcBorders>
          </w:tcPr>
          <w:p w:rsidR="00667008" w:rsidRDefault="00667008" w:rsidP="000D72CA">
            <w:pPr>
              <w:pStyle w:val="Tablehead"/>
              <w:framePr w:hSpace="181" w:wrap="notBeside" w:vAnchor="text" w:hAnchor="text" w:xAlign="center" w:y="1"/>
              <w:spacing w:before="200" w:after="200"/>
              <w:rPr>
                <w:sz w:val="20"/>
              </w:rPr>
            </w:pPr>
            <w:r>
              <w:rPr>
                <w:sz w:val="20"/>
              </w:rPr>
              <w:t>Caractéristiques des systèmes</w:t>
            </w:r>
          </w:p>
        </w:tc>
        <w:tc>
          <w:tcPr>
            <w:tcW w:w="1418" w:type="dxa"/>
            <w:tcBorders>
              <w:bottom w:val="single" w:sz="6" w:space="0" w:color="auto"/>
            </w:tcBorders>
          </w:tcPr>
          <w:p w:rsidR="00667008" w:rsidRDefault="00667008" w:rsidP="000D72CA">
            <w:pPr>
              <w:pStyle w:val="Tablehead"/>
              <w:framePr w:hSpace="181" w:wrap="notBeside" w:vAnchor="text" w:hAnchor="text" w:xAlign="center" w:y="1"/>
              <w:spacing w:before="200" w:after="200"/>
              <w:rPr>
                <w:sz w:val="20"/>
              </w:rPr>
            </w:pPr>
            <w:r>
              <w:rPr>
                <w:sz w:val="20"/>
              </w:rPr>
              <w:t>Importance</w:t>
            </w: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sz w:val="18"/>
              </w:rPr>
            </w:pPr>
            <w:r>
              <w:rPr>
                <w:b/>
                <w:bCs/>
                <w:sz w:val="18"/>
              </w:rPr>
              <w:t>1</w:t>
            </w:r>
            <w:r>
              <w:rPr>
                <w:sz w:val="18"/>
              </w:rPr>
              <w:t> – </w:t>
            </w:r>
            <w:r>
              <w:rPr>
                <w:b/>
                <w:bCs/>
                <w:sz w:val="18"/>
              </w:rPr>
              <w:t>Condition imposée</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jc w:val="left"/>
              <w:rPr>
                <w:sz w:val="18"/>
              </w:rPr>
            </w:pPr>
            <w:r>
              <w:rPr>
                <w:sz w:val="18"/>
              </w:rPr>
              <w:t>a.</w:t>
            </w:r>
            <w:r>
              <w:rPr>
                <w:sz w:val="18"/>
              </w:rPr>
              <w:tab/>
              <w:t>le récepteur numérique doit pouvoir fonctionner dans le monde entier.</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jc w:val="center"/>
              <w:rPr>
                <w:sz w:val="18"/>
              </w:rPr>
            </w:pPr>
            <w:r>
              <w:rPr>
                <w:sz w:val="18"/>
              </w:rPr>
              <w:t>A</w:t>
            </w: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sz w:val="18"/>
              </w:rPr>
            </w:pPr>
            <w:r>
              <w:rPr>
                <w:b/>
                <w:bCs/>
                <w:sz w:val="18"/>
              </w:rPr>
              <w:t>2</w:t>
            </w:r>
            <w:r>
              <w:rPr>
                <w:sz w:val="18"/>
              </w:rPr>
              <w:t> – </w:t>
            </w:r>
            <w:r>
              <w:rPr>
                <w:b/>
                <w:bCs/>
                <w:sz w:val="18"/>
              </w:rPr>
              <w:t>Capacité de passage progressif de l'analogique au numérique</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after="0"/>
              <w:jc w:val="left"/>
              <w:rPr>
                <w:sz w:val="18"/>
              </w:rPr>
            </w:pPr>
            <w:r>
              <w:rPr>
                <w:sz w:val="18"/>
              </w:rPr>
              <w:t>a.</w:t>
            </w:r>
            <w:r>
              <w:rPr>
                <w:sz w:val="18"/>
              </w:rPr>
              <w:tab/>
              <w:t>Diffusion simultanée (les signaux analogiques et numériques partagent un même canal).</w:t>
            </w:r>
          </w:p>
        </w:tc>
        <w:tc>
          <w:tcPr>
            <w:tcW w:w="1418" w:type="dxa"/>
            <w:tcBorders>
              <w:top w:val="nil"/>
              <w:bottom w:val="nil"/>
            </w:tcBorders>
          </w:tcPr>
          <w:p w:rsidR="00667008" w:rsidRDefault="00667008" w:rsidP="000D72CA">
            <w:pPr>
              <w:pStyle w:val="Tabletext"/>
              <w:framePr w:hSpace="181" w:wrap="notBeside" w:vAnchor="text" w:hAnchor="text" w:xAlign="center" w:y="1"/>
              <w:spacing w:after="0"/>
              <w:jc w:val="center"/>
              <w:rPr>
                <w:sz w:val="18"/>
              </w:rPr>
            </w:pPr>
            <w:r>
              <w:rPr>
                <w:sz w:val="18"/>
              </w:rPr>
              <w:t>A</w:t>
            </w: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left"/>
              <w:rPr>
                <w:sz w:val="18"/>
              </w:rPr>
            </w:pPr>
            <w:r>
              <w:rPr>
                <w:sz w:val="18"/>
              </w:rPr>
              <w:t>b.</w:t>
            </w:r>
            <w:r>
              <w:rPr>
                <w:sz w:val="18"/>
              </w:rPr>
              <w:tab/>
              <w:t>Multidiffusion (les signaux analogiques et numériques occupent des canaux distincts).</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center"/>
              <w:rPr>
                <w:sz w:val="18"/>
              </w:rPr>
            </w:pP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sz w:val="18"/>
              </w:rPr>
            </w:pPr>
            <w:r>
              <w:rPr>
                <w:b/>
                <w:bCs/>
                <w:sz w:val="18"/>
              </w:rPr>
              <w:t>3</w:t>
            </w:r>
            <w:r>
              <w:rPr>
                <w:sz w:val="18"/>
              </w:rPr>
              <w:t> – </w:t>
            </w:r>
            <w:r>
              <w:rPr>
                <w:b/>
                <w:bCs/>
                <w:sz w:val="18"/>
              </w:rPr>
              <w:t>Diffusion de données</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after="0"/>
              <w:jc w:val="left"/>
              <w:rPr>
                <w:sz w:val="18"/>
              </w:rPr>
            </w:pPr>
            <w:r>
              <w:rPr>
                <w:sz w:val="18"/>
              </w:rPr>
              <w:t>a.</w:t>
            </w:r>
            <w:r>
              <w:rPr>
                <w:sz w:val="18"/>
              </w:rPr>
              <w:tab/>
              <w:t>Audio et données (capacité de diffusion des données).</w:t>
            </w:r>
          </w:p>
        </w:tc>
        <w:tc>
          <w:tcPr>
            <w:tcW w:w="1418" w:type="dxa"/>
            <w:tcBorders>
              <w:top w:val="nil"/>
              <w:bottom w:val="nil"/>
            </w:tcBorders>
          </w:tcPr>
          <w:p w:rsidR="00667008" w:rsidRDefault="00667008" w:rsidP="000D72CA">
            <w:pPr>
              <w:pStyle w:val="Tabletext"/>
              <w:framePr w:hSpace="181" w:wrap="notBeside" w:vAnchor="text" w:hAnchor="text" w:xAlign="center" w:y="1"/>
              <w:spacing w:after="0"/>
              <w:jc w:val="center"/>
              <w:rPr>
                <w:sz w:val="18"/>
              </w:rPr>
            </w:pPr>
            <w:r>
              <w:rPr>
                <w:sz w:val="18"/>
              </w:rPr>
              <w:t>B</w:t>
            </w: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left"/>
              <w:rPr>
                <w:sz w:val="18"/>
              </w:rPr>
            </w:pPr>
            <w:r>
              <w:rPr>
                <w:sz w:val="18"/>
              </w:rPr>
              <w:t>b.</w:t>
            </w:r>
            <w:r>
              <w:rPr>
                <w:sz w:val="18"/>
              </w:rPr>
              <w:tab/>
              <w:t>Contrôle d'accès et embrouillage.</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center"/>
              <w:rPr>
                <w:sz w:val="18"/>
              </w:rPr>
            </w:pPr>
            <w:r>
              <w:rPr>
                <w:sz w:val="18"/>
              </w:rPr>
              <w:t>C</w:t>
            </w: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sz w:val="18"/>
              </w:rPr>
            </w:pPr>
            <w:r>
              <w:rPr>
                <w:b/>
                <w:bCs/>
                <w:sz w:val="18"/>
              </w:rPr>
              <w:t>4</w:t>
            </w:r>
            <w:r>
              <w:rPr>
                <w:sz w:val="18"/>
              </w:rPr>
              <w:t> – </w:t>
            </w:r>
            <w:r>
              <w:rPr>
                <w:b/>
                <w:bCs/>
                <w:sz w:val="18"/>
              </w:rPr>
              <w:t>Qualité de fonctionnement audio</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after="0"/>
              <w:jc w:val="left"/>
              <w:rPr>
                <w:sz w:val="18"/>
              </w:rPr>
            </w:pPr>
            <w:r>
              <w:rPr>
                <w:sz w:val="18"/>
              </w:rPr>
              <w:t>a.</w:t>
            </w:r>
            <w:r>
              <w:rPr>
                <w:sz w:val="18"/>
              </w:rPr>
              <w:tab/>
              <w:t>Amélioration de la qualité audio relativement à celle des systèmes analogiques équivalents.</w:t>
            </w:r>
          </w:p>
        </w:tc>
        <w:tc>
          <w:tcPr>
            <w:tcW w:w="1418" w:type="dxa"/>
            <w:tcBorders>
              <w:top w:val="nil"/>
              <w:bottom w:val="nil"/>
            </w:tcBorders>
          </w:tcPr>
          <w:p w:rsidR="00667008" w:rsidRDefault="00667008" w:rsidP="000D72CA">
            <w:pPr>
              <w:pStyle w:val="Tabletext"/>
              <w:framePr w:hSpace="181" w:wrap="notBeside" w:vAnchor="text" w:hAnchor="text" w:xAlign="center" w:y="1"/>
              <w:spacing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rPr>
            </w:pPr>
            <w:r>
              <w:rPr>
                <w:sz w:val="18"/>
              </w:rPr>
              <w:t>b.</w:t>
            </w:r>
            <w:r>
              <w:rPr>
                <w:sz w:val="18"/>
              </w:rPr>
              <w:tab/>
              <w:t>Multilingue ou double mono.</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B</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rPr>
            </w:pPr>
            <w:r>
              <w:rPr>
                <w:sz w:val="18"/>
              </w:rPr>
              <w:t>c.</w:t>
            </w:r>
            <w:r>
              <w:rPr>
                <w:sz w:val="18"/>
              </w:rPr>
              <w:tab/>
              <w:t>Capacité stéréo.</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B</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lang w:val="fr-CH"/>
              </w:rPr>
            </w:pPr>
            <w:r>
              <w:rPr>
                <w:sz w:val="18"/>
              </w:rPr>
              <w:t>d.</w:t>
            </w:r>
            <w:r>
              <w:rPr>
                <w:sz w:val="18"/>
              </w:rPr>
              <w:tab/>
              <w:t>Répartition dynamique du débit binaire entre l'audio et les données (données opportunistes).</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B</w:t>
            </w: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spacing w:before="0"/>
              <w:ind w:left="284" w:hanging="284"/>
              <w:rPr>
                <w:sz w:val="18"/>
              </w:rPr>
            </w:pPr>
            <w:r>
              <w:rPr>
                <w:sz w:val="18"/>
              </w:rPr>
              <w:t>e.</w:t>
            </w:r>
            <w:r>
              <w:rPr>
                <w:sz w:val="18"/>
              </w:rPr>
              <w:tab/>
              <w:t>Débit binaire réglable par petits paliers et débit binaire plus élevé que celui obtenu par rapport à ce qui est réalisable à la date de mise en service.</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center"/>
              <w:rPr>
                <w:sz w:val="18"/>
                <w:lang w:val="en-US"/>
              </w:rPr>
            </w:pPr>
            <w:r>
              <w:rPr>
                <w:sz w:val="18"/>
                <w:lang w:val="en-US"/>
              </w:rPr>
              <w:t>B</w:t>
            </w: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sz w:val="18"/>
              </w:rPr>
            </w:pPr>
            <w:r>
              <w:rPr>
                <w:b/>
                <w:bCs/>
                <w:sz w:val="18"/>
              </w:rPr>
              <w:t>5</w:t>
            </w:r>
            <w:r>
              <w:rPr>
                <w:sz w:val="18"/>
              </w:rPr>
              <w:t> – </w:t>
            </w:r>
            <w:r>
              <w:rPr>
                <w:b/>
                <w:bCs/>
                <w:sz w:val="18"/>
              </w:rPr>
              <w:t>Efficacité spectrale</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after="0"/>
              <w:jc w:val="left"/>
              <w:rPr>
                <w:sz w:val="18"/>
              </w:rPr>
            </w:pPr>
            <w:r>
              <w:rPr>
                <w:sz w:val="18"/>
              </w:rPr>
              <w:t>a.</w:t>
            </w:r>
            <w:r>
              <w:rPr>
                <w:sz w:val="18"/>
              </w:rPr>
              <w:tab/>
              <w:t>Monofréquence pour des émetteurs géographiquement séparés ou situés au même point.</w:t>
            </w:r>
          </w:p>
        </w:tc>
        <w:tc>
          <w:tcPr>
            <w:tcW w:w="1418" w:type="dxa"/>
            <w:tcBorders>
              <w:top w:val="nil"/>
              <w:bottom w:val="nil"/>
            </w:tcBorders>
          </w:tcPr>
          <w:p w:rsidR="00667008" w:rsidRDefault="00667008" w:rsidP="000D72CA">
            <w:pPr>
              <w:pStyle w:val="Tabletext"/>
              <w:framePr w:hSpace="181" w:wrap="notBeside" w:vAnchor="text" w:hAnchor="text" w:xAlign="center" w:y="1"/>
              <w:spacing w:after="0"/>
              <w:jc w:val="center"/>
              <w:rPr>
                <w:sz w:val="18"/>
                <w:lang w:val="fr-CH"/>
              </w:rPr>
            </w:pPr>
            <w:r>
              <w:rPr>
                <w:sz w:val="18"/>
                <w:lang w:val="fr-CH"/>
              </w:rPr>
              <w:t>B</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rPr>
            </w:pPr>
            <w:r>
              <w:rPr>
                <w:sz w:val="18"/>
              </w:rPr>
              <w:t>b.</w:t>
            </w:r>
            <w:r>
              <w:rPr>
                <w:sz w:val="18"/>
              </w:rPr>
              <w:tab/>
              <w:t>Conformité avec la largeur de bande et l'espacement de canaux radiofréquence UIT.</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rPr>
            </w:pPr>
            <w:r>
              <w:rPr>
                <w:sz w:val="18"/>
              </w:rPr>
              <w:t>c.</w:t>
            </w:r>
            <w:r>
              <w:rPr>
                <w:sz w:val="18"/>
              </w:rPr>
              <w:tab/>
              <w:t>Risques de brouillage non supérieurs à leur équivalent en modulation d'amplitude équivalente.</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left"/>
              <w:rPr>
                <w:sz w:val="18"/>
              </w:rPr>
            </w:pPr>
            <w:r>
              <w:rPr>
                <w:sz w:val="18"/>
              </w:rPr>
              <w:t>d.</w:t>
            </w:r>
            <w:r>
              <w:rPr>
                <w:sz w:val="18"/>
              </w:rPr>
              <w:tab/>
              <w:t>Sensibilité au brouillage non supérieure à leur équivalent en modulation d'amplitude.</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center"/>
              <w:rPr>
                <w:sz w:val="18"/>
                <w:lang w:val="fr-CH"/>
              </w:rPr>
            </w:pPr>
            <w:r>
              <w:rPr>
                <w:sz w:val="18"/>
                <w:lang w:val="fr-CH"/>
              </w:rPr>
              <w:t>A</w:t>
            </w: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bCs/>
                <w:sz w:val="18"/>
              </w:rPr>
            </w:pPr>
            <w:r>
              <w:rPr>
                <w:b/>
                <w:sz w:val="18"/>
              </w:rPr>
              <w:t>6</w:t>
            </w:r>
            <w:r>
              <w:rPr>
                <w:bCs/>
                <w:sz w:val="18"/>
              </w:rPr>
              <w:t> – </w:t>
            </w:r>
            <w:r>
              <w:rPr>
                <w:b/>
                <w:sz w:val="18"/>
              </w:rPr>
              <w:t>Fiabilité des services</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lang w:val="fr-CH"/>
              </w:rPr>
            </w:pP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after="0"/>
              <w:jc w:val="left"/>
              <w:rPr>
                <w:sz w:val="18"/>
              </w:rPr>
            </w:pPr>
            <w:r>
              <w:rPr>
                <w:sz w:val="18"/>
              </w:rPr>
              <w:t>a.</w:t>
            </w:r>
            <w:r>
              <w:rPr>
                <w:sz w:val="18"/>
              </w:rPr>
              <w:tab/>
              <w:t>Fiabilité de réception plus élevée.</w:t>
            </w:r>
          </w:p>
        </w:tc>
        <w:tc>
          <w:tcPr>
            <w:tcW w:w="1418" w:type="dxa"/>
            <w:tcBorders>
              <w:top w:val="nil"/>
              <w:bottom w:val="nil"/>
            </w:tcBorders>
          </w:tcPr>
          <w:p w:rsidR="00667008" w:rsidRDefault="00667008" w:rsidP="000D72CA">
            <w:pPr>
              <w:pStyle w:val="Tabletext"/>
              <w:framePr w:hSpace="181" w:wrap="notBeside" w:vAnchor="text" w:hAnchor="text" w:xAlign="center" w:y="1"/>
              <w:spacing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rPr>
            </w:pPr>
            <w:r>
              <w:rPr>
                <w:sz w:val="18"/>
              </w:rPr>
              <w:t>b.</w:t>
            </w:r>
            <w:r>
              <w:rPr>
                <w:sz w:val="18"/>
              </w:rPr>
              <w:tab/>
              <w:t>Sensibilité très faible aux évanouissements.</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ind w:left="284" w:hanging="284"/>
              <w:jc w:val="left"/>
              <w:rPr>
                <w:sz w:val="18"/>
              </w:rPr>
            </w:pPr>
            <w:r>
              <w:rPr>
                <w:sz w:val="18"/>
              </w:rPr>
              <w:t>c.</w:t>
            </w:r>
            <w:r>
              <w:rPr>
                <w:sz w:val="18"/>
              </w:rPr>
              <w:tab/>
              <w:t>1) commutation de fréquence automatique du récepteur.</w:t>
            </w:r>
            <w:r>
              <w:rPr>
                <w:sz w:val="18"/>
              </w:rPr>
              <w:br/>
              <w:t>2) commutation de fréquence automatique inaudible du récepteur.</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A</w:t>
            </w:r>
            <w:r>
              <w:rPr>
                <w:sz w:val="18"/>
                <w:lang w:val="fr-CH"/>
              </w:rPr>
              <w:br/>
              <w:t>C</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lang w:val="fr-CH"/>
              </w:rPr>
            </w:pPr>
            <w:r>
              <w:rPr>
                <w:sz w:val="18"/>
              </w:rPr>
              <w:t>d.</w:t>
            </w:r>
            <w:r>
              <w:rPr>
                <w:sz w:val="18"/>
              </w:rPr>
              <w:tab/>
              <w:t>Réception sur récepteurs installés à bord de véhicules et sur récepteurs portatifs ou fixes.</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rPr>
            </w:pPr>
            <w:r>
              <w:rPr>
                <w:sz w:val="18"/>
              </w:rPr>
              <w:t>e.</w:t>
            </w:r>
            <w:r>
              <w:rPr>
                <w:sz w:val="18"/>
              </w:rPr>
              <w:tab/>
              <w:t>Syntonisation rapide.</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rPr>
            </w:pPr>
            <w:r>
              <w:rPr>
                <w:sz w:val="18"/>
              </w:rPr>
              <w:t>f.</w:t>
            </w:r>
            <w:r>
              <w:rPr>
                <w:sz w:val="18"/>
              </w:rPr>
              <w:tab/>
              <w:t>Dégradation progressive.</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B</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rPr>
            </w:pPr>
            <w:r>
              <w:rPr>
                <w:sz w:val="18"/>
              </w:rPr>
              <w:t>g.</w:t>
            </w:r>
            <w:r>
              <w:rPr>
                <w:sz w:val="18"/>
              </w:rPr>
              <w:tab/>
              <w:t>Stabilité de la zone de couverture.</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left"/>
              <w:rPr>
                <w:sz w:val="18"/>
              </w:rPr>
            </w:pPr>
            <w:r>
              <w:rPr>
                <w:sz w:val="18"/>
              </w:rPr>
              <w:t>h.</w:t>
            </w:r>
            <w:r>
              <w:rPr>
                <w:sz w:val="18"/>
              </w:rPr>
              <w:tab/>
              <w:t>Bonne réception à l'intérieur des bâtiments.</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center"/>
              <w:rPr>
                <w:sz w:val="18"/>
                <w:lang w:val="fr-CH"/>
              </w:rPr>
            </w:pPr>
            <w:r>
              <w:rPr>
                <w:sz w:val="18"/>
                <w:lang w:val="fr-CH"/>
              </w:rPr>
              <w:t>A</w:t>
            </w: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bCs/>
                <w:sz w:val="18"/>
              </w:rPr>
            </w:pPr>
            <w:r>
              <w:rPr>
                <w:b/>
                <w:sz w:val="18"/>
              </w:rPr>
              <w:t>7</w:t>
            </w:r>
            <w:r>
              <w:rPr>
                <w:bCs/>
                <w:sz w:val="18"/>
              </w:rPr>
              <w:t> – </w:t>
            </w:r>
            <w:r>
              <w:rPr>
                <w:b/>
                <w:sz w:val="18"/>
              </w:rPr>
              <w:t>Information de service pour la sélection de la syntonisation</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ind w:left="284" w:hanging="284"/>
              <w:rPr>
                <w:sz w:val="18"/>
              </w:rPr>
            </w:pPr>
            <w:r>
              <w:rPr>
                <w:sz w:val="18"/>
              </w:rPr>
              <w:t>a.</w:t>
            </w:r>
            <w:r>
              <w:rPr>
                <w:sz w:val="18"/>
              </w:rPr>
              <w:tab/>
              <w:t>Sélection simplifiée des services grâce à l'utilisation des données associées au programme pour choisir le radiodiffuseur et le contenu des programmes.</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jc w:val="center"/>
              <w:rPr>
                <w:sz w:val="18"/>
              </w:rPr>
            </w:pPr>
            <w:r>
              <w:rPr>
                <w:sz w:val="18"/>
              </w:rPr>
              <w:br/>
              <w:t>B</w:t>
            </w: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bCs/>
                <w:sz w:val="18"/>
              </w:rPr>
            </w:pPr>
            <w:r>
              <w:rPr>
                <w:b/>
                <w:sz w:val="18"/>
              </w:rPr>
              <w:t>8</w:t>
            </w:r>
            <w:r>
              <w:rPr>
                <w:bCs/>
                <w:sz w:val="18"/>
              </w:rPr>
              <w:t> – </w:t>
            </w:r>
            <w:r>
              <w:rPr>
                <w:b/>
                <w:sz w:val="18"/>
              </w:rPr>
              <w:t>Considérations relatives aux systèmes d'émissions</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after="0"/>
              <w:jc w:val="left"/>
              <w:rPr>
                <w:sz w:val="18"/>
              </w:rPr>
            </w:pPr>
            <w:r>
              <w:rPr>
                <w:sz w:val="18"/>
              </w:rPr>
              <w:t>a.</w:t>
            </w:r>
            <w:r>
              <w:rPr>
                <w:sz w:val="18"/>
              </w:rPr>
              <w:tab/>
              <w:t>Utilisation des émetteurs modernes existants ayant des capacités numériques et analogiques.</w:t>
            </w:r>
          </w:p>
        </w:tc>
        <w:tc>
          <w:tcPr>
            <w:tcW w:w="1418" w:type="dxa"/>
            <w:tcBorders>
              <w:top w:val="nil"/>
              <w:bottom w:val="nil"/>
            </w:tcBorders>
          </w:tcPr>
          <w:p w:rsidR="00667008" w:rsidRDefault="00667008" w:rsidP="000D72CA">
            <w:pPr>
              <w:pStyle w:val="Tabletext"/>
              <w:framePr w:hSpace="181" w:wrap="notBeside" w:vAnchor="text" w:hAnchor="text" w:xAlign="center" w:y="1"/>
              <w:spacing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before="0" w:after="0"/>
              <w:jc w:val="left"/>
              <w:rPr>
                <w:sz w:val="18"/>
              </w:rPr>
            </w:pPr>
            <w:r>
              <w:rPr>
                <w:sz w:val="18"/>
              </w:rPr>
              <w:t>b.</w:t>
            </w:r>
            <w:r>
              <w:rPr>
                <w:sz w:val="18"/>
              </w:rPr>
              <w:tab/>
              <w:t>Economie d'énergie pour la couverture de la même zone de service avec la même fiabilité de service.</w:t>
            </w:r>
          </w:p>
        </w:tc>
        <w:tc>
          <w:tcPr>
            <w:tcW w:w="1418" w:type="dxa"/>
            <w:tcBorders>
              <w:top w:val="nil"/>
              <w:bottom w:val="nil"/>
            </w:tcBorders>
          </w:tcPr>
          <w:p w:rsidR="00667008" w:rsidRDefault="00667008" w:rsidP="000D72CA">
            <w:pPr>
              <w:pStyle w:val="Tabletext"/>
              <w:framePr w:hSpace="181" w:wrap="notBeside" w:vAnchor="text" w:hAnchor="text" w:xAlign="center" w:y="1"/>
              <w:spacing w:before="0" w:after="0"/>
              <w:jc w:val="center"/>
              <w:rPr>
                <w:sz w:val="18"/>
                <w:lang w:val="fr-CH"/>
              </w:rPr>
            </w:pPr>
            <w:r>
              <w:rPr>
                <w:sz w:val="18"/>
                <w:lang w:val="fr-CH"/>
              </w:rPr>
              <w:t>C</w:t>
            </w: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left"/>
              <w:rPr>
                <w:sz w:val="18"/>
              </w:rPr>
            </w:pPr>
            <w:r>
              <w:rPr>
                <w:sz w:val="18"/>
              </w:rPr>
              <w:t>c.</w:t>
            </w:r>
            <w:r>
              <w:rPr>
                <w:sz w:val="18"/>
              </w:rPr>
              <w:tab/>
              <w:t>Rayonnements parasites hors bande conformes à la Réglementation de l'UIT.</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center"/>
              <w:rPr>
                <w:sz w:val="18"/>
                <w:lang w:val="fr-CH"/>
              </w:rPr>
            </w:pPr>
            <w:r>
              <w:rPr>
                <w:sz w:val="18"/>
                <w:lang w:val="fr-CH"/>
              </w:rPr>
              <w:t>A</w:t>
            </w: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bCs/>
                <w:sz w:val="18"/>
              </w:rPr>
            </w:pPr>
            <w:r>
              <w:rPr>
                <w:b/>
                <w:sz w:val="18"/>
              </w:rPr>
              <w:t>9</w:t>
            </w:r>
            <w:r>
              <w:rPr>
                <w:bCs/>
                <w:sz w:val="18"/>
              </w:rPr>
              <w:t> – </w:t>
            </w:r>
            <w:r>
              <w:rPr>
                <w:b/>
                <w:sz w:val="18"/>
              </w:rPr>
              <w:t>Considérations relatives au récepteur</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0D72CA">
            <w:pPr>
              <w:pStyle w:val="Tabletext"/>
              <w:framePr w:hSpace="181" w:wrap="notBeside" w:vAnchor="text" w:hAnchor="text" w:xAlign="center" w:y="1"/>
              <w:spacing w:after="0"/>
              <w:jc w:val="left"/>
              <w:rPr>
                <w:sz w:val="18"/>
              </w:rPr>
            </w:pPr>
            <w:r>
              <w:rPr>
                <w:sz w:val="18"/>
              </w:rPr>
              <w:t>a.</w:t>
            </w:r>
            <w:r>
              <w:rPr>
                <w:sz w:val="18"/>
              </w:rPr>
              <w:tab/>
              <w:t>Complexité du système n'empêchant pas la réalisation de récepteurs de faible coût.</w:t>
            </w:r>
          </w:p>
        </w:tc>
        <w:tc>
          <w:tcPr>
            <w:tcW w:w="1418" w:type="dxa"/>
            <w:tcBorders>
              <w:top w:val="nil"/>
              <w:bottom w:val="nil"/>
            </w:tcBorders>
          </w:tcPr>
          <w:p w:rsidR="00667008" w:rsidRDefault="00667008" w:rsidP="000D72CA">
            <w:pPr>
              <w:pStyle w:val="Tabletext"/>
              <w:framePr w:hSpace="181" w:wrap="notBeside" w:vAnchor="text" w:hAnchor="text" w:xAlign="center" w:y="1"/>
              <w:spacing w:after="0"/>
              <w:jc w:val="center"/>
              <w:rPr>
                <w:sz w:val="18"/>
              </w:rPr>
            </w:pPr>
            <w:r>
              <w:rPr>
                <w:sz w:val="18"/>
              </w:rPr>
              <w:t>A</w:t>
            </w: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left"/>
              <w:rPr>
                <w:sz w:val="18"/>
              </w:rPr>
            </w:pPr>
            <w:r>
              <w:rPr>
                <w:sz w:val="18"/>
              </w:rPr>
              <w:t>b.</w:t>
            </w:r>
            <w:r>
              <w:rPr>
                <w:sz w:val="18"/>
              </w:rPr>
              <w:tab/>
              <w:t>Complexité du système permettant l'utilisation de récepteurs sur piles à faible consommation.</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spacing w:before="0"/>
              <w:jc w:val="center"/>
              <w:rPr>
                <w:sz w:val="18"/>
              </w:rPr>
            </w:pPr>
            <w:r>
              <w:rPr>
                <w:sz w:val="18"/>
              </w:rPr>
              <w:t>B</w:t>
            </w:r>
          </w:p>
        </w:tc>
      </w:tr>
      <w:tr w:rsidR="00667008" w:rsidTr="00B77136">
        <w:trPr>
          <w:jc w:val="center"/>
        </w:trPr>
        <w:tc>
          <w:tcPr>
            <w:tcW w:w="8222" w:type="dxa"/>
            <w:tcBorders>
              <w:bottom w:val="nil"/>
            </w:tcBorders>
          </w:tcPr>
          <w:p w:rsidR="00667008" w:rsidRDefault="00667008" w:rsidP="000D72CA">
            <w:pPr>
              <w:pStyle w:val="Tabletext"/>
              <w:framePr w:hSpace="181" w:wrap="notBeside" w:vAnchor="text" w:hAnchor="text" w:xAlign="center" w:y="1"/>
              <w:spacing w:after="0"/>
              <w:jc w:val="left"/>
              <w:rPr>
                <w:bCs/>
                <w:sz w:val="18"/>
              </w:rPr>
            </w:pPr>
            <w:r>
              <w:rPr>
                <w:b/>
                <w:sz w:val="18"/>
              </w:rPr>
              <w:t>10</w:t>
            </w:r>
            <w:r>
              <w:rPr>
                <w:bCs/>
                <w:sz w:val="18"/>
              </w:rPr>
              <w:t> – </w:t>
            </w:r>
            <w:r>
              <w:rPr>
                <w:b/>
                <w:sz w:val="18"/>
              </w:rPr>
              <w:t>Compromis variable</w:t>
            </w:r>
          </w:p>
        </w:tc>
        <w:tc>
          <w:tcPr>
            <w:tcW w:w="1418" w:type="dxa"/>
            <w:tcBorders>
              <w:bottom w:val="nil"/>
            </w:tcBorders>
          </w:tcPr>
          <w:p w:rsidR="00667008" w:rsidRDefault="00667008" w:rsidP="000D72CA">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single" w:sz="6" w:space="0" w:color="auto"/>
            </w:tcBorders>
          </w:tcPr>
          <w:p w:rsidR="00667008" w:rsidRDefault="00667008" w:rsidP="000D72CA">
            <w:pPr>
              <w:pStyle w:val="Tabletext"/>
              <w:framePr w:hSpace="181" w:wrap="notBeside" w:vAnchor="text" w:hAnchor="text" w:xAlign="center" w:y="1"/>
              <w:jc w:val="left"/>
              <w:rPr>
                <w:sz w:val="18"/>
              </w:rPr>
            </w:pPr>
            <w:r>
              <w:rPr>
                <w:sz w:val="18"/>
              </w:rPr>
              <w:t>a.</w:t>
            </w:r>
            <w:r>
              <w:rPr>
                <w:sz w:val="18"/>
              </w:rPr>
              <w:tab/>
              <w:t>Possibilité de choisir des paramètres systémiques en fonction des exigences du radiodiffuseur.</w:t>
            </w:r>
          </w:p>
        </w:tc>
        <w:tc>
          <w:tcPr>
            <w:tcW w:w="1418" w:type="dxa"/>
            <w:tcBorders>
              <w:top w:val="nil"/>
              <w:bottom w:val="single" w:sz="6" w:space="0" w:color="auto"/>
            </w:tcBorders>
          </w:tcPr>
          <w:p w:rsidR="00667008" w:rsidRDefault="00667008" w:rsidP="000D72CA">
            <w:pPr>
              <w:pStyle w:val="Tabletext"/>
              <w:framePr w:hSpace="181" w:wrap="notBeside" w:vAnchor="text" w:hAnchor="text" w:xAlign="center" w:y="1"/>
              <w:jc w:val="center"/>
              <w:rPr>
                <w:sz w:val="18"/>
              </w:rPr>
            </w:pPr>
            <w:r>
              <w:rPr>
                <w:sz w:val="18"/>
              </w:rPr>
              <w:t>B</w:t>
            </w:r>
          </w:p>
        </w:tc>
      </w:tr>
      <w:tr w:rsidR="00667008" w:rsidTr="00B77136">
        <w:trPr>
          <w:jc w:val="center"/>
        </w:trPr>
        <w:tc>
          <w:tcPr>
            <w:tcW w:w="9640" w:type="dxa"/>
            <w:gridSpan w:val="2"/>
            <w:tcBorders>
              <w:left w:val="nil"/>
              <w:bottom w:val="nil"/>
              <w:right w:val="nil"/>
            </w:tcBorders>
          </w:tcPr>
          <w:p w:rsidR="00667008" w:rsidRDefault="00667008" w:rsidP="000D72CA">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spacing w:before="200"/>
              <w:ind w:left="-85" w:firstLine="0"/>
              <w:rPr>
                <w:sz w:val="18"/>
              </w:rPr>
            </w:pPr>
            <w:r>
              <w:rPr>
                <w:sz w:val="18"/>
              </w:rPr>
              <w:t>Importance relative des caractéristiques de système:</w:t>
            </w:r>
          </w:p>
          <w:p w:rsidR="00667008" w:rsidRDefault="00667008" w:rsidP="000D72CA">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spacing w:before="100"/>
              <w:ind w:left="-85" w:firstLine="0"/>
              <w:jc w:val="left"/>
            </w:pPr>
            <w:r>
              <w:rPr>
                <w:sz w:val="18"/>
              </w:rPr>
              <w:t>A = Obligatoire</w:t>
            </w:r>
            <w:r>
              <w:rPr>
                <w:sz w:val="18"/>
              </w:rPr>
              <w:br/>
              <w:t>B = Hautement souhaitable</w:t>
            </w:r>
            <w:r>
              <w:rPr>
                <w:sz w:val="18"/>
              </w:rPr>
              <w:br/>
              <w:t>C = Souhaitable</w:t>
            </w:r>
          </w:p>
        </w:tc>
      </w:tr>
    </w:tbl>
    <w:p w:rsidR="0066269E" w:rsidRPr="002B540D" w:rsidRDefault="0066269E" w:rsidP="0032202E">
      <w:pPr>
        <w:pStyle w:val="Reasons"/>
        <w:rPr>
          <w:lang w:val="fr-CH"/>
        </w:rPr>
      </w:pPr>
    </w:p>
    <w:p w:rsidR="0066269E" w:rsidRDefault="0066269E">
      <w:pPr>
        <w:jc w:val="center"/>
      </w:pPr>
      <w:r>
        <w:t>______________</w:t>
      </w:r>
    </w:p>
    <w:sectPr w:rsidR="0066269E" w:rsidSect="00AB16C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3B5" w:rsidRDefault="00BB33B5">
      <w:r>
        <w:separator/>
      </w:r>
    </w:p>
  </w:endnote>
  <w:endnote w:type="continuationSeparator" w:id="0">
    <w:p w:rsidR="00BB33B5" w:rsidRDefault="00BB3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3B5" w:rsidRDefault="00BB33B5">
      <w:r>
        <w:separator/>
      </w:r>
    </w:p>
  </w:footnote>
  <w:footnote w:type="continuationSeparator" w:id="0">
    <w:p w:rsidR="00BB33B5" w:rsidRDefault="00BB33B5">
      <w:r>
        <w:continuationSeparator/>
      </w:r>
    </w:p>
  </w:footnote>
  <w:footnote w:id="1">
    <w:p w:rsidR="00BB33B5" w:rsidRPr="00225E09" w:rsidRDefault="00BB33B5" w:rsidP="00667008">
      <w:pPr>
        <w:pStyle w:val="FootnoteText"/>
        <w:rPr>
          <w:lang w:val="fr-CH"/>
        </w:rPr>
      </w:pPr>
      <w:r>
        <w:rPr>
          <w:rStyle w:val="FootnoteReference"/>
        </w:rPr>
        <w:t>*</w:t>
      </w:r>
      <w:r>
        <w:t xml:space="preserve"> </w:t>
      </w:r>
      <w:r>
        <w:rPr>
          <w:lang w:val="fr-CH"/>
        </w:rPr>
        <w:tab/>
      </w:r>
      <w:r>
        <w:t>Il convient de porter la présente Recommandation à l'attention de la Commission électrotechnique internationale (CEI).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B5" w:rsidRDefault="00BB33B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B5" w:rsidRDefault="00EC6D86" w:rsidP="000D72CA">
    <w:pPr>
      <w:pStyle w:val="Header"/>
      <w:ind w:right="360" w:firstLine="360"/>
    </w:pPr>
    <w:r>
      <w:rPr>
        <w:noProof/>
        <w:lang w:val="en-US" w:eastAsia="zh-CN"/>
      </w:rPr>
      <w:drawing>
        <wp:anchor distT="0" distB="0" distL="114300" distR="114300" simplePos="0" relativeHeight="251661312" behindDoc="0" locked="0" layoutInCell="1" allowOverlap="1" wp14:anchorId="1278E8B5" wp14:editId="43841E3A">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BB33B5">
      <w:rPr>
        <w:noProof/>
        <w:lang w:val="en-US" w:eastAsia="zh-CN"/>
      </w:rPr>
      <w:drawing>
        <wp:anchor distT="0" distB="0" distL="114300" distR="114300" simplePos="0" relativeHeight="251659264" behindDoc="1" locked="0" layoutInCell="1" allowOverlap="1" wp14:anchorId="40AFBD0E" wp14:editId="30F48DB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B5" w:rsidRPr="00837CB5" w:rsidRDefault="00BB33B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20F1D">
      <w:rPr>
        <w:rStyle w:val="PageNumber"/>
        <w:b/>
        <w:bCs/>
        <w:noProof/>
      </w:rPr>
      <w:t>ii</w:t>
    </w:r>
    <w:r>
      <w:rPr>
        <w:rStyle w:val="PageNumber"/>
        <w:b/>
        <w:bCs/>
      </w:rPr>
      <w:fldChar w:fldCharType="end"/>
    </w:r>
    <w:r w:rsidRPr="00837CB5">
      <w:tab/>
    </w:r>
    <w:r w:rsidR="00F20F1D">
      <w:fldChar w:fldCharType="begin"/>
    </w:r>
    <w:r w:rsidR="00F20F1D">
      <w:instrText xml:space="preserve"> DOCPROPERTY "Header" \* MERGEFORMAT </w:instrText>
    </w:r>
    <w:r w:rsidR="00F20F1D">
      <w:fldChar w:fldCharType="separate"/>
    </w:r>
    <w:r w:rsidR="00F20F1D" w:rsidRPr="00F20F1D">
      <w:rPr>
        <w:b/>
        <w:bCs/>
      </w:rPr>
      <w:t xml:space="preserve">Rec. </w:t>
    </w:r>
    <w:r w:rsidR="00F20F1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20F1D">
      <w:rPr>
        <w:b/>
        <w:bCs/>
        <w:noProof/>
      </w:rPr>
      <w:t>UIT-R  BS.1348-3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B5" w:rsidRDefault="00BB33B5">
    <w:pPr>
      <w:pStyle w:val="Header"/>
    </w:pPr>
    <w:r>
      <w:tab/>
    </w:r>
    <w:r w:rsidR="00F20F1D">
      <w:fldChar w:fldCharType="begin"/>
    </w:r>
    <w:r w:rsidR="00F20F1D">
      <w:instrText xml:space="preserve"> DOCPROPERTY "Header" \* MERGEFORMAT </w:instrText>
    </w:r>
    <w:r w:rsidR="00F20F1D">
      <w:fldChar w:fldCharType="separate"/>
    </w:r>
    <w:r w:rsidR="00F20F1D" w:rsidRPr="00F20F1D">
      <w:rPr>
        <w:b/>
        <w:bCs/>
      </w:rPr>
      <w:t xml:space="preserve">Rec. </w:t>
    </w:r>
    <w:r w:rsidR="00F20F1D">
      <w:rPr>
        <w:b/>
        <w:bCs/>
      </w:rPr>
      <w:fldChar w:fldCharType="end"/>
    </w:r>
    <w:r>
      <w:rPr>
        <w:b/>
        <w:bCs/>
      </w:rPr>
      <w:t xml:space="preserve"> </w:t>
    </w:r>
    <w:r>
      <w:rPr>
        <w:b/>
        <w:bCs/>
      </w:rPr>
      <w:fldChar w:fldCharType="begin"/>
    </w:r>
    <w:r>
      <w:rPr>
        <w:b/>
        <w:bCs/>
      </w:rPr>
      <w:instrText>styleref href</w:instrText>
    </w:r>
    <w:r>
      <w:rPr>
        <w:b/>
        <w:bCs/>
      </w:rPr>
      <w:fldChar w:fldCharType="separate"/>
    </w:r>
    <w:r w:rsidR="00F20F1D">
      <w:rPr>
        <w:b/>
        <w:bCs/>
        <w:noProof/>
      </w:rPr>
      <w:t>UIT-R  BS.1348-3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B5" w:rsidRDefault="00BB33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0F1D">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20F1D" w:rsidRPr="00F20F1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20F1D">
      <w:rPr>
        <w:b/>
        <w:bCs/>
        <w:noProof/>
      </w:rPr>
      <w:t>UIT-R  BS.1348-3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B5" w:rsidRDefault="00BB33B5">
    <w:pPr>
      <w:pStyle w:val="Header"/>
    </w:pPr>
    <w:r>
      <w:tab/>
    </w:r>
    <w:r w:rsidR="00F20F1D">
      <w:fldChar w:fldCharType="begin"/>
    </w:r>
    <w:r w:rsidR="00F20F1D">
      <w:instrText xml:space="preserve"> DOCPROPERTY "Header" \* MERGEFORMAT </w:instrText>
    </w:r>
    <w:r w:rsidR="00F20F1D">
      <w:fldChar w:fldCharType="separate"/>
    </w:r>
    <w:r w:rsidR="00F20F1D" w:rsidRPr="00F20F1D">
      <w:rPr>
        <w:b/>
        <w:bCs/>
      </w:rPr>
      <w:t xml:space="preserve">Rec. </w:t>
    </w:r>
    <w:r w:rsidR="00F20F1D">
      <w:rPr>
        <w:b/>
        <w:bCs/>
      </w:rPr>
      <w:fldChar w:fldCharType="end"/>
    </w:r>
    <w:r>
      <w:rPr>
        <w:b/>
        <w:bCs/>
      </w:rPr>
      <w:t xml:space="preserve"> </w:t>
    </w:r>
    <w:r>
      <w:rPr>
        <w:b/>
        <w:bCs/>
      </w:rPr>
      <w:fldChar w:fldCharType="begin"/>
    </w:r>
    <w:r>
      <w:rPr>
        <w:b/>
        <w:bCs/>
      </w:rPr>
      <w:instrText>styleref href</w:instrText>
    </w:r>
    <w:r>
      <w:rPr>
        <w:b/>
        <w:bCs/>
      </w:rPr>
      <w:fldChar w:fldCharType="separate"/>
    </w:r>
    <w:r w:rsidR="00F20F1D">
      <w:rPr>
        <w:b/>
        <w:bCs/>
        <w:noProof/>
      </w:rPr>
      <w:t>UIT-R  BS.1348-3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0F1D">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1DAD449-2150-47D2-8290-9EED4D82910D}"/>
    <w:docVar w:name="dgnword-eventsink" w:val="400232544"/>
  </w:docVars>
  <w:rsids>
    <w:rsidRoot w:val="00667008"/>
    <w:rsid w:val="00017E8F"/>
    <w:rsid w:val="000D72CA"/>
    <w:rsid w:val="00157094"/>
    <w:rsid w:val="00217EBF"/>
    <w:rsid w:val="00242AEE"/>
    <w:rsid w:val="002B540D"/>
    <w:rsid w:val="002D76C4"/>
    <w:rsid w:val="00337A92"/>
    <w:rsid w:val="004D7049"/>
    <w:rsid w:val="0052529D"/>
    <w:rsid w:val="00547D10"/>
    <w:rsid w:val="00607D68"/>
    <w:rsid w:val="0066269E"/>
    <w:rsid w:val="00667008"/>
    <w:rsid w:val="006868FC"/>
    <w:rsid w:val="006E345F"/>
    <w:rsid w:val="006E454F"/>
    <w:rsid w:val="007468DA"/>
    <w:rsid w:val="007A27A0"/>
    <w:rsid w:val="007F4C1B"/>
    <w:rsid w:val="0081485C"/>
    <w:rsid w:val="00887FF4"/>
    <w:rsid w:val="008F14E6"/>
    <w:rsid w:val="008F67F5"/>
    <w:rsid w:val="009E00A8"/>
    <w:rsid w:val="00A6617B"/>
    <w:rsid w:val="00AB0DC8"/>
    <w:rsid w:val="00AB16C0"/>
    <w:rsid w:val="00B44E24"/>
    <w:rsid w:val="00B77136"/>
    <w:rsid w:val="00BB33B5"/>
    <w:rsid w:val="00BF2183"/>
    <w:rsid w:val="00D148E7"/>
    <w:rsid w:val="00DF4176"/>
    <w:rsid w:val="00EA1F35"/>
    <w:rsid w:val="00EC6D86"/>
    <w:rsid w:val="00F20F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F1E18294-54C8-4DA0-A4A5-0FBF3139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0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67008"/>
    <w:rPr>
      <w:b/>
      <w:sz w:val="24"/>
      <w:lang w:val="fr-FR" w:eastAsia="en-US"/>
    </w:rPr>
  </w:style>
  <w:style w:type="character" w:customStyle="1" w:styleId="HeaderChar">
    <w:name w:val="Header Char"/>
    <w:basedOn w:val="DefaultParagraphFont"/>
    <w:link w:val="Header"/>
    <w:rsid w:val="00667008"/>
    <w:rPr>
      <w:sz w:val="24"/>
      <w:lang w:val="fr-FR" w:eastAsia="en-US"/>
    </w:rPr>
  </w:style>
  <w:style w:type="character" w:styleId="Hyperlink">
    <w:name w:val="Hyperlink"/>
    <w:basedOn w:val="DefaultParagraphFont"/>
    <w:rsid w:val="00667008"/>
    <w:rPr>
      <w:color w:val="0000FF"/>
      <w:u w:val="single"/>
    </w:rPr>
  </w:style>
  <w:style w:type="character" w:customStyle="1" w:styleId="FootnoteTextChar">
    <w:name w:val="Footnote Text Char"/>
    <w:basedOn w:val="DefaultParagraphFont"/>
    <w:link w:val="FootnoteText"/>
    <w:semiHidden/>
    <w:rsid w:val="00667008"/>
    <w:rPr>
      <w:sz w:val="22"/>
      <w:lang w:val="fr-FR" w:eastAsia="en-US"/>
    </w:rPr>
  </w:style>
  <w:style w:type="paragraph" w:customStyle="1" w:styleId="Normalaftertitle0">
    <w:name w:val="Normal after title"/>
    <w:basedOn w:val="Normal"/>
    <w:next w:val="Normal"/>
    <w:rsid w:val="00667008"/>
    <w:pPr>
      <w:spacing w:before="320"/>
    </w:pPr>
  </w:style>
  <w:style w:type="paragraph" w:customStyle="1" w:styleId="Reasons">
    <w:name w:val="Reasons"/>
    <w:basedOn w:val="Normal"/>
    <w:qFormat/>
    <w:rsid w:val="0066269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704F2-01B1-45FB-8C24-AA173E5E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113</TotalTime>
  <Pages>1</Pages>
  <Words>1594</Words>
  <Characters>9728</Characters>
  <Application>Microsoft Office Word</Application>
  <DocSecurity>0</DocSecurity>
  <Lines>324</Lines>
  <Paragraphs>121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18</cp:revision>
  <cp:lastPrinted>2015-06-26T08:32:00Z</cp:lastPrinted>
  <dcterms:created xsi:type="dcterms:W3CDTF">2015-06-24T12:03:00Z</dcterms:created>
  <dcterms:modified xsi:type="dcterms:W3CDTF">2015-06-26T08:33:00Z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