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09808" w14:textId="77777777" w:rsidR="00D7351F" w:rsidRDefault="00D7351F" w:rsidP="00D7351F"/>
    <w:p w14:paraId="3B053A7B" w14:textId="77777777" w:rsidR="00D7351F" w:rsidRDefault="00D7351F" w:rsidP="00D7351F">
      <w:pPr>
        <w:tabs>
          <w:tab w:val="clear" w:pos="794"/>
          <w:tab w:val="clear" w:pos="1191"/>
          <w:tab w:val="clear" w:pos="1588"/>
          <w:tab w:val="clear" w:pos="1985"/>
        </w:tabs>
      </w:pPr>
    </w:p>
    <w:p w14:paraId="52A156C6" w14:textId="041589BE" w:rsidR="00D7351F" w:rsidRPr="00710A2A" w:rsidRDefault="00D7351F" w:rsidP="00D7351F">
      <w:pPr>
        <w:pStyle w:val="CoverNumber"/>
        <w:rPr>
          <w:lang w:val="fr-FR"/>
        </w:rPr>
      </w:pPr>
      <w:r w:rsidRPr="00710A2A">
        <w:rPr>
          <w:lang w:val="fr-FR"/>
        </w:rPr>
        <w:t xml:space="preserve">Recommandation UIT-R </w:t>
      </w:r>
      <w:r>
        <w:rPr>
          <w:lang w:val="fr-FR"/>
        </w:rPr>
        <w:t>BS</w:t>
      </w:r>
      <w:r w:rsidRPr="00710A2A">
        <w:rPr>
          <w:lang w:val="fr-FR"/>
        </w:rPr>
        <w:t>.</w:t>
      </w:r>
      <w:r>
        <w:rPr>
          <w:lang w:val="fr-FR"/>
        </w:rPr>
        <w:t>1285-1</w:t>
      </w:r>
    </w:p>
    <w:p w14:paraId="128ADED2" w14:textId="22548625" w:rsidR="00D7351F" w:rsidRPr="004F3F6F" w:rsidRDefault="00D7351F" w:rsidP="00D7351F">
      <w:pPr>
        <w:pStyle w:val="CoverDate"/>
        <w:rPr>
          <w:lang w:val="fr-FR"/>
        </w:rPr>
      </w:pPr>
      <w:r w:rsidRPr="004F3F6F">
        <w:rPr>
          <w:lang w:val="fr-FR"/>
        </w:rPr>
        <w:t>(</w:t>
      </w:r>
      <w:r>
        <w:rPr>
          <w:lang w:val="fr-FR"/>
        </w:rPr>
        <w:t>05</w:t>
      </w:r>
      <w:r w:rsidRPr="004F3F6F">
        <w:rPr>
          <w:lang w:val="fr-FR"/>
        </w:rPr>
        <w:t>/</w:t>
      </w:r>
      <w:r>
        <w:rPr>
          <w:lang w:val="fr-FR"/>
        </w:rPr>
        <w:t>2023</w:t>
      </w:r>
      <w:r w:rsidRPr="004F3F6F">
        <w:rPr>
          <w:lang w:val="fr-FR"/>
        </w:rPr>
        <w:t>)</w:t>
      </w:r>
    </w:p>
    <w:p w14:paraId="7492DF8C" w14:textId="77777777" w:rsidR="00D7351F" w:rsidRPr="00B02C89" w:rsidRDefault="00D7351F" w:rsidP="00D7351F">
      <w:pPr>
        <w:pStyle w:val="CoverSeries"/>
        <w:rPr>
          <w:lang w:val="fr-FR"/>
        </w:rPr>
      </w:pPr>
      <w:r w:rsidRPr="00B02C89">
        <w:rPr>
          <w:lang w:val="fr-FR"/>
        </w:rPr>
        <w:t xml:space="preserve">Série </w:t>
      </w:r>
      <w:proofErr w:type="gramStart"/>
      <w:r w:rsidRPr="00B02C89">
        <w:rPr>
          <w:lang w:val="fr-FR"/>
        </w:rPr>
        <w:t>BS:</w:t>
      </w:r>
      <w:proofErr w:type="gramEnd"/>
      <w:r w:rsidRPr="00B02C89">
        <w:rPr>
          <w:lang w:val="fr-FR"/>
        </w:rPr>
        <w:t xml:space="preserve"> Service de radiodiffusion sonore</w:t>
      </w:r>
    </w:p>
    <w:p w14:paraId="41970614" w14:textId="691792A5" w:rsidR="00D7351F" w:rsidRPr="004F3F6F" w:rsidRDefault="00D7351F" w:rsidP="00D7351F">
      <w:pPr>
        <w:pStyle w:val="CoverTitle"/>
        <w:rPr>
          <w:lang w:val="fr-FR"/>
        </w:rPr>
      </w:pPr>
      <w:r w:rsidRPr="00D7351F">
        <w:rPr>
          <w:lang w:val="fr-FR"/>
        </w:rPr>
        <w:t xml:space="preserve">Méthodes de présélection pour l'évaluation subjective des dégradations faibles dans </w:t>
      </w:r>
      <w:proofErr w:type="gramStart"/>
      <w:r w:rsidRPr="00D7351F">
        <w:rPr>
          <w:lang w:val="fr-FR"/>
        </w:rPr>
        <w:t>les systèmes audio</w:t>
      </w:r>
      <w:proofErr w:type="gramEnd"/>
    </w:p>
    <w:p w14:paraId="59D10FCC" w14:textId="77777777" w:rsidR="00D7351F" w:rsidRPr="004F3F6F" w:rsidRDefault="00D7351F" w:rsidP="00D7351F"/>
    <w:p w14:paraId="4457D97B" w14:textId="77777777" w:rsidR="00D7351F" w:rsidRPr="005373E0" w:rsidRDefault="00D7351F" w:rsidP="00D7351F"/>
    <w:p w14:paraId="793F0B63" w14:textId="77777777" w:rsidR="00D7351F" w:rsidRPr="005373E0" w:rsidRDefault="00D7351F" w:rsidP="00D7351F">
      <w:pPr>
        <w:sectPr w:rsidR="00D7351F" w:rsidRPr="005373E0" w:rsidSect="00D7351F">
          <w:headerReference w:type="even" r:id="rId6"/>
          <w:headerReference w:type="default" r:id="rId7"/>
          <w:footerReference w:type="default" r:id="rId8"/>
          <w:pgSz w:w="11907" w:h="16840" w:code="9"/>
          <w:pgMar w:top="1089" w:right="1089" w:bottom="284" w:left="1089" w:header="737" w:footer="284" w:gutter="0"/>
          <w:pgNumType w:start="1"/>
          <w:cols w:space="720"/>
          <w:docGrid w:linePitch="326"/>
        </w:sectPr>
      </w:pPr>
    </w:p>
    <w:p w14:paraId="02A4CEA7" w14:textId="77777777" w:rsidR="00D7351F" w:rsidRPr="00F54FBD" w:rsidRDefault="00D7351F" w:rsidP="00D7351F">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280" w:after="0"/>
        <w:rPr>
          <w:bCs/>
          <w:sz w:val="24"/>
          <w:szCs w:val="24"/>
        </w:rPr>
      </w:pPr>
      <w:bookmarkStart w:id="0" w:name="c2tope"/>
      <w:bookmarkEnd w:id="0"/>
      <w:r w:rsidRPr="00F54FBD">
        <w:rPr>
          <w:bCs/>
          <w:sz w:val="24"/>
          <w:szCs w:val="24"/>
        </w:rPr>
        <w:lastRenderedPageBreak/>
        <w:t>Avant-propos</w:t>
      </w:r>
    </w:p>
    <w:p w14:paraId="07988F8C" w14:textId="77777777" w:rsidR="00D7351F" w:rsidRPr="00F54FBD" w:rsidRDefault="00D7351F" w:rsidP="00D7351F">
      <w:pPr>
        <w:spacing w:before="240"/>
        <w:rPr>
          <w:sz w:val="20"/>
        </w:rPr>
      </w:pPr>
      <w:r w:rsidRPr="00F54FBD">
        <w:rPr>
          <w:sz w:val="20"/>
        </w:rPr>
        <w:t xml:space="preserve">Le rôle du Secteur des radiocommunications est d’assurer l’utilisation rationnelle, </w:t>
      </w:r>
      <w:r>
        <w:rPr>
          <w:sz w:val="20"/>
        </w:rPr>
        <w:t>équitable, efficace et économique du spectre radioélectrique par tous les services de radiocommunication, y compris les services par satellite, et de procéder à des études pour toutes les gammes de fréquences, à partir desquelles les Recommandations seront élaborées et adoptées.</w:t>
      </w:r>
    </w:p>
    <w:p w14:paraId="02C7AE27" w14:textId="77777777" w:rsidR="00D7351F" w:rsidRPr="00F54FBD" w:rsidRDefault="00D7351F" w:rsidP="00D7351F">
      <w:pPr>
        <w:rPr>
          <w:sz w:val="20"/>
        </w:rPr>
      </w:pPr>
      <w:r w:rsidRPr="00F54FBD">
        <w:rPr>
          <w:sz w:val="20"/>
        </w:rPr>
        <w:t xml:space="preserve">Les </w:t>
      </w:r>
      <w:r>
        <w:rPr>
          <w:sz w:val="20"/>
        </w:rPr>
        <w:t>fo</w:t>
      </w:r>
      <w:r w:rsidRPr="00F54FBD">
        <w:rPr>
          <w:sz w:val="20"/>
        </w:rPr>
        <w:t>nctions réglementaires et politiques du Secteur des ra</w:t>
      </w:r>
      <w:r>
        <w:rPr>
          <w:sz w:val="20"/>
        </w:rPr>
        <w:t>diocommunications sont remplies par les Conférences mondiales et régionales des radiocommunications et par les Assemblées des radiocommunications assistées par les Commissions d’études.</w:t>
      </w:r>
    </w:p>
    <w:p w14:paraId="4170D2CB" w14:textId="77777777" w:rsidR="00D7351F" w:rsidRPr="00D7351F" w:rsidRDefault="00D7351F" w:rsidP="00D7351F">
      <w:pPr>
        <w:pStyle w:val="Heading1"/>
        <w:spacing w:before="360"/>
        <w:jc w:val="center"/>
        <w:rPr>
          <w:szCs w:val="24"/>
          <w:lang w:val="fr-CH"/>
        </w:rPr>
      </w:pPr>
      <w:r w:rsidRPr="00D7351F">
        <w:rPr>
          <w:szCs w:val="24"/>
          <w:lang w:val="fr-CH"/>
        </w:rPr>
        <w:t>Politique en matière de droits de propriété intellectuelle (IPR)</w:t>
      </w:r>
    </w:p>
    <w:p w14:paraId="20538F05" w14:textId="77777777" w:rsidR="00D7351F" w:rsidRPr="00E44CBB" w:rsidRDefault="00D7351F" w:rsidP="00D7351F">
      <w:pPr>
        <w:spacing w:before="240"/>
        <w:rPr>
          <w:sz w:val="20"/>
          <w:lang w:val="fr-CH"/>
        </w:rPr>
      </w:pPr>
      <w:r w:rsidRPr="00E44CBB">
        <w:rPr>
          <w:sz w:val="20"/>
        </w:rPr>
        <w:t>La politique de l'UIT</w:t>
      </w:r>
      <w:r w:rsidRPr="00E44CBB">
        <w:rPr>
          <w:sz w:val="20"/>
        </w:rPr>
        <w:noBreakHyphen/>
        <w:t>R en matière de droits de propriété intellectuelle est décrite dans la</w:t>
      </w:r>
      <w:proofErr w:type="gramStart"/>
      <w:r w:rsidRPr="00E44CBB">
        <w:rPr>
          <w:sz w:val="20"/>
        </w:rPr>
        <w:t xml:space="preserve"> </w:t>
      </w:r>
      <w:r w:rsidRPr="00E44CBB">
        <w:rPr>
          <w:sz w:val="20"/>
          <w:lang w:val="fr-CH"/>
        </w:rPr>
        <w:t>«Politique</w:t>
      </w:r>
      <w:proofErr w:type="gramEnd"/>
      <w:r w:rsidRPr="00E44CBB">
        <w:rPr>
          <w:sz w:val="20"/>
          <w:lang w:val="fr-CH"/>
        </w:rPr>
        <w:t xml:space="preserve"> commune de l'UIT</w:t>
      </w:r>
      <w:r w:rsidRPr="00E44CBB">
        <w:rPr>
          <w:sz w:val="20"/>
          <w:lang w:val="fr-CH"/>
        </w:rPr>
        <w:noBreakHyphen/>
        <w:t>T, l'UIT</w:t>
      </w:r>
      <w:r w:rsidRPr="00E44CBB">
        <w:rPr>
          <w:sz w:val="20"/>
          <w:lang w:val="fr-CH"/>
        </w:rPr>
        <w:noBreakHyphen/>
        <w:t xml:space="preserve">R, l'ISO et la CEI en matière de brevets», dont il est question dans la Résolution UIT-R 1. </w:t>
      </w:r>
      <w:r w:rsidRPr="00E44CBB">
        <w:rPr>
          <w:sz w:val="20"/>
        </w:rPr>
        <w:t xml:space="preserve">Les formulaires que les titulaires de brevets doivent utiliser pour soumettre les déclarations de brevet et d'octroi de licence sont accessibles à l'adresse </w:t>
      </w:r>
      <w:hyperlink r:id="rId9" w:history="1">
        <w:r w:rsidRPr="00E44CBB">
          <w:rPr>
            <w:rStyle w:val="Hyperlink"/>
            <w:sz w:val="20"/>
          </w:rPr>
          <w:t>http://www.itu.int/ITU-R/go/patents/fr</w:t>
        </w:r>
      </w:hyperlink>
      <w:r w:rsidRPr="00E44CBB">
        <w:rPr>
          <w:sz w:val="20"/>
        </w:rPr>
        <w:t xml:space="preserve">, où l'on trouvera également les Lignes directrices pour la mise en </w:t>
      </w:r>
      <w:proofErr w:type="spellStart"/>
      <w:r w:rsidRPr="00E44CBB">
        <w:rPr>
          <w:sz w:val="20"/>
        </w:rPr>
        <w:t>oeuvre</w:t>
      </w:r>
      <w:proofErr w:type="spellEnd"/>
      <w:r w:rsidRPr="00E44CBB">
        <w:rPr>
          <w:sz w:val="20"/>
        </w:rPr>
        <w:t xml:space="preserve"> de la politique commune en matière de brevets de l'UIT</w:t>
      </w:r>
      <w:r w:rsidRPr="00E44CBB">
        <w:rPr>
          <w:sz w:val="20"/>
        </w:rPr>
        <w:noBreakHyphen/>
        <w:t>T, l'UIT</w:t>
      </w:r>
      <w:r w:rsidRPr="00E44CBB">
        <w:rPr>
          <w:sz w:val="20"/>
        </w:rPr>
        <w:noBreakHyphen/>
        <w:t>R, l'ISO et la CEI</w:t>
      </w:r>
      <w:r w:rsidRPr="00E44CBB" w:rsidDel="0061025C">
        <w:rPr>
          <w:sz w:val="20"/>
        </w:rPr>
        <w:t xml:space="preserve"> </w:t>
      </w:r>
      <w:r w:rsidRPr="00E44CBB">
        <w:rPr>
          <w:sz w:val="20"/>
        </w:rPr>
        <w:t>et la base de données en matière de brevets de l'UIT-R.</w:t>
      </w:r>
    </w:p>
    <w:p w14:paraId="40A26B2A" w14:textId="77777777" w:rsidR="00D7351F" w:rsidRPr="0086089D" w:rsidRDefault="00D7351F" w:rsidP="00D7351F">
      <w:pPr>
        <w:spacing w:before="240"/>
        <w:jc w:val="center"/>
        <w:rPr>
          <w:sz w:val="22"/>
          <w:lang w:val="fr-CH"/>
        </w:rPr>
      </w:pPr>
    </w:p>
    <w:tbl>
      <w:tblPr>
        <w:tblW w:w="5000" w:type="pct"/>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1170"/>
        <w:gridCol w:w="8439"/>
      </w:tblGrid>
      <w:tr w:rsidR="00D7351F" w:rsidRPr="009454F8" w14:paraId="2375303F" w14:textId="77777777" w:rsidTr="0014380B">
        <w:tc>
          <w:tcPr>
            <w:tcW w:w="9360" w:type="dxa"/>
            <w:gridSpan w:val="2"/>
          </w:tcPr>
          <w:p w14:paraId="31F5F483" w14:textId="77777777" w:rsidR="00D7351F" w:rsidRPr="009454F8" w:rsidRDefault="00D7351F" w:rsidP="0014380B">
            <w:pPr>
              <w:pStyle w:val="Chaptitle"/>
              <w:keepLines w:val="0"/>
              <w:tabs>
                <w:tab w:val="clear" w:pos="794"/>
                <w:tab w:val="clear" w:pos="1191"/>
                <w:tab w:val="clear" w:pos="1588"/>
                <w:tab w:val="clear" w:pos="1985"/>
              </w:tabs>
              <w:overflowPunct/>
              <w:spacing w:before="140"/>
              <w:textAlignment w:val="auto"/>
              <w:rPr>
                <w:sz w:val="22"/>
                <w:szCs w:val="22"/>
              </w:rPr>
            </w:pPr>
            <w:r w:rsidRPr="009454F8">
              <w:rPr>
                <w:sz w:val="22"/>
                <w:szCs w:val="22"/>
              </w:rPr>
              <w:t>Séries des Recommandations UIT-R</w:t>
            </w:r>
            <w:r>
              <w:rPr>
                <w:sz w:val="22"/>
                <w:szCs w:val="22"/>
              </w:rPr>
              <w:t xml:space="preserve"> </w:t>
            </w:r>
          </w:p>
          <w:p w14:paraId="43B21FA7" w14:textId="77777777" w:rsidR="00D7351F" w:rsidRPr="009454F8" w:rsidRDefault="00D7351F" w:rsidP="0014380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60"/>
              <w:rPr>
                <w:bCs/>
                <w:sz w:val="18"/>
                <w:szCs w:val="18"/>
              </w:rPr>
            </w:pPr>
            <w:r w:rsidRPr="00BC0651">
              <w:rPr>
                <w:b w:val="0"/>
                <w:sz w:val="18"/>
                <w:szCs w:val="18"/>
              </w:rPr>
              <w:t>(</w:t>
            </w:r>
            <w:proofErr w:type="spellStart"/>
            <w:r w:rsidRPr="009454F8">
              <w:rPr>
                <w:b w:val="0"/>
                <w:sz w:val="18"/>
                <w:szCs w:val="18"/>
              </w:rPr>
              <w:t>Egalement</w:t>
            </w:r>
            <w:proofErr w:type="spellEnd"/>
            <w:r w:rsidRPr="009454F8">
              <w:rPr>
                <w:b w:val="0"/>
                <w:sz w:val="18"/>
                <w:szCs w:val="18"/>
              </w:rPr>
              <w:t xml:space="preserve"> disponible en </w:t>
            </w:r>
            <w:proofErr w:type="gramStart"/>
            <w:r w:rsidRPr="009454F8">
              <w:rPr>
                <w:b w:val="0"/>
                <w:sz w:val="18"/>
                <w:szCs w:val="18"/>
              </w:rPr>
              <w:t>ligne:</w:t>
            </w:r>
            <w:proofErr w:type="gramEnd"/>
            <w:r w:rsidRPr="009454F8">
              <w:rPr>
                <w:b w:val="0"/>
                <w:sz w:val="18"/>
                <w:szCs w:val="18"/>
              </w:rPr>
              <w:t xml:space="preserve"> </w:t>
            </w:r>
            <w:hyperlink r:id="rId10" w:history="1">
              <w:r>
                <w:rPr>
                  <w:rStyle w:val="Hyperlink"/>
                  <w:b w:val="0"/>
                  <w:bCs/>
                  <w:sz w:val="18"/>
                  <w:szCs w:val="18"/>
                </w:rPr>
                <w:t>https://www.itu.int/publ/R-REC/fr</w:t>
              </w:r>
            </w:hyperlink>
            <w:r w:rsidRPr="00BC0651">
              <w:rPr>
                <w:b w:val="0"/>
                <w:bCs/>
                <w:sz w:val="18"/>
                <w:szCs w:val="18"/>
              </w:rPr>
              <w:t>)</w:t>
            </w:r>
          </w:p>
        </w:tc>
      </w:tr>
      <w:tr w:rsidR="00D7351F" w:rsidRPr="00036EE3" w14:paraId="1807BF9D" w14:textId="77777777" w:rsidTr="0014380B">
        <w:tc>
          <w:tcPr>
            <w:tcW w:w="1140" w:type="dxa"/>
            <w:tcBorders>
              <w:bottom w:val="nil"/>
            </w:tcBorders>
          </w:tcPr>
          <w:p w14:paraId="61C8ADE9" w14:textId="77777777" w:rsidR="00D7351F" w:rsidRPr="00614CC6" w:rsidRDefault="00D7351F" w:rsidP="0014380B">
            <w:pPr>
              <w:spacing w:before="90" w:after="100"/>
              <w:ind w:left="57"/>
              <w:rPr>
                <w:b/>
                <w:bCs/>
                <w:sz w:val="20"/>
                <w:lang w:val="en-US"/>
              </w:rPr>
            </w:pPr>
            <w:proofErr w:type="spellStart"/>
            <w:r w:rsidRPr="00614CC6">
              <w:rPr>
                <w:b/>
                <w:bCs/>
                <w:sz w:val="20"/>
                <w:lang w:val="en-US"/>
              </w:rPr>
              <w:t>Séries</w:t>
            </w:r>
            <w:proofErr w:type="spellEnd"/>
          </w:p>
        </w:tc>
        <w:tc>
          <w:tcPr>
            <w:tcW w:w="8220" w:type="dxa"/>
            <w:tcBorders>
              <w:bottom w:val="nil"/>
            </w:tcBorders>
          </w:tcPr>
          <w:p w14:paraId="6AC4B95B" w14:textId="77777777" w:rsidR="00D7351F" w:rsidRPr="00614CC6" w:rsidRDefault="00D7351F" w:rsidP="0014380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90" w:after="100"/>
              <w:rPr>
                <w:bCs/>
                <w:sz w:val="20"/>
                <w:lang w:val="en-US"/>
              </w:rPr>
            </w:pPr>
            <w:proofErr w:type="spellStart"/>
            <w:r w:rsidRPr="00614CC6">
              <w:rPr>
                <w:bCs/>
                <w:sz w:val="20"/>
                <w:lang w:val="en-US"/>
              </w:rPr>
              <w:t>Titre</w:t>
            </w:r>
            <w:proofErr w:type="spellEnd"/>
          </w:p>
        </w:tc>
      </w:tr>
      <w:tr w:rsidR="00D7351F" w:rsidRPr="005E427C" w14:paraId="156EBA34" w14:textId="77777777" w:rsidTr="0014380B">
        <w:tc>
          <w:tcPr>
            <w:tcW w:w="1140" w:type="dxa"/>
            <w:tcBorders>
              <w:top w:val="nil"/>
              <w:bottom w:val="nil"/>
            </w:tcBorders>
            <w:shd w:val="clear" w:color="auto" w:fill="auto"/>
          </w:tcPr>
          <w:p w14:paraId="7C4E9E8E" w14:textId="77777777" w:rsidR="00D7351F" w:rsidRPr="008E50E5" w:rsidRDefault="00D7351F" w:rsidP="0014380B">
            <w:pPr>
              <w:spacing w:before="30" w:after="30"/>
              <w:ind w:left="57"/>
              <w:jc w:val="left"/>
              <w:rPr>
                <w:rFonts w:ascii="Times New Roman Bold" w:hAnsi="Times New Roman Bold"/>
                <w:b/>
                <w:bCs/>
                <w:sz w:val="20"/>
                <w:lang w:val="en-US"/>
              </w:rPr>
            </w:pPr>
            <w:r w:rsidRPr="008E50E5">
              <w:rPr>
                <w:rFonts w:ascii="Times New Roman Bold" w:hAnsi="Times New Roman Bold"/>
                <w:b/>
                <w:bCs/>
                <w:sz w:val="20"/>
                <w:lang w:val="en-US"/>
              </w:rPr>
              <w:t>BO</w:t>
            </w:r>
          </w:p>
        </w:tc>
        <w:tc>
          <w:tcPr>
            <w:tcW w:w="8220" w:type="dxa"/>
            <w:tcBorders>
              <w:top w:val="nil"/>
              <w:bottom w:val="nil"/>
            </w:tcBorders>
            <w:shd w:val="clear" w:color="auto" w:fill="auto"/>
          </w:tcPr>
          <w:p w14:paraId="6F25BA73" w14:textId="77777777" w:rsidR="00D7351F" w:rsidRPr="00A66700" w:rsidRDefault="00D7351F" w:rsidP="0014380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A66700">
              <w:rPr>
                <w:b w:val="0"/>
                <w:sz w:val="20"/>
              </w:rPr>
              <w:t>Diffusion par satellite</w:t>
            </w:r>
          </w:p>
        </w:tc>
      </w:tr>
      <w:tr w:rsidR="00D7351F" w:rsidRPr="009454F8" w14:paraId="63B80DDC" w14:textId="77777777" w:rsidTr="0014380B">
        <w:tc>
          <w:tcPr>
            <w:tcW w:w="1140" w:type="dxa"/>
            <w:tcBorders>
              <w:top w:val="nil"/>
              <w:bottom w:val="nil"/>
            </w:tcBorders>
          </w:tcPr>
          <w:p w14:paraId="53EA0A12" w14:textId="77777777" w:rsidR="00D7351F" w:rsidRPr="00A66700" w:rsidRDefault="00D7351F" w:rsidP="0014380B">
            <w:pPr>
              <w:spacing w:before="30" w:after="30"/>
              <w:ind w:left="57"/>
              <w:jc w:val="left"/>
              <w:rPr>
                <w:rFonts w:ascii="Times New Roman Bold" w:hAnsi="Times New Roman Bold"/>
                <w:b/>
                <w:bCs/>
                <w:sz w:val="20"/>
                <w:lang w:val="en-US"/>
              </w:rPr>
            </w:pPr>
            <w:r w:rsidRPr="00A66700">
              <w:rPr>
                <w:rFonts w:ascii="Times New Roman Bold" w:hAnsi="Times New Roman Bold"/>
                <w:b/>
                <w:bCs/>
                <w:sz w:val="20"/>
                <w:lang w:val="en-US"/>
              </w:rPr>
              <w:t>BR</w:t>
            </w:r>
          </w:p>
        </w:tc>
        <w:tc>
          <w:tcPr>
            <w:tcW w:w="8220" w:type="dxa"/>
            <w:tcBorders>
              <w:top w:val="nil"/>
              <w:bottom w:val="nil"/>
            </w:tcBorders>
          </w:tcPr>
          <w:p w14:paraId="549142AF" w14:textId="77777777" w:rsidR="00D7351F" w:rsidRPr="00A66700" w:rsidRDefault="00D7351F" w:rsidP="0014380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A66700">
              <w:rPr>
                <w:b w:val="0"/>
                <w:sz w:val="20"/>
              </w:rPr>
              <w:t xml:space="preserve">Enregistrement pour la production, l'archivage et la </w:t>
            </w:r>
            <w:proofErr w:type="gramStart"/>
            <w:r w:rsidRPr="00A66700">
              <w:rPr>
                <w:b w:val="0"/>
                <w:sz w:val="20"/>
              </w:rPr>
              <w:t>diffusion;</w:t>
            </w:r>
            <w:proofErr w:type="gramEnd"/>
            <w:r w:rsidRPr="00A66700">
              <w:rPr>
                <w:b w:val="0"/>
                <w:sz w:val="20"/>
              </w:rPr>
              <w:t xml:space="preserve"> films pour la télévision</w:t>
            </w:r>
          </w:p>
        </w:tc>
      </w:tr>
      <w:tr w:rsidR="00D7351F" w:rsidRPr="00E80F1D" w14:paraId="2D682FE3" w14:textId="77777777" w:rsidTr="0014380B">
        <w:tc>
          <w:tcPr>
            <w:tcW w:w="1140" w:type="dxa"/>
            <w:tcBorders>
              <w:top w:val="nil"/>
              <w:bottom w:val="nil"/>
            </w:tcBorders>
            <w:shd w:val="clear" w:color="auto" w:fill="F3F3F3"/>
          </w:tcPr>
          <w:p w14:paraId="26F8AC68" w14:textId="77777777" w:rsidR="00D7351F" w:rsidRPr="00A66700" w:rsidRDefault="00D7351F" w:rsidP="0014380B">
            <w:pPr>
              <w:spacing w:before="30" w:after="30"/>
              <w:ind w:left="57"/>
              <w:jc w:val="left"/>
              <w:rPr>
                <w:b/>
                <w:bCs/>
                <w:color w:val="000080"/>
                <w:sz w:val="20"/>
                <w:lang w:val="en-US"/>
              </w:rPr>
            </w:pPr>
            <w:r w:rsidRPr="00A66700">
              <w:rPr>
                <w:b/>
                <w:bCs/>
                <w:color w:val="000080"/>
                <w:sz w:val="20"/>
                <w:lang w:val="en-US"/>
              </w:rPr>
              <w:t>BS</w:t>
            </w:r>
          </w:p>
        </w:tc>
        <w:tc>
          <w:tcPr>
            <w:tcW w:w="8220" w:type="dxa"/>
            <w:tcBorders>
              <w:top w:val="nil"/>
              <w:bottom w:val="nil"/>
            </w:tcBorders>
            <w:shd w:val="clear" w:color="auto" w:fill="F3F3F3"/>
          </w:tcPr>
          <w:p w14:paraId="2CFAD272" w14:textId="77777777" w:rsidR="00D7351F" w:rsidRPr="00A66700" w:rsidRDefault="00D7351F" w:rsidP="0014380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rFonts w:ascii="Times New Roman Bold" w:hAnsi="Times New Roman Bold"/>
                <w:color w:val="000080"/>
                <w:sz w:val="20"/>
              </w:rPr>
            </w:pPr>
            <w:r w:rsidRPr="00A66700">
              <w:rPr>
                <w:rFonts w:ascii="Times New Roman Bold" w:hAnsi="Times New Roman Bold"/>
                <w:color w:val="000080"/>
                <w:sz w:val="20"/>
              </w:rPr>
              <w:t>Service de radiodiffusion sonore</w:t>
            </w:r>
          </w:p>
        </w:tc>
      </w:tr>
      <w:tr w:rsidR="00D7351F" w:rsidRPr="00ED2695" w14:paraId="4640F886" w14:textId="77777777" w:rsidTr="0014380B">
        <w:tc>
          <w:tcPr>
            <w:tcW w:w="1140" w:type="dxa"/>
            <w:tcBorders>
              <w:top w:val="nil"/>
              <w:bottom w:val="nil"/>
            </w:tcBorders>
            <w:shd w:val="clear" w:color="auto" w:fill="auto"/>
          </w:tcPr>
          <w:p w14:paraId="1101F474" w14:textId="77777777" w:rsidR="00D7351F" w:rsidRPr="00614CC6" w:rsidRDefault="00D7351F" w:rsidP="0014380B">
            <w:pPr>
              <w:spacing w:before="30" w:after="30"/>
              <w:ind w:left="57"/>
              <w:jc w:val="left"/>
              <w:rPr>
                <w:b/>
                <w:bCs/>
                <w:sz w:val="20"/>
                <w:lang w:val="en-US"/>
              </w:rPr>
            </w:pPr>
            <w:r w:rsidRPr="00614CC6">
              <w:rPr>
                <w:b/>
                <w:bCs/>
                <w:sz w:val="20"/>
                <w:lang w:val="en-US"/>
              </w:rPr>
              <w:t>BT</w:t>
            </w:r>
          </w:p>
        </w:tc>
        <w:tc>
          <w:tcPr>
            <w:tcW w:w="8220" w:type="dxa"/>
            <w:tcBorders>
              <w:top w:val="nil"/>
              <w:bottom w:val="nil"/>
            </w:tcBorders>
            <w:shd w:val="clear" w:color="auto" w:fill="auto"/>
          </w:tcPr>
          <w:p w14:paraId="130BC994" w14:textId="77777777" w:rsidR="00D7351F" w:rsidRPr="00A66700" w:rsidRDefault="00D7351F" w:rsidP="0014380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A66700">
              <w:rPr>
                <w:b w:val="0"/>
                <w:sz w:val="20"/>
              </w:rPr>
              <w:t>Service de radiodiffusion télévisuelle</w:t>
            </w:r>
          </w:p>
        </w:tc>
      </w:tr>
      <w:tr w:rsidR="00D7351F" w:rsidRPr="00DE5EA2" w14:paraId="3B289C49" w14:textId="77777777" w:rsidTr="0014380B">
        <w:tc>
          <w:tcPr>
            <w:tcW w:w="1140" w:type="dxa"/>
            <w:tcBorders>
              <w:top w:val="nil"/>
              <w:bottom w:val="nil"/>
            </w:tcBorders>
            <w:shd w:val="clear" w:color="auto" w:fill="auto"/>
          </w:tcPr>
          <w:p w14:paraId="458B0AA4" w14:textId="77777777" w:rsidR="00D7351F" w:rsidRPr="00DE5EA2" w:rsidRDefault="00D7351F" w:rsidP="0014380B">
            <w:pPr>
              <w:spacing w:before="30" w:after="30"/>
              <w:ind w:left="57"/>
              <w:jc w:val="left"/>
              <w:rPr>
                <w:b/>
                <w:bCs/>
                <w:sz w:val="20"/>
                <w:lang w:val="fr-CH"/>
              </w:rPr>
            </w:pPr>
            <w:r w:rsidRPr="00DE5EA2">
              <w:rPr>
                <w:b/>
                <w:bCs/>
                <w:sz w:val="20"/>
                <w:lang w:val="fr-CH"/>
              </w:rPr>
              <w:t>F</w:t>
            </w:r>
          </w:p>
        </w:tc>
        <w:tc>
          <w:tcPr>
            <w:tcW w:w="8220" w:type="dxa"/>
            <w:tcBorders>
              <w:top w:val="nil"/>
              <w:bottom w:val="nil"/>
            </w:tcBorders>
            <w:shd w:val="clear" w:color="auto" w:fill="auto"/>
          </w:tcPr>
          <w:p w14:paraId="022406E1" w14:textId="77777777" w:rsidR="00D7351F" w:rsidRPr="00A66700" w:rsidRDefault="00D7351F" w:rsidP="0014380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A66700">
              <w:rPr>
                <w:b w:val="0"/>
                <w:sz w:val="20"/>
              </w:rPr>
              <w:t>Service fixe</w:t>
            </w:r>
          </w:p>
        </w:tc>
      </w:tr>
      <w:tr w:rsidR="00D7351F" w:rsidRPr="00B21066" w14:paraId="1CAB824A" w14:textId="77777777" w:rsidTr="0014380B">
        <w:tc>
          <w:tcPr>
            <w:tcW w:w="1140" w:type="dxa"/>
            <w:tcBorders>
              <w:top w:val="nil"/>
              <w:bottom w:val="nil"/>
            </w:tcBorders>
            <w:shd w:val="clear" w:color="auto" w:fill="auto"/>
          </w:tcPr>
          <w:p w14:paraId="20007F5B" w14:textId="77777777" w:rsidR="00D7351F" w:rsidRPr="00B21066" w:rsidRDefault="00D7351F" w:rsidP="0014380B">
            <w:pPr>
              <w:spacing w:before="30" w:after="30"/>
              <w:ind w:left="57"/>
              <w:jc w:val="left"/>
              <w:rPr>
                <w:b/>
                <w:bCs/>
                <w:sz w:val="20"/>
                <w:lang w:val="en-US"/>
              </w:rPr>
            </w:pPr>
            <w:r w:rsidRPr="00B21066">
              <w:rPr>
                <w:b/>
                <w:bCs/>
                <w:sz w:val="20"/>
                <w:lang w:val="en-US"/>
              </w:rPr>
              <w:t>M</w:t>
            </w:r>
          </w:p>
        </w:tc>
        <w:tc>
          <w:tcPr>
            <w:tcW w:w="8220" w:type="dxa"/>
            <w:tcBorders>
              <w:top w:val="nil"/>
              <w:bottom w:val="nil"/>
            </w:tcBorders>
            <w:shd w:val="clear" w:color="auto" w:fill="auto"/>
          </w:tcPr>
          <w:p w14:paraId="4E228094" w14:textId="77777777" w:rsidR="00D7351F" w:rsidRPr="00B21066" w:rsidRDefault="00D7351F" w:rsidP="0014380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proofErr w:type="gramStart"/>
            <w:r w:rsidRPr="00B21066">
              <w:rPr>
                <w:b w:val="0"/>
                <w:sz w:val="20"/>
              </w:rPr>
              <w:t>Services mobile</w:t>
            </w:r>
            <w:proofErr w:type="gramEnd"/>
            <w:r w:rsidRPr="00B21066">
              <w:rPr>
                <w:b w:val="0"/>
                <w:sz w:val="20"/>
              </w:rPr>
              <w:t>, de radiorepérage et d'amateur y compris les services par satellite associés</w:t>
            </w:r>
          </w:p>
        </w:tc>
      </w:tr>
      <w:tr w:rsidR="00D7351F" w:rsidRPr="00EC361D" w14:paraId="060EBB63" w14:textId="77777777" w:rsidTr="0014380B">
        <w:tc>
          <w:tcPr>
            <w:tcW w:w="1140" w:type="dxa"/>
            <w:tcBorders>
              <w:top w:val="nil"/>
              <w:bottom w:val="nil"/>
            </w:tcBorders>
            <w:shd w:val="clear" w:color="auto" w:fill="auto"/>
          </w:tcPr>
          <w:p w14:paraId="7AB20029" w14:textId="77777777" w:rsidR="00D7351F" w:rsidRPr="00EC361D" w:rsidRDefault="00D7351F" w:rsidP="0014380B">
            <w:pPr>
              <w:spacing w:before="30" w:after="30"/>
              <w:ind w:left="57"/>
              <w:jc w:val="left"/>
              <w:rPr>
                <w:b/>
                <w:bCs/>
                <w:sz w:val="20"/>
                <w:lang w:val="fr-CH"/>
              </w:rPr>
            </w:pPr>
            <w:r w:rsidRPr="00EC361D">
              <w:rPr>
                <w:b/>
                <w:bCs/>
                <w:sz w:val="20"/>
                <w:lang w:val="fr-CH"/>
              </w:rPr>
              <w:t>P</w:t>
            </w:r>
          </w:p>
        </w:tc>
        <w:tc>
          <w:tcPr>
            <w:tcW w:w="8220" w:type="dxa"/>
            <w:tcBorders>
              <w:top w:val="nil"/>
              <w:bottom w:val="nil"/>
            </w:tcBorders>
            <w:shd w:val="clear" w:color="auto" w:fill="auto"/>
          </w:tcPr>
          <w:p w14:paraId="19BD1657" w14:textId="77777777" w:rsidR="00D7351F" w:rsidRPr="00A66700" w:rsidRDefault="00D7351F" w:rsidP="0014380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A66700">
              <w:rPr>
                <w:b w:val="0"/>
                <w:sz w:val="20"/>
              </w:rPr>
              <w:t>Propagation des ondes radioélectriques</w:t>
            </w:r>
          </w:p>
        </w:tc>
      </w:tr>
      <w:tr w:rsidR="00D7351F" w:rsidRPr="004822EF" w14:paraId="321F8BE6" w14:textId="77777777" w:rsidTr="0014380B">
        <w:tc>
          <w:tcPr>
            <w:tcW w:w="1140" w:type="dxa"/>
            <w:tcBorders>
              <w:top w:val="nil"/>
              <w:bottom w:val="nil"/>
            </w:tcBorders>
            <w:shd w:val="clear" w:color="auto" w:fill="auto"/>
          </w:tcPr>
          <w:p w14:paraId="7E3765C8" w14:textId="77777777" w:rsidR="00D7351F" w:rsidRPr="004822EF" w:rsidRDefault="00D7351F" w:rsidP="0014380B">
            <w:pPr>
              <w:spacing w:before="30" w:after="30"/>
              <w:ind w:left="57"/>
              <w:jc w:val="left"/>
              <w:rPr>
                <w:b/>
                <w:bCs/>
                <w:sz w:val="20"/>
                <w:lang w:val="en-US"/>
              </w:rPr>
            </w:pPr>
            <w:r w:rsidRPr="004822EF">
              <w:rPr>
                <w:b/>
                <w:bCs/>
                <w:sz w:val="20"/>
                <w:lang w:val="en-US"/>
              </w:rPr>
              <w:t>RA</w:t>
            </w:r>
          </w:p>
        </w:tc>
        <w:tc>
          <w:tcPr>
            <w:tcW w:w="8220" w:type="dxa"/>
            <w:tcBorders>
              <w:top w:val="nil"/>
              <w:bottom w:val="nil"/>
            </w:tcBorders>
            <w:shd w:val="clear" w:color="auto" w:fill="auto"/>
          </w:tcPr>
          <w:p w14:paraId="2E4898ED" w14:textId="77777777" w:rsidR="00D7351F" w:rsidRPr="00A66700" w:rsidRDefault="00D7351F" w:rsidP="0014380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A66700">
              <w:rPr>
                <w:b w:val="0"/>
                <w:sz w:val="20"/>
              </w:rPr>
              <w:t>Radio astronomie</w:t>
            </w:r>
          </w:p>
        </w:tc>
      </w:tr>
      <w:tr w:rsidR="00D7351F" w:rsidRPr="00326525" w14:paraId="18CCAE32" w14:textId="77777777" w:rsidTr="0014380B">
        <w:tc>
          <w:tcPr>
            <w:tcW w:w="1140" w:type="dxa"/>
            <w:tcBorders>
              <w:top w:val="nil"/>
              <w:bottom w:val="nil"/>
            </w:tcBorders>
            <w:shd w:val="clear" w:color="auto" w:fill="auto"/>
          </w:tcPr>
          <w:p w14:paraId="7F46BB2F" w14:textId="77777777" w:rsidR="00D7351F" w:rsidRPr="00326525" w:rsidRDefault="00D7351F" w:rsidP="0014380B">
            <w:pPr>
              <w:spacing w:before="30" w:after="30"/>
              <w:ind w:left="57"/>
              <w:jc w:val="left"/>
              <w:rPr>
                <w:b/>
                <w:bCs/>
                <w:sz w:val="20"/>
                <w:lang w:val="en-US"/>
              </w:rPr>
            </w:pPr>
            <w:r w:rsidRPr="00326525">
              <w:rPr>
                <w:b/>
                <w:bCs/>
                <w:sz w:val="20"/>
                <w:lang w:val="en-US"/>
              </w:rPr>
              <w:t>RS</w:t>
            </w:r>
          </w:p>
        </w:tc>
        <w:tc>
          <w:tcPr>
            <w:tcW w:w="8220" w:type="dxa"/>
            <w:tcBorders>
              <w:top w:val="nil"/>
              <w:bottom w:val="nil"/>
            </w:tcBorders>
            <w:shd w:val="clear" w:color="auto" w:fill="auto"/>
          </w:tcPr>
          <w:p w14:paraId="578808F6" w14:textId="77777777" w:rsidR="00D7351F" w:rsidRPr="00A66700" w:rsidRDefault="00D7351F" w:rsidP="0014380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A66700">
              <w:rPr>
                <w:b w:val="0"/>
                <w:sz w:val="20"/>
              </w:rPr>
              <w:t>Systèmes de télédétection</w:t>
            </w:r>
          </w:p>
        </w:tc>
      </w:tr>
      <w:tr w:rsidR="00D7351F" w:rsidRPr="00C40D3E" w14:paraId="76DB6843" w14:textId="77777777" w:rsidTr="0014380B">
        <w:tc>
          <w:tcPr>
            <w:tcW w:w="1140" w:type="dxa"/>
            <w:tcBorders>
              <w:top w:val="nil"/>
              <w:bottom w:val="nil"/>
            </w:tcBorders>
            <w:shd w:val="clear" w:color="auto" w:fill="auto"/>
          </w:tcPr>
          <w:p w14:paraId="7F436C0F" w14:textId="77777777" w:rsidR="00D7351F" w:rsidRPr="00C40D3E" w:rsidRDefault="00D7351F" w:rsidP="0014380B">
            <w:pPr>
              <w:spacing w:before="30" w:after="30"/>
              <w:ind w:left="57"/>
              <w:jc w:val="left"/>
              <w:rPr>
                <w:b/>
                <w:bCs/>
                <w:sz w:val="20"/>
                <w:lang w:val="en-US"/>
              </w:rPr>
            </w:pPr>
            <w:r w:rsidRPr="00C40D3E">
              <w:rPr>
                <w:b/>
                <w:bCs/>
                <w:sz w:val="20"/>
                <w:lang w:val="en-US"/>
              </w:rPr>
              <w:t>S</w:t>
            </w:r>
          </w:p>
        </w:tc>
        <w:tc>
          <w:tcPr>
            <w:tcW w:w="8220" w:type="dxa"/>
            <w:tcBorders>
              <w:top w:val="nil"/>
              <w:bottom w:val="nil"/>
            </w:tcBorders>
            <w:shd w:val="clear" w:color="auto" w:fill="auto"/>
          </w:tcPr>
          <w:p w14:paraId="5895689E" w14:textId="77777777" w:rsidR="00D7351F" w:rsidRPr="00A66700" w:rsidRDefault="00D7351F" w:rsidP="0014380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A66700">
              <w:rPr>
                <w:b w:val="0"/>
                <w:sz w:val="20"/>
              </w:rPr>
              <w:t>Service fixe par satellite</w:t>
            </w:r>
          </w:p>
        </w:tc>
      </w:tr>
      <w:tr w:rsidR="00D7351F" w:rsidRPr="00C40D3E" w14:paraId="77351383" w14:textId="77777777" w:rsidTr="0014380B">
        <w:tc>
          <w:tcPr>
            <w:tcW w:w="1140" w:type="dxa"/>
            <w:tcBorders>
              <w:top w:val="nil"/>
              <w:bottom w:val="nil"/>
            </w:tcBorders>
            <w:shd w:val="clear" w:color="auto" w:fill="FFFFFF" w:themeFill="background1"/>
          </w:tcPr>
          <w:p w14:paraId="5A3BBDA3" w14:textId="77777777" w:rsidR="00D7351F" w:rsidRPr="004F3F6F" w:rsidRDefault="00D7351F" w:rsidP="0014380B">
            <w:pPr>
              <w:spacing w:before="30" w:after="30"/>
              <w:ind w:left="57"/>
              <w:jc w:val="left"/>
              <w:rPr>
                <w:rFonts w:ascii="Times New Roman Bold" w:hAnsi="Times New Roman Bold"/>
                <w:b/>
                <w:bCs/>
                <w:sz w:val="20"/>
                <w:lang w:val="en-US"/>
              </w:rPr>
            </w:pPr>
            <w:r w:rsidRPr="004F3F6F">
              <w:rPr>
                <w:rFonts w:ascii="Times New Roman Bold" w:hAnsi="Times New Roman Bold"/>
                <w:b/>
                <w:bCs/>
                <w:sz w:val="20"/>
                <w:lang w:val="en-US"/>
              </w:rPr>
              <w:t>SA</w:t>
            </w:r>
          </w:p>
        </w:tc>
        <w:tc>
          <w:tcPr>
            <w:tcW w:w="8220" w:type="dxa"/>
            <w:tcBorders>
              <w:top w:val="nil"/>
              <w:bottom w:val="nil"/>
            </w:tcBorders>
            <w:shd w:val="clear" w:color="auto" w:fill="FFFFFF" w:themeFill="background1"/>
          </w:tcPr>
          <w:p w14:paraId="40E6F440" w14:textId="77777777" w:rsidR="00D7351F" w:rsidRPr="00A66700" w:rsidRDefault="00D7351F" w:rsidP="0014380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A66700">
              <w:rPr>
                <w:b w:val="0"/>
                <w:sz w:val="20"/>
              </w:rPr>
              <w:t>Applications spatiales et météorologie</w:t>
            </w:r>
          </w:p>
        </w:tc>
      </w:tr>
      <w:tr w:rsidR="00D7351F" w:rsidRPr="00614CC6" w14:paraId="5365E8A9" w14:textId="77777777" w:rsidTr="0014380B">
        <w:tc>
          <w:tcPr>
            <w:tcW w:w="1140" w:type="dxa"/>
            <w:tcBorders>
              <w:top w:val="nil"/>
            </w:tcBorders>
          </w:tcPr>
          <w:p w14:paraId="4A3A87BE" w14:textId="77777777" w:rsidR="00D7351F" w:rsidRPr="00614CC6" w:rsidRDefault="00D7351F" w:rsidP="0014380B">
            <w:pPr>
              <w:spacing w:before="30" w:after="30"/>
              <w:ind w:left="57"/>
              <w:jc w:val="left"/>
              <w:rPr>
                <w:b/>
                <w:bCs/>
                <w:sz w:val="20"/>
                <w:lang w:val="en-US"/>
              </w:rPr>
            </w:pPr>
            <w:r w:rsidRPr="00614CC6">
              <w:rPr>
                <w:b/>
                <w:bCs/>
                <w:sz w:val="20"/>
                <w:lang w:val="en-US"/>
              </w:rPr>
              <w:t>SF</w:t>
            </w:r>
          </w:p>
        </w:tc>
        <w:tc>
          <w:tcPr>
            <w:tcW w:w="8220" w:type="dxa"/>
            <w:tcBorders>
              <w:top w:val="nil"/>
            </w:tcBorders>
          </w:tcPr>
          <w:p w14:paraId="4276674E" w14:textId="77777777" w:rsidR="00D7351F" w:rsidRPr="00A66700" w:rsidRDefault="00D7351F" w:rsidP="0014380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A66700">
              <w:rPr>
                <w:b w:val="0"/>
                <w:sz w:val="20"/>
              </w:rPr>
              <w:t>Partage des fréquences et coordination entre les systèmes du service fixe par satellite et du service fixe</w:t>
            </w:r>
          </w:p>
        </w:tc>
      </w:tr>
      <w:tr w:rsidR="00D7351F" w:rsidRPr="00036EE3" w14:paraId="2804DB9E" w14:textId="77777777" w:rsidTr="0014380B">
        <w:tc>
          <w:tcPr>
            <w:tcW w:w="1140" w:type="dxa"/>
            <w:shd w:val="clear" w:color="auto" w:fill="auto"/>
          </w:tcPr>
          <w:p w14:paraId="079B869F" w14:textId="77777777" w:rsidR="00D7351F" w:rsidRPr="00592F9F" w:rsidRDefault="00D7351F" w:rsidP="0014380B">
            <w:pPr>
              <w:spacing w:before="30" w:after="30"/>
              <w:ind w:left="57"/>
              <w:jc w:val="left"/>
              <w:rPr>
                <w:b/>
                <w:bCs/>
                <w:sz w:val="20"/>
                <w:lang w:val="en-US"/>
              </w:rPr>
            </w:pPr>
            <w:r w:rsidRPr="00592F9F">
              <w:rPr>
                <w:b/>
                <w:bCs/>
                <w:sz w:val="20"/>
                <w:lang w:val="en-US"/>
              </w:rPr>
              <w:t>SM</w:t>
            </w:r>
          </w:p>
        </w:tc>
        <w:tc>
          <w:tcPr>
            <w:tcW w:w="8220" w:type="dxa"/>
            <w:shd w:val="clear" w:color="auto" w:fill="auto"/>
          </w:tcPr>
          <w:p w14:paraId="74883276" w14:textId="77777777" w:rsidR="00D7351F" w:rsidRPr="00A66700" w:rsidRDefault="00D7351F" w:rsidP="0014380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A66700">
              <w:rPr>
                <w:b w:val="0"/>
                <w:sz w:val="20"/>
              </w:rPr>
              <w:t>Gestion du spectre</w:t>
            </w:r>
          </w:p>
        </w:tc>
      </w:tr>
      <w:tr w:rsidR="00D7351F" w:rsidRPr="00036EE3" w14:paraId="081A99BD" w14:textId="77777777" w:rsidTr="0014380B">
        <w:tc>
          <w:tcPr>
            <w:tcW w:w="1140" w:type="dxa"/>
          </w:tcPr>
          <w:p w14:paraId="5D6A14E3" w14:textId="77777777" w:rsidR="00D7351F" w:rsidRPr="00614CC6" w:rsidRDefault="00D7351F" w:rsidP="0014380B">
            <w:pPr>
              <w:spacing w:before="30" w:after="30"/>
              <w:ind w:left="57"/>
              <w:jc w:val="left"/>
              <w:rPr>
                <w:b/>
                <w:bCs/>
                <w:sz w:val="20"/>
                <w:lang w:val="en-US"/>
              </w:rPr>
            </w:pPr>
            <w:r w:rsidRPr="00614CC6">
              <w:rPr>
                <w:b/>
                <w:bCs/>
                <w:sz w:val="20"/>
                <w:lang w:val="en-US"/>
              </w:rPr>
              <w:t>SNG</w:t>
            </w:r>
          </w:p>
        </w:tc>
        <w:tc>
          <w:tcPr>
            <w:tcW w:w="8220" w:type="dxa"/>
          </w:tcPr>
          <w:p w14:paraId="49B03629" w14:textId="77777777" w:rsidR="00D7351F" w:rsidRPr="00A66700" w:rsidRDefault="00D7351F" w:rsidP="0014380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A66700">
              <w:rPr>
                <w:b w:val="0"/>
                <w:sz w:val="20"/>
              </w:rPr>
              <w:t>Reportage d'actualités par satellite</w:t>
            </w:r>
          </w:p>
        </w:tc>
      </w:tr>
      <w:tr w:rsidR="00D7351F" w:rsidRPr="00614CC6" w14:paraId="442CA33D" w14:textId="77777777" w:rsidTr="0014380B">
        <w:tc>
          <w:tcPr>
            <w:tcW w:w="1140" w:type="dxa"/>
          </w:tcPr>
          <w:p w14:paraId="7F88AF23" w14:textId="77777777" w:rsidR="00D7351F" w:rsidRPr="00710A2A" w:rsidRDefault="00D7351F" w:rsidP="0014380B">
            <w:pPr>
              <w:spacing w:before="30" w:after="30"/>
              <w:ind w:left="57"/>
              <w:jc w:val="left"/>
              <w:rPr>
                <w:rFonts w:ascii="Times New Roman Bold" w:hAnsi="Times New Roman Bold"/>
                <w:b/>
                <w:bCs/>
                <w:sz w:val="20"/>
                <w:lang w:val="en-US"/>
              </w:rPr>
            </w:pPr>
            <w:r w:rsidRPr="00710A2A">
              <w:rPr>
                <w:rFonts w:ascii="Times New Roman Bold" w:hAnsi="Times New Roman Bold"/>
                <w:b/>
                <w:bCs/>
                <w:sz w:val="20"/>
                <w:lang w:val="en-US"/>
              </w:rPr>
              <w:t>TF</w:t>
            </w:r>
          </w:p>
        </w:tc>
        <w:tc>
          <w:tcPr>
            <w:tcW w:w="8220" w:type="dxa"/>
          </w:tcPr>
          <w:p w14:paraId="39B3DCDB" w14:textId="77777777" w:rsidR="00D7351F" w:rsidRPr="00A66700" w:rsidRDefault="00D7351F" w:rsidP="0014380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proofErr w:type="spellStart"/>
            <w:r w:rsidRPr="00A66700">
              <w:rPr>
                <w:b w:val="0"/>
                <w:sz w:val="20"/>
              </w:rPr>
              <w:t>Emissions</w:t>
            </w:r>
            <w:proofErr w:type="spellEnd"/>
            <w:r w:rsidRPr="00A66700">
              <w:rPr>
                <w:b w:val="0"/>
                <w:sz w:val="20"/>
              </w:rPr>
              <w:t xml:space="preserve"> de fréquences étalon et de signaux horaires</w:t>
            </w:r>
          </w:p>
        </w:tc>
      </w:tr>
      <w:tr w:rsidR="00D7351F" w:rsidRPr="00036EE3" w14:paraId="1B7F60B5" w14:textId="77777777" w:rsidTr="0014380B">
        <w:tc>
          <w:tcPr>
            <w:tcW w:w="1140" w:type="dxa"/>
          </w:tcPr>
          <w:p w14:paraId="7F7F214A" w14:textId="77777777" w:rsidR="00D7351F" w:rsidRPr="00614CC6" w:rsidRDefault="00D7351F" w:rsidP="0014380B">
            <w:pPr>
              <w:spacing w:before="30" w:after="30"/>
              <w:ind w:left="57"/>
              <w:jc w:val="left"/>
              <w:rPr>
                <w:b/>
                <w:bCs/>
                <w:sz w:val="20"/>
                <w:lang w:val="en-US"/>
              </w:rPr>
            </w:pPr>
            <w:r w:rsidRPr="00614CC6">
              <w:rPr>
                <w:b/>
                <w:bCs/>
                <w:sz w:val="20"/>
                <w:lang w:val="en-US"/>
              </w:rPr>
              <w:t>V</w:t>
            </w:r>
          </w:p>
        </w:tc>
        <w:tc>
          <w:tcPr>
            <w:tcW w:w="8220" w:type="dxa"/>
          </w:tcPr>
          <w:p w14:paraId="4B2D14AF" w14:textId="77777777" w:rsidR="00D7351F" w:rsidRPr="00A66700" w:rsidRDefault="00D7351F" w:rsidP="0014380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140"/>
              <w:jc w:val="left"/>
              <w:rPr>
                <w:b w:val="0"/>
                <w:sz w:val="20"/>
              </w:rPr>
            </w:pPr>
            <w:r w:rsidRPr="00A66700">
              <w:rPr>
                <w:b w:val="0"/>
                <w:sz w:val="20"/>
              </w:rPr>
              <w:t>Vocabulaire et sujets associés</w:t>
            </w:r>
          </w:p>
        </w:tc>
      </w:tr>
    </w:tbl>
    <w:p w14:paraId="00ADBF26" w14:textId="77777777" w:rsidR="00D7351F" w:rsidRPr="00036EE3" w:rsidRDefault="00D7351F" w:rsidP="00D7351F">
      <w:pPr>
        <w:spacing w:before="0"/>
        <w:jc w:val="center"/>
        <w:rPr>
          <w:sz w:val="20"/>
          <w:lang w:val="en-US"/>
        </w:rPr>
      </w:pPr>
    </w:p>
    <w:p w14:paraId="248ABB8B" w14:textId="77777777" w:rsidR="00D7351F" w:rsidRPr="00036EE3" w:rsidRDefault="00D7351F" w:rsidP="00D7351F">
      <w:pPr>
        <w:spacing w:before="0"/>
        <w:ind w:left="180"/>
        <w:jc w:val="center"/>
        <w:rPr>
          <w:sz w:val="22"/>
          <w:lang w:val="en-US"/>
        </w:rPr>
      </w:pPr>
    </w:p>
    <w:tbl>
      <w:tblPr>
        <w:tblW w:w="5000" w:type="pct"/>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609"/>
      </w:tblGrid>
      <w:tr w:rsidR="00D7351F" w:rsidRPr="00756B4D" w14:paraId="179EAF7F" w14:textId="77777777" w:rsidTr="0014380B">
        <w:tc>
          <w:tcPr>
            <w:tcW w:w="9360" w:type="dxa"/>
          </w:tcPr>
          <w:p w14:paraId="794999D0" w14:textId="77777777" w:rsidR="00D7351F" w:rsidRPr="00756B4D" w:rsidRDefault="00D7351F" w:rsidP="0014380B">
            <w:pPr>
              <w:spacing w:before="80" w:after="80"/>
              <w:rPr>
                <w:i/>
                <w:iCs/>
                <w:sz w:val="20"/>
              </w:rPr>
            </w:pPr>
            <w:proofErr w:type="gramStart"/>
            <w:r w:rsidRPr="00756B4D">
              <w:rPr>
                <w:b/>
                <w:bCs/>
                <w:i/>
                <w:iCs/>
                <w:sz w:val="20"/>
              </w:rPr>
              <w:t>Note</w:t>
            </w:r>
            <w:r w:rsidRPr="00756B4D">
              <w:rPr>
                <w:i/>
                <w:iCs/>
                <w:sz w:val="20"/>
              </w:rPr>
              <w:t>:</w:t>
            </w:r>
            <w:proofErr w:type="gramEnd"/>
            <w:r w:rsidRPr="00756B4D">
              <w:rPr>
                <w:i/>
                <w:iCs/>
                <w:sz w:val="20"/>
              </w:rPr>
              <w:t xml:space="preserve"> Cette Recommandation UIT-R a été approuvée en anglais aux termes de la procédure détaillée dans la</w:t>
            </w:r>
            <w:r>
              <w:rPr>
                <w:i/>
                <w:iCs/>
                <w:sz w:val="20"/>
              </w:rPr>
              <w:t xml:space="preserve"> </w:t>
            </w:r>
            <w:r w:rsidRPr="00756B4D">
              <w:rPr>
                <w:i/>
                <w:iCs/>
                <w:sz w:val="20"/>
              </w:rPr>
              <w:t xml:space="preserve">Résolution UIT-R 1. </w:t>
            </w:r>
          </w:p>
        </w:tc>
      </w:tr>
    </w:tbl>
    <w:p w14:paraId="3DBF5ECC" w14:textId="77777777" w:rsidR="00D7351F" w:rsidRPr="00756B4D" w:rsidRDefault="00D7351F" w:rsidP="00D7351F">
      <w:pPr>
        <w:spacing w:before="0"/>
        <w:jc w:val="center"/>
        <w:rPr>
          <w:sz w:val="22"/>
        </w:rPr>
      </w:pPr>
    </w:p>
    <w:p w14:paraId="71A492C5" w14:textId="77777777" w:rsidR="00D7351F" w:rsidRPr="00614CC6" w:rsidRDefault="00D7351F" w:rsidP="00D7351F">
      <w:pPr>
        <w:spacing w:before="100"/>
        <w:jc w:val="right"/>
        <w:rPr>
          <w:i/>
          <w:iCs/>
          <w:sz w:val="20"/>
        </w:rPr>
      </w:pPr>
      <w:r w:rsidRPr="00614CC6">
        <w:rPr>
          <w:i/>
          <w:iCs/>
          <w:sz w:val="20"/>
        </w:rPr>
        <w:t>Publication électronique</w:t>
      </w:r>
    </w:p>
    <w:p w14:paraId="519F8787" w14:textId="0989B83C" w:rsidR="00D7351F" w:rsidRPr="00614CC6" w:rsidRDefault="00D7351F" w:rsidP="00D7351F">
      <w:pPr>
        <w:spacing w:before="0"/>
        <w:jc w:val="right"/>
        <w:rPr>
          <w:sz w:val="20"/>
        </w:rPr>
      </w:pPr>
      <w:r w:rsidRPr="00614CC6">
        <w:rPr>
          <w:sz w:val="20"/>
        </w:rPr>
        <w:t>Genève, 20</w:t>
      </w:r>
      <w:r>
        <w:rPr>
          <w:sz w:val="20"/>
        </w:rPr>
        <w:t>24</w:t>
      </w:r>
    </w:p>
    <w:p w14:paraId="701F1889" w14:textId="68D79CAB" w:rsidR="00D7351F" w:rsidRPr="00614CC6" w:rsidRDefault="00D7351F" w:rsidP="00D7351F">
      <w:pPr>
        <w:spacing w:before="200"/>
        <w:jc w:val="center"/>
        <w:rPr>
          <w:sz w:val="20"/>
        </w:rPr>
      </w:pPr>
      <w:r w:rsidRPr="00470E28">
        <w:rPr>
          <w:sz w:val="20"/>
          <w:lang w:val="en-US"/>
        </w:rPr>
        <w:sym w:font="Symbol" w:char="F0E3"/>
      </w:r>
      <w:r w:rsidRPr="00614CC6">
        <w:rPr>
          <w:sz w:val="20"/>
        </w:rPr>
        <w:t xml:space="preserve"> UIT </w:t>
      </w:r>
      <w:bookmarkStart w:id="1" w:name="iiannee"/>
      <w:bookmarkEnd w:id="1"/>
      <w:r w:rsidRPr="00614CC6">
        <w:rPr>
          <w:sz w:val="20"/>
        </w:rPr>
        <w:t>20</w:t>
      </w:r>
      <w:r>
        <w:rPr>
          <w:sz w:val="20"/>
        </w:rPr>
        <w:t>24</w:t>
      </w:r>
    </w:p>
    <w:p w14:paraId="73FD3F72" w14:textId="77777777" w:rsidR="00D7351F" w:rsidRPr="004F3F6F" w:rsidRDefault="00D7351F" w:rsidP="00D7351F">
      <w:pPr>
        <w:rPr>
          <w:sz w:val="18"/>
          <w:szCs w:val="18"/>
        </w:rPr>
      </w:pPr>
      <w:r w:rsidRPr="00614CC6">
        <w:rPr>
          <w:sz w:val="18"/>
          <w:szCs w:val="18"/>
        </w:rPr>
        <w:t xml:space="preserve">Tous droits </w:t>
      </w:r>
      <w:r>
        <w:rPr>
          <w:sz w:val="18"/>
          <w:szCs w:val="18"/>
        </w:rPr>
        <w:t>réservé</w:t>
      </w:r>
      <w:r w:rsidRPr="00614CC6">
        <w:rPr>
          <w:sz w:val="18"/>
          <w:szCs w:val="18"/>
        </w:rPr>
        <w:t xml:space="preserve">s. </w:t>
      </w:r>
      <w:r>
        <w:rPr>
          <w:sz w:val="18"/>
          <w:szCs w:val="18"/>
        </w:rPr>
        <w:t>Aucune partie de cette publication ne peut être reproduite, par quelque procédé que ce soit, sans l’accord écrit préalable de l’UIT</w:t>
      </w:r>
      <w:r w:rsidRPr="00614CC6">
        <w:rPr>
          <w:sz w:val="18"/>
          <w:szCs w:val="18"/>
        </w:rPr>
        <w:t>.</w:t>
      </w:r>
    </w:p>
    <w:p w14:paraId="5577E608" w14:textId="77777777" w:rsidR="00D7351F" w:rsidRPr="004F3F6F" w:rsidRDefault="00D7351F" w:rsidP="00D7351F">
      <w:pPr>
        <w:spacing w:before="160"/>
        <w:rPr>
          <w:i/>
          <w:sz w:val="20"/>
        </w:rPr>
        <w:sectPr w:rsidR="00D7351F" w:rsidRPr="004F3F6F" w:rsidSect="00D7351F">
          <w:headerReference w:type="even" r:id="rId11"/>
          <w:headerReference w:type="default" r:id="rId12"/>
          <w:pgSz w:w="11907" w:h="16834" w:code="9"/>
          <w:pgMar w:top="1418" w:right="1134" w:bottom="1134" w:left="1134" w:header="720" w:footer="482" w:gutter="0"/>
          <w:paperSrc w:first="15" w:other="15"/>
          <w:pgNumType w:fmt="lowerRoman" w:start="2"/>
          <w:cols w:space="720"/>
        </w:sectPr>
      </w:pPr>
    </w:p>
    <w:p w14:paraId="73C0B737" w14:textId="63525FBC" w:rsidR="00D7351F" w:rsidRPr="004F3F6F" w:rsidRDefault="00D7351F" w:rsidP="00D7351F">
      <w:pPr>
        <w:pStyle w:val="RecNo"/>
        <w:spacing w:before="0"/>
      </w:pPr>
      <w:bookmarkStart w:id="2" w:name="irecnoe"/>
      <w:bookmarkEnd w:id="2"/>
      <w:proofErr w:type="gramStart"/>
      <w:r w:rsidRPr="00BF487A">
        <w:lastRenderedPageBreak/>
        <w:t>RECOMM</w:t>
      </w:r>
      <w:r>
        <w:t>A</w:t>
      </w:r>
      <w:r w:rsidRPr="00BF487A">
        <w:t xml:space="preserve">NDATION  </w:t>
      </w:r>
      <w:r w:rsidRPr="004F3F6F">
        <w:rPr>
          <w:rStyle w:val="href"/>
        </w:rPr>
        <w:t>UIT</w:t>
      </w:r>
      <w:proofErr w:type="gramEnd"/>
      <w:r w:rsidRPr="004F3F6F">
        <w:rPr>
          <w:rStyle w:val="href"/>
        </w:rPr>
        <w:t xml:space="preserve">-R  </w:t>
      </w:r>
      <w:r>
        <w:rPr>
          <w:rStyle w:val="href"/>
        </w:rPr>
        <w:t>BS</w:t>
      </w:r>
      <w:r w:rsidRPr="004F3F6F">
        <w:rPr>
          <w:rStyle w:val="href"/>
        </w:rPr>
        <w:t>.</w:t>
      </w:r>
      <w:r>
        <w:rPr>
          <w:rStyle w:val="href"/>
        </w:rPr>
        <w:t>1285-1</w:t>
      </w:r>
    </w:p>
    <w:p w14:paraId="4341B1EA" w14:textId="140FFE9F" w:rsidR="00D7351F" w:rsidRPr="004F3F6F" w:rsidRDefault="00D7351F" w:rsidP="00D7351F">
      <w:pPr>
        <w:pStyle w:val="Rectitle"/>
      </w:pPr>
      <w:r w:rsidRPr="00D15809">
        <w:t xml:space="preserve">Méthodes de présélection pour l'évaluation subjective des dégradations faibles dans </w:t>
      </w:r>
      <w:proofErr w:type="gramStart"/>
      <w:r w:rsidRPr="00D15809">
        <w:t>les systèmes audio</w:t>
      </w:r>
      <w:proofErr w:type="gramEnd"/>
    </w:p>
    <w:p w14:paraId="34F21706" w14:textId="77777777" w:rsidR="00D7351F" w:rsidRPr="00D15809" w:rsidRDefault="00D7351F" w:rsidP="00D7351F">
      <w:pPr>
        <w:pStyle w:val="Recdate"/>
        <w:rPr>
          <w:i/>
          <w:iCs/>
          <w:szCs w:val="22"/>
        </w:rPr>
      </w:pPr>
      <w:r w:rsidRPr="00D15809">
        <w:rPr>
          <w:iCs/>
          <w:szCs w:val="22"/>
        </w:rPr>
        <w:t>(1997-2023)</w:t>
      </w:r>
    </w:p>
    <w:p w14:paraId="466A0E95" w14:textId="77777777" w:rsidR="00D7351F" w:rsidRPr="00D7351F" w:rsidRDefault="00D7351F" w:rsidP="00D7351F">
      <w:pPr>
        <w:pStyle w:val="HeadingSum"/>
        <w:rPr>
          <w:lang w:val="fr-CH"/>
        </w:rPr>
      </w:pPr>
      <w:r w:rsidRPr="00D7351F">
        <w:rPr>
          <w:lang w:val="fr-CH"/>
        </w:rPr>
        <w:t>Domaine d'application</w:t>
      </w:r>
    </w:p>
    <w:p w14:paraId="6DBE35F4" w14:textId="77777777" w:rsidR="00D7351F" w:rsidRPr="00D7351F" w:rsidRDefault="00D7351F" w:rsidP="00D7351F">
      <w:pPr>
        <w:pStyle w:val="Summary"/>
        <w:rPr>
          <w:lang w:val="fr-CH"/>
        </w:rPr>
      </w:pPr>
      <w:r w:rsidRPr="00D7351F">
        <w:rPr>
          <w:lang w:val="fr-CH"/>
        </w:rPr>
        <w:t xml:space="preserve">La présente Recommandation décrit les méthodes de présélection pour l'évaluation subjective des dégradations faibles dans </w:t>
      </w:r>
      <w:proofErr w:type="gramStart"/>
      <w:r w:rsidRPr="00D7351F">
        <w:rPr>
          <w:lang w:val="fr-CH"/>
        </w:rPr>
        <w:t>les systèmes audio</w:t>
      </w:r>
      <w:proofErr w:type="gramEnd"/>
      <w:r w:rsidRPr="00D7351F">
        <w:rPr>
          <w:lang w:val="fr-CH"/>
        </w:rPr>
        <w:t>.</w:t>
      </w:r>
    </w:p>
    <w:p w14:paraId="3528CAF3" w14:textId="77777777" w:rsidR="00D7351F" w:rsidRPr="00D7351F" w:rsidRDefault="00D7351F" w:rsidP="00D7351F">
      <w:pPr>
        <w:pStyle w:val="Headingb"/>
        <w:rPr>
          <w:lang w:val="fr-CH"/>
        </w:rPr>
      </w:pPr>
      <w:r w:rsidRPr="00D7351F">
        <w:rPr>
          <w:lang w:val="fr-CH"/>
        </w:rPr>
        <w:t>Mots clés</w:t>
      </w:r>
    </w:p>
    <w:p w14:paraId="78FEA91C" w14:textId="77777777" w:rsidR="00D7351F" w:rsidRPr="00D15809" w:rsidRDefault="00D7351F" w:rsidP="00D7351F">
      <w:pPr>
        <w:rPr>
          <w:lang w:eastAsia="ja-JP"/>
        </w:rPr>
      </w:pPr>
      <w:bookmarkStart w:id="3" w:name="lt_pId064"/>
      <w:r w:rsidRPr="00D15809">
        <w:rPr>
          <w:lang w:eastAsia="ja-JP"/>
        </w:rPr>
        <w:t>Méthode de présélection, qualité audio, évaluation subjective, essai d'écoute</w:t>
      </w:r>
      <w:bookmarkEnd w:id="3"/>
    </w:p>
    <w:p w14:paraId="5CAA9965" w14:textId="77777777" w:rsidR="00D7351F" w:rsidRPr="00D15809" w:rsidRDefault="00D7351F" w:rsidP="00D7351F">
      <w:pPr>
        <w:pStyle w:val="Normalaftertitle"/>
      </w:pPr>
      <w:r w:rsidRPr="00D15809">
        <w:t>L'Assemblée des radiocommunications de l'UIT,</w:t>
      </w:r>
    </w:p>
    <w:p w14:paraId="17CBAC35" w14:textId="77777777" w:rsidR="00D7351F" w:rsidRPr="00D15809" w:rsidRDefault="00D7351F" w:rsidP="00D7351F">
      <w:pPr>
        <w:pStyle w:val="Call"/>
      </w:pPr>
      <w:proofErr w:type="gramStart"/>
      <w:r w:rsidRPr="00D15809">
        <w:t>considérant</w:t>
      </w:r>
      <w:proofErr w:type="gramEnd"/>
    </w:p>
    <w:p w14:paraId="7B9A3209" w14:textId="77777777" w:rsidR="00D7351F" w:rsidRPr="00D15809" w:rsidRDefault="00D7351F" w:rsidP="00D7351F">
      <w:r w:rsidRPr="00D15809">
        <w:rPr>
          <w:i/>
          <w:iCs/>
        </w:rPr>
        <w:t>a)</w:t>
      </w:r>
      <w:r w:rsidRPr="00D15809">
        <w:tab/>
        <w:t xml:space="preserve">que les Recommandations UIT-R BS.1116, UIT-R BT.500 et UIT-R BS.1284 spécifient certaines méthodes d'évaluation de la qualité subjective des systèmes audio et </w:t>
      </w:r>
      <w:proofErr w:type="gramStart"/>
      <w:r w:rsidRPr="00D15809">
        <w:t>vidéo;</w:t>
      </w:r>
      <w:proofErr w:type="gramEnd"/>
    </w:p>
    <w:p w14:paraId="657E79BB" w14:textId="77777777" w:rsidR="00D7351F" w:rsidRPr="00D15809" w:rsidRDefault="00D7351F" w:rsidP="00D7351F">
      <w:r w:rsidRPr="00D15809">
        <w:rPr>
          <w:i/>
          <w:iCs/>
        </w:rPr>
        <w:t>b)</w:t>
      </w:r>
      <w:r w:rsidRPr="00D15809">
        <w:tab/>
        <w:t xml:space="preserve">que les essais d'écoute subjective permettent l'évaluation du degré de gêne causée à l'auditeur par toute dégradation du signal utile au cours de sa transmission entre la source et </w:t>
      </w:r>
      <w:proofErr w:type="gramStart"/>
      <w:r w:rsidRPr="00D15809">
        <w:t>l'auditeur;</w:t>
      </w:r>
      <w:proofErr w:type="gramEnd"/>
    </w:p>
    <w:p w14:paraId="4010DB84" w14:textId="77777777" w:rsidR="00D7351F" w:rsidRPr="00D15809" w:rsidRDefault="00D7351F" w:rsidP="00D7351F">
      <w:r w:rsidRPr="00D15809">
        <w:rPr>
          <w:i/>
          <w:iCs/>
        </w:rPr>
        <w:t>c)</w:t>
      </w:r>
      <w:r w:rsidRPr="00D15809">
        <w:tab/>
        <w:t xml:space="preserve">que des méthodes objectives classiques peuvent ne pas être adaptées à l'évaluation de systèmes perfectionnés de codage audio et que des méthodes d'évaluation objective perceptuelle sont en cours de définition pour les essais de qualité du son des systèmes </w:t>
      </w:r>
      <w:proofErr w:type="gramStart"/>
      <w:r w:rsidRPr="00D15809">
        <w:t>audio;</w:t>
      </w:r>
      <w:proofErr w:type="gramEnd"/>
    </w:p>
    <w:p w14:paraId="61C235F6" w14:textId="77777777" w:rsidR="00D7351F" w:rsidRPr="00D15809" w:rsidRDefault="00D7351F" w:rsidP="00D7351F">
      <w:r w:rsidRPr="00D15809">
        <w:rPr>
          <w:i/>
          <w:iCs/>
        </w:rPr>
        <w:t>d)</w:t>
      </w:r>
      <w:r w:rsidRPr="00D15809">
        <w:tab/>
        <w:t xml:space="preserve">que l'utilisation de méthodes normalisées revêt une grande importance pour l'échange, la compatibilité et l'évaluation correcte des données </w:t>
      </w:r>
      <w:proofErr w:type="gramStart"/>
      <w:r w:rsidRPr="00D15809">
        <w:t>d'essai;</w:t>
      </w:r>
      <w:proofErr w:type="gramEnd"/>
    </w:p>
    <w:p w14:paraId="729D047E" w14:textId="77777777" w:rsidR="00D7351F" w:rsidRPr="00D15809" w:rsidRDefault="00D7351F" w:rsidP="00D7351F">
      <w:r w:rsidRPr="00D15809">
        <w:rPr>
          <w:i/>
          <w:iCs/>
        </w:rPr>
        <w:t>e)</w:t>
      </w:r>
      <w:r w:rsidRPr="00D15809">
        <w:tab/>
        <w:t xml:space="preserve">que l'introduction de nouveaux systèmes audionumériques perfectionnés utilisant les propriétés psychoacoustiques, en particulier avec des dégradations faibles, appelle un progrès en matière de méthodes d'évaluation </w:t>
      </w:r>
      <w:proofErr w:type="gramStart"/>
      <w:r w:rsidRPr="00D15809">
        <w:t>subjective;</w:t>
      </w:r>
      <w:proofErr w:type="gramEnd"/>
    </w:p>
    <w:p w14:paraId="0CC245B8" w14:textId="77777777" w:rsidR="00D7351F" w:rsidRPr="00D15809" w:rsidRDefault="00D7351F" w:rsidP="00D7351F">
      <w:r w:rsidRPr="00D15809">
        <w:rPr>
          <w:i/>
          <w:iCs/>
        </w:rPr>
        <w:t>f)</w:t>
      </w:r>
      <w:r w:rsidRPr="00D15809">
        <w:tab/>
        <w:t xml:space="preserve">que la Recommandation UIT-R BS.1116 définit une méthode d'évaluation de la qualité subjective des dégradations faibles dans les systèmes </w:t>
      </w:r>
      <w:proofErr w:type="gramStart"/>
      <w:r w:rsidRPr="00D15809">
        <w:t>audio;</w:t>
      </w:r>
      <w:proofErr w:type="gramEnd"/>
    </w:p>
    <w:p w14:paraId="13F965B5" w14:textId="77777777" w:rsidR="00D7351F" w:rsidRPr="00D15809" w:rsidRDefault="00D7351F" w:rsidP="00D7351F">
      <w:r w:rsidRPr="00D15809">
        <w:rPr>
          <w:i/>
          <w:iCs/>
        </w:rPr>
        <w:t>g)</w:t>
      </w:r>
      <w:r w:rsidRPr="00D15809">
        <w:tab/>
        <w:t>que les procédures décrites dans la Recommandation UIT-R BS.1116 peuvent prendre beaucoup de temps et sont relativement coûteuses à exécuter et, par conséquent, il est souhaitable de disposer d'une méthode de présélection pour éliminer les systèmes qui produisent de fortes dégradations,</w:t>
      </w:r>
    </w:p>
    <w:p w14:paraId="61BF9DA1" w14:textId="77777777" w:rsidR="00D7351F" w:rsidRPr="00D15809" w:rsidRDefault="00D7351F" w:rsidP="00D7351F">
      <w:pPr>
        <w:pStyle w:val="Call"/>
      </w:pPr>
      <w:proofErr w:type="gramStart"/>
      <w:r w:rsidRPr="00D15809">
        <w:t>recommande</w:t>
      </w:r>
      <w:proofErr w:type="gramEnd"/>
    </w:p>
    <w:p w14:paraId="0F0F1144" w14:textId="77777777" w:rsidR="00D7351F" w:rsidRDefault="00D7351F" w:rsidP="00D7351F">
      <w:proofErr w:type="gramStart"/>
      <w:r w:rsidRPr="00D15809">
        <w:t>d'utiliser</w:t>
      </w:r>
      <w:proofErr w:type="gramEnd"/>
      <w:r w:rsidRPr="00D15809">
        <w:t xml:space="preserve"> les procédures de test et d'évaluation données dans l'Annexe 1 pour l'évaluation subjective de systèmes sonores avec image associée.</w:t>
      </w:r>
    </w:p>
    <w:p w14:paraId="0A7D90A8" w14:textId="77777777" w:rsidR="009B0496" w:rsidRDefault="009B0496" w:rsidP="00D7351F"/>
    <w:p w14:paraId="0116DDEB" w14:textId="77777777" w:rsidR="009B0496" w:rsidRPr="00D15809" w:rsidRDefault="009B0496" w:rsidP="00D7351F">
      <w:pPr>
        <w:rPr>
          <w:b/>
          <w:bCs/>
          <w:iCs/>
        </w:rPr>
      </w:pPr>
    </w:p>
    <w:p w14:paraId="50162722" w14:textId="77777777" w:rsidR="00D7351F" w:rsidRPr="00D7351F" w:rsidRDefault="00D7351F" w:rsidP="00D7351F">
      <w:pPr>
        <w:pStyle w:val="AnnexNoTitleLeft"/>
        <w:tabs>
          <w:tab w:val="left" w:pos="7159"/>
        </w:tabs>
        <w:jc w:val="center"/>
        <w:outlineLvl w:val="0"/>
        <w:rPr>
          <w:lang w:val="fr-CH"/>
        </w:rPr>
      </w:pPr>
      <w:r w:rsidRPr="00D7351F">
        <w:rPr>
          <w:lang w:val="fr-CH"/>
        </w:rPr>
        <w:lastRenderedPageBreak/>
        <w:t>Annexe 1</w:t>
      </w:r>
    </w:p>
    <w:p w14:paraId="7CE81D7D" w14:textId="77777777" w:rsidR="00D7351F" w:rsidRPr="00D7351F" w:rsidRDefault="00D7351F" w:rsidP="00D7351F">
      <w:pPr>
        <w:pStyle w:val="Heading1"/>
        <w:rPr>
          <w:sz w:val="28"/>
          <w:lang w:val="fr-CH"/>
        </w:rPr>
      </w:pPr>
      <w:r w:rsidRPr="00D7351F">
        <w:rPr>
          <w:lang w:val="fr-CH"/>
        </w:rPr>
        <w:t>1</w:t>
      </w:r>
      <w:r w:rsidRPr="00D7351F">
        <w:rPr>
          <w:lang w:val="fr-CH"/>
        </w:rPr>
        <w:tab/>
        <w:t>Généralités</w:t>
      </w:r>
    </w:p>
    <w:p w14:paraId="6FC031F4" w14:textId="77777777" w:rsidR="00D7351F" w:rsidRPr="00D15809" w:rsidRDefault="00D7351F" w:rsidP="00D7351F">
      <w:r w:rsidRPr="00D15809">
        <w:t>La présente Annexe est divisée selon les paragraphes suivants donnant les diverses conditions à</w:t>
      </w:r>
      <w:r>
        <w:t> </w:t>
      </w:r>
      <w:r w:rsidRPr="00D15809">
        <w:t xml:space="preserve">respecter pour les différents aspects des </w:t>
      </w:r>
      <w:proofErr w:type="gramStart"/>
      <w:r w:rsidRPr="00D15809">
        <w:t>essais:</w:t>
      </w:r>
      <w:proofErr w:type="gramEnd"/>
    </w:p>
    <w:p w14:paraId="3B494D0F" w14:textId="77777777" w:rsidR="00D7351F" w:rsidRPr="00D15809" w:rsidRDefault="00D7351F" w:rsidP="00D7351F">
      <w:pPr>
        <w:pStyle w:val="enumlev1"/>
      </w:pPr>
      <w:r w:rsidRPr="00D15809">
        <w:t>1</w:t>
      </w:r>
      <w:r w:rsidRPr="00D15809">
        <w:tab/>
        <w:t>Généralités</w:t>
      </w:r>
    </w:p>
    <w:p w14:paraId="061E1630" w14:textId="77777777" w:rsidR="00D7351F" w:rsidRPr="00D15809" w:rsidRDefault="00D7351F" w:rsidP="00D7351F">
      <w:pPr>
        <w:pStyle w:val="enumlev1"/>
      </w:pPr>
      <w:r w:rsidRPr="00D15809">
        <w:t>2</w:t>
      </w:r>
      <w:r w:rsidRPr="00D15809">
        <w:tab/>
        <w:t>Conception des expériences</w:t>
      </w:r>
    </w:p>
    <w:p w14:paraId="4B45EBD4" w14:textId="77777777" w:rsidR="00D7351F" w:rsidRPr="00D15809" w:rsidRDefault="00D7351F" w:rsidP="00D7351F">
      <w:pPr>
        <w:pStyle w:val="enumlev1"/>
      </w:pPr>
      <w:r w:rsidRPr="00D15809">
        <w:t>3</w:t>
      </w:r>
      <w:r w:rsidRPr="00D15809">
        <w:tab/>
        <w:t>Choix des groupes d'auditeurs</w:t>
      </w:r>
    </w:p>
    <w:p w14:paraId="54750D4A" w14:textId="77777777" w:rsidR="00D7351F" w:rsidRPr="00D15809" w:rsidRDefault="00D7351F" w:rsidP="00D7351F">
      <w:pPr>
        <w:pStyle w:val="enumlev1"/>
      </w:pPr>
      <w:r w:rsidRPr="00D15809">
        <w:t>4</w:t>
      </w:r>
      <w:r w:rsidRPr="00D15809">
        <w:tab/>
        <w:t>Méthode d'essai</w:t>
      </w:r>
    </w:p>
    <w:p w14:paraId="298BB197" w14:textId="77777777" w:rsidR="00D7351F" w:rsidRPr="00D15809" w:rsidRDefault="00D7351F" w:rsidP="00D7351F">
      <w:pPr>
        <w:pStyle w:val="enumlev1"/>
      </w:pPr>
      <w:r w:rsidRPr="00D15809">
        <w:t>5</w:t>
      </w:r>
      <w:r w:rsidRPr="00D15809">
        <w:tab/>
        <w:t>Caractéristiques</w:t>
      </w:r>
    </w:p>
    <w:p w14:paraId="6F28C24C" w14:textId="77777777" w:rsidR="00D7351F" w:rsidRPr="00D15809" w:rsidRDefault="00D7351F" w:rsidP="00D7351F">
      <w:pPr>
        <w:pStyle w:val="enumlev1"/>
      </w:pPr>
      <w:r w:rsidRPr="00D15809">
        <w:t>6</w:t>
      </w:r>
      <w:r w:rsidRPr="00D15809">
        <w:tab/>
        <w:t>Éléments de programme</w:t>
      </w:r>
    </w:p>
    <w:p w14:paraId="09B2D2A7" w14:textId="77777777" w:rsidR="00D7351F" w:rsidRPr="00D15809" w:rsidRDefault="00D7351F" w:rsidP="00D7351F">
      <w:pPr>
        <w:pStyle w:val="enumlev1"/>
      </w:pPr>
      <w:r w:rsidRPr="00D15809">
        <w:t>7</w:t>
      </w:r>
      <w:r w:rsidRPr="00D15809">
        <w:tab/>
        <w:t>Dispositifs de reproduction</w:t>
      </w:r>
    </w:p>
    <w:p w14:paraId="2C47F9A8" w14:textId="77777777" w:rsidR="00D7351F" w:rsidRPr="00D15809" w:rsidRDefault="00D7351F" w:rsidP="00D7351F">
      <w:pPr>
        <w:pStyle w:val="enumlev1"/>
      </w:pPr>
      <w:r w:rsidRPr="00D15809">
        <w:t>8</w:t>
      </w:r>
      <w:r w:rsidRPr="00D15809">
        <w:tab/>
        <w:t>Conditions d'écoute</w:t>
      </w:r>
    </w:p>
    <w:p w14:paraId="60416338" w14:textId="77777777" w:rsidR="00D7351F" w:rsidRPr="00D15809" w:rsidRDefault="00D7351F" w:rsidP="00D7351F">
      <w:pPr>
        <w:pStyle w:val="enumlev1"/>
      </w:pPr>
      <w:r w:rsidRPr="00D15809">
        <w:t>9</w:t>
      </w:r>
      <w:r w:rsidRPr="00D15809">
        <w:tab/>
        <w:t>Analyse statistique</w:t>
      </w:r>
    </w:p>
    <w:p w14:paraId="4788363B" w14:textId="77777777" w:rsidR="00D7351F" w:rsidRPr="00D15809" w:rsidRDefault="00D7351F" w:rsidP="00D7351F">
      <w:pPr>
        <w:pStyle w:val="enumlev1"/>
      </w:pPr>
      <w:r w:rsidRPr="00D15809">
        <w:t>10</w:t>
      </w:r>
      <w:r w:rsidRPr="00D15809">
        <w:tab/>
        <w:t>Présentation des résultats</w:t>
      </w:r>
    </w:p>
    <w:p w14:paraId="4F955BEF" w14:textId="77777777" w:rsidR="00D7351F" w:rsidRPr="00D15809" w:rsidRDefault="00D7351F" w:rsidP="00D7351F">
      <w:pPr>
        <w:pStyle w:val="enumlev1"/>
      </w:pPr>
      <w:r w:rsidRPr="00D15809">
        <w:t>11</w:t>
      </w:r>
      <w:r w:rsidRPr="00D15809">
        <w:tab/>
        <w:t>Contenu des rapports d'essai.</w:t>
      </w:r>
    </w:p>
    <w:p w14:paraId="2FF4CC3F" w14:textId="77777777" w:rsidR="00D7351F" w:rsidRPr="00D15809" w:rsidRDefault="00D7351F" w:rsidP="00D7351F">
      <w:r w:rsidRPr="00D15809">
        <w:t xml:space="preserve">La présente Recommandation est fondée sur la Recommandation UIT-R </w:t>
      </w:r>
      <w:hyperlink r:id="rId13" w:history="1">
        <w:r w:rsidRPr="00D15809">
          <w:t>BS.1116</w:t>
        </w:r>
      </w:hyperlink>
      <w:r w:rsidRPr="00D15809">
        <w:t xml:space="preserve"> dont elle diffère principalement par son paragraphe relatif à la méthode d'essai.</w:t>
      </w:r>
    </w:p>
    <w:p w14:paraId="5D4C605B" w14:textId="77777777" w:rsidR="00D7351F" w:rsidRPr="00D15809" w:rsidRDefault="00D7351F" w:rsidP="00D7351F">
      <w:r w:rsidRPr="00D15809">
        <w:t xml:space="preserve">La Recommandation UIT-R </w:t>
      </w:r>
      <w:hyperlink r:id="rId14" w:history="1">
        <w:r w:rsidRPr="00D15809">
          <w:t>BS.1116</w:t>
        </w:r>
      </w:hyperlink>
      <w:r w:rsidRPr="00D15809">
        <w:t xml:space="preserve"> – Méthodes d'évaluation subjective des faibles dégradations dans </w:t>
      </w:r>
      <w:proofErr w:type="gramStart"/>
      <w:r w:rsidRPr="00D15809">
        <w:t>les systèmes audio</w:t>
      </w:r>
      <w:proofErr w:type="gramEnd"/>
      <w:r w:rsidRPr="00D15809">
        <w:t xml:space="preserve"> y compris les systèmes sonores multivoies, porte sur l'évaluation des systèmes audio qui introduisent des dégradations qui peuvent être difficiles à détecter. Pour cela, il est nécessaire de contrôler le plus grand nombre de paramètres d'essai possible et d'effectuer un nombre suffisant d'évaluations afin d'obtenir des estimées statistiquement fiables des dégradations. Les conditions à respecter de la Recommandation UIT-R </w:t>
      </w:r>
      <w:hyperlink r:id="rId15" w:history="1">
        <w:r w:rsidRPr="00D15809">
          <w:t>BS.1116</w:t>
        </w:r>
      </w:hyperlink>
      <w:r w:rsidRPr="00D15809">
        <w:t xml:space="preserve"> sont donc strictes. Cette procédure nécessite beaucoup de temps et d'effort et son utilisation n'est pas nécessaire lorsque les systèmes étudiés introduisent des dégradations importantes.</w:t>
      </w:r>
    </w:p>
    <w:p w14:paraId="56196A3C" w14:textId="77777777" w:rsidR="00D7351F" w:rsidRPr="00D15809" w:rsidRDefault="00D7351F" w:rsidP="00D7351F">
      <w:r w:rsidRPr="00D15809">
        <w:t>Afin de ne pas procéder inutilement à de tels essais, il est souhaitable de disposer d'une méthodologie de présélection qui peut de manière fiable éliminer les systèmes qui introduisent des dégradations importantes. Cette réduction du champ d'application de la méthode d'essai peut réduire sa sensibilité, mais la méthode doit toujours être capable de faire la distinction entre les systèmes qui introduisent les dégradations importantes et ceux qui ne le font pas.</w:t>
      </w:r>
    </w:p>
    <w:p w14:paraId="280D5E35" w14:textId="77777777" w:rsidR="00D7351F" w:rsidRPr="00D7351F" w:rsidRDefault="00D7351F" w:rsidP="00D7351F">
      <w:pPr>
        <w:pStyle w:val="Heading1"/>
        <w:rPr>
          <w:lang w:val="fr-CH"/>
        </w:rPr>
      </w:pPr>
      <w:r w:rsidRPr="00D7351F">
        <w:rPr>
          <w:lang w:val="fr-CH"/>
        </w:rPr>
        <w:t>2</w:t>
      </w:r>
      <w:r w:rsidRPr="00D7351F">
        <w:rPr>
          <w:lang w:val="fr-CH"/>
        </w:rPr>
        <w:tab/>
        <w:t>Conception des expériences</w:t>
      </w:r>
    </w:p>
    <w:p w14:paraId="23E3EC00" w14:textId="77777777" w:rsidR="00D7351F" w:rsidRPr="00D15809" w:rsidRDefault="00D7351F" w:rsidP="00D7351F">
      <w:r w:rsidRPr="00D15809">
        <w:t>Il conviendra de tenir compte pour la conception des expériences des indications contenues dans le § 2 de la Recommandation UIT</w:t>
      </w:r>
      <w:r w:rsidRPr="00D15809">
        <w:noBreakHyphen/>
        <w:t>R </w:t>
      </w:r>
      <w:hyperlink r:id="rId16" w:history="1">
        <w:r w:rsidRPr="00D15809">
          <w:t>BS.1116</w:t>
        </w:r>
      </w:hyperlink>
      <w:r w:rsidRPr="00D15809">
        <w:t>.</w:t>
      </w:r>
    </w:p>
    <w:p w14:paraId="79E1802E" w14:textId="77777777" w:rsidR="00D7351F" w:rsidRPr="00D7351F" w:rsidRDefault="00D7351F" w:rsidP="00D7351F">
      <w:pPr>
        <w:pStyle w:val="Heading1"/>
        <w:rPr>
          <w:lang w:val="fr-CH"/>
        </w:rPr>
      </w:pPr>
      <w:r w:rsidRPr="00D7351F">
        <w:rPr>
          <w:lang w:val="fr-CH"/>
        </w:rPr>
        <w:t>3</w:t>
      </w:r>
      <w:r w:rsidRPr="00D7351F">
        <w:rPr>
          <w:lang w:val="fr-CH"/>
        </w:rPr>
        <w:tab/>
        <w:t>Choix du groupe d'auditeurs</w:t>
      </w:r>
    </w:p>
    <w:p w14:paraId="5AFF7027" w14:textId="77777777" w:rsidR="00D7351F" w:rsidRPr="00D15809" w:rsidRDefault="00D7351F" w:rsidP="00D7351F">
      <w:r w:rsidRPr="00D15809">
        <w:t>Il conviendra pour le choix des groupes d'auditeurs de tenir compte des indications contenues dans le § 3 de la Recommandation UIT</w:t>
      </w:r>
      <w:r w:rsidRPr="00D15809">
        <w:noBreakHyphen/>
        <w:t>R </w:t>
      </w:r>
      <w:hyperlink r:id="rId17" w:history="1">
        <w:r w:rsidRPr="00D15809">
          <w:t>BS.1116</w:t>
        </w:r>
      </w:hyperlink>
      <w:r w:rsidRPr="00D15809">
        <w:t>.</w:t>
      </w:r>
    </w:p>
    <w:p w14:paraId="147E635C" w14:textId="77777777" w:rsidR="00D7351F" w:rsidRPr="00D15809" w:rsidRDefault="00D7351F" w:rsidP="00D7351F">
      <w:r w:rsidRPr="00D15809">
        <w:t>Cependant, afin d'obtenir une sensibilité maximale de l'essai et de réduire au minimum le nombre d'essais nécessaire à l'obtention de résultats fiables, les auditeurs experts devront bien connaître les types de dégradation attendus. C'est</w:t>
      </w:r>
      <w:r w:rsidRPr="00D15809">
        <w:noBreakHyphen/>
        <w:t>à</w:t>
      </w:r>
      <w:r w:rsidRPr="00D15809">
        <w:noBreakHyphen/>
        <w:t>dire, qu'il doit s'agir de préférence d'experts en matière d'évaluation des types de systèmes de codage étudiés.</w:t>
      </w:r>
    </w:p>
    <w:p w14:paraId="4FB67612" w14:textId="77777777" w:rsidR="00D7351F" w:rsidRPr="00D7351F" w:rsidRDefault="00D7351F" w:rsidP="00D7351F">
      <w:pPr>
        <w:pStyle w:val="Heading1"/>
        <w:rPr>
          <w:lang w:val="fr-CH"/>
        </w:rPr>
      </w:pPr>
      <w:r w:rsidRPr="00D7351F">
        <w:rPr>
          <w:lang w:val="fr-CH"/>
        </w:rPr>
        <w:lastRenderedPageBreak/>
        <w:t>4</w:t>
      </w:r>
      <w:r w:rsidRPr="00D7351F">
        <w:rPr>
          <w:lang w:val="fr-CH"/>
        </w:rPr>
        <w:tab/>
        <w:t>Méthode de test</w:t>
      </w:r>
    </w:p>
    <w:p w14:paraId="25DC6C7A" w14:textId="77777777" w:rsidR="00D7351F" w:rsidRPr="00D15809" w:rsidRDefault="00D7351F" w:rsidP="00D7351F">
      <w:r w:rsidRPr="00D15809">
        <w:t>Pour la méthode d'essai détaillée, il conviendra de tenir compte des considérations générales exposées au § 4 de la Recommandation UIT</w:t>
      </w:r>
      <w:r w:rsidRPr="00D15809">
        <w:noBreakHyphen/>
        <w:t>R </w:t>
      </w:r>
      <w:hyperlink r:id="rId18" w:history="1">
        <w:r w:rsidRPr="00D15809">
          <w:t>BS.1116</w:t>
        </w:r>
      </w:hyperlink>
      <w:r w:rsidRPr="00D15809">
        <w:t xml:space="preserve">. Comme la procédure d'essai décrite dans la Recommandation UIT-R </w:t>
      </w:r>
      <w:hyperlink r:id="rId19" w:history="1">
        <w:r w:rsidRPr="00D15809">
          <w:t>BS.1116</w:t>
        </w:r>
      </w:hyperlink>
      <w:r w:rsidRPr="00D15809">
        <w:t xml:space="preserve"> est la plus longue, il faudra simplifier la méthodologie d'essai utilisée pour obtenir la plus forte diminution du temps et les efforts nécessaires. Actuellement, on peut recommander les méthodes suivantes.</w:t>
      </w:r>
    </w:p>
    <w:p w14:paraId="143A594B" w14:textId="77777777" w:rsidR="00D7351F" w:rsidRPr="00D7351F" w:rsidRDefault="00D7351F" w:rsidP="00D7351F">
      <w:pPr>
        <w:pStyle w:val="Heading2"/>
        <w:rPr>
          <w:lang w:val="fr-CH"/>
        </w:rPr>
      </w:pPr>
      <w:r w:rsidRPr="00D7351F">
        <w:rPr>
          <w:lang w:val="fr-CH"/>
        </w:rPr>
        <w:t>4.1</w:t>
      </w:r>
      <w:r w:rsidRPr="00D7351F">
        <w:rPr>
          <w:lang w:val="fr-CH"/>
        </w:rPr>
        <w:tab/>
        <w:t>Évaluation avec un petit nombre d'auditeurs experts</w:t>
      </w:r>
    </w:p>
    <w:p w14:paraId="1D8044FA" w14:textId="77777777" w:rsidR="00D7351F" w:rsidRPr="00D15809" w:rsidRDefault="00D7351F" w:rsidP="00D7351F">
      <w:r w:rsidRPr="00D15809">
        <w:t>Si l'on peut montrer que l'évaluation des systèmes étudiés peut valablement se faire avec des écouteurs, l'évaluation peut être effectuée simultanément par plusieurs auditeurs. Cela exclut les systèmes qui exigent l'utilisation de haut-parleurs, les systèmes ou essais qui font intervenir l'acoustique de l'environnement d'écoute, et les systèmes qui mettent en œuvre des effets spatiaux et des effets qui ne peuvent pas être convenablement rendus par des écouteurs.</w:t>
      </w:r>
    </w:p>
    <w:p w14:paraId="5CE2DD2C" w14:textId="77777777" w:rsidR="00D7351F" w:rsidRPr="00D15809" w:rsidRDefault="00D7351F" w:rsidP="00D7351F">
      <w:r w:rsidRPr="00D15809">
        <w:t>Si l'on fait appel à des groupes d'auditeurs, la commutation individuelle n'est pas pratique et il n'est pas possible de randomiser l'ordre de présentation des stimuli pour chaque auditeur d'un groupe. Entre groupes, il conviendra d'utiliser différents ordres de présentation. Le principe de l'essai doublement aveugle doit être maintenu.</w:t>
      </w:r>
    </w:p>
    <w:p w14:paraId="064BBD3A" w14:textId="77777777" w:rsidR="00D7351F" w:rsidRPr="00D15809" w:rsidRDefault="00D7351F" w:rsidP="00D7351F">
      <w:r w:rsidRPr="00D15809">
        <w:t>Dans la mesure du possible, l'analyse des données sera effectuée conformément au § 9 de la Recommandation UIT</w:t>
      </w:r>
      <w:r w:rsidRPr="00D15809">
        <w:noBreakHyphen/>
        <w:t>R </w:t>
      </w:r>
      <w:hyperlink r:id="rId20" w:history="1">
        <w:r w:rsidRPr="00D15809">
          <w:t>BS.1116</w:t>
        </w:r>
      </w:hyperlink>
      <w:r w:rsidRPr="00D15809">
        <w:t>. Cette analyse prendra en compte la subdivision des auditeurs en groupes.</w:t>
      </w:r>
    </w:p>
    <w:p w14:paraId="22A6FE30" w14:textId="77777777" w:rsidR="00D7351F" w:rsidRPr="00D7351F" w:rsidRDefault="00D7351F" w:rsidP="00D7351F">
      <w:pPr>
        <w:pStyle w:val="Heading2"/>
        <w:rPr>
          <w:lang w:val="fr-CH"/>
        </w:rPr>
      </w:pPr>
      <w:r w:rsidRPr="00D7351F">
        <w:rPr>
          <w:lang w:val="fr-CH"/>
        </w:rPr>
        <w:t>4.2</w:t>
      </w:r>
      <w:r w:rsidRPr="00D7351F">
        <w:rPr>
          <w:lang w:val="fr-CH"/>
        </w:rPr>
        <w:tab/>
        <w:t>Évaluation avec un petit nombre d'auditeurs experts</w:t>
      </w:r>
    </w:p>
    <w:p w14:paraId="7B72400A" w14:textId="77777777" w:rsidR="00D7351F" w:rsidRPr="00D15809" w:rsidRDefault="00D7351F" w:rsidP="00D7351F">
      <w:r w:rsidRPr="00D15809">
        <w:t>Le temps nécessaire à l'exécution de la procédure d'essai peut être fortement réduit en utilisant un petit nombre d'auditeurs. Pour cela, il faut impérativement des auditeurs experts, qui ont déjà fait preuve d'un grand niveau de précision et de cohérence dans des essais analogues.</w:t>
      </w:r>
    </w:p>
    <w:p w14:paraId="690FC035" w14:textId="77777777" w:rsidR="00D7351F" w:rsidRPr="00D15809" w:rsidRDefault="00D7351F" w:rsidP="00D7351F">
      <w:r w:rsidRPr="00D15809">
        <w:t>La quantité de données assez limitée qui peut résulter de ces essais ne permet pas d'analyse statistique.</w:t>
      </w:r>
    </w:p>
    <w:p w14:paraId="1C4DA5C5" w14:textId="77777777" w:rsidR="00D7351F" w:rsidRPr="00D7351F" w:rsidRDefault="00D7351F" w:rsidP="00D7351F">
      <w:pPr>
        <w:pStyle w:val="Heading2"/>
        <w:rPr>
          <w:lang w:val="fr-CH"/>
        </w:rPr>
      </w:pPr>
      <w:r w:rsidRPr="00D7351F">
        <w:rPr>
          <w:lang w:val="fr-CH"/>
        </w:rPr>
        <w:t>4.3</w:t>
      </w:r>
      <w:r w:rsidRPr="00D7351F">
        <w:rPr>
          <w:lang w:val="fr-CH"/>
        </w:rPr>
        <w:tab/>
        <w:t>Autre simplification de la méthode d'essai</w:t>
      </w:r>
    </w:p>
    <w:p w14:paraId="69DD3B59" w14:textId="77777777" w:rsidR="00D7351F" w:rsidRPr="00D15809" w:rsidRDefault="00D7351F" w:rsidP="00D7351F">
      <w:r w:rsidRPr="00D15809">
        <w:t>La procédure d'essai peut être encore simplifiée en utilisant les comparaisons bidirectionnelles. De cette façon, on demande au sujet de faire seulement une évaluation entre deux signaux, l'un étant le signal de référence. Le signal de référence peut être dégradé et il peut être utile d'utiliser une échelle de comparaison à 7 notes (voir la Recommandation UIT</w:t>
      </w:r>
      <w:r w:rsidRPr="00D15809">
        <w:noBreakHyphen/>
        <w:t>R BS.1284 – Méthodes d'évaluation subjective de la qualité du son – conditions générales à respecter). Il convient de noter que cette méthode ne peut donner qu'une indication limitée sur la fiabilité des sujets.</w:t>
      </w:r>
    </w:p>
    <w:p w14:paraId="673ABBCB" w14:textId="77777777" w:rsidR="00D7351F" w:rsidRPr="00D7351F" w:rsidRDefault="00D7351F" w:rsidP="00D7351F">
      <w:pPr>
        <w:pStyle w:val="Heading1"/>
        <w:rPr>
          <w:sz w:val="28"/>
          <w:lang w:val="fr-CH"/>
        </w:rPr>
      </w:pPr>
      <w:r w:rsidRPr="00D7351F">
        <w:rPr>
          <w:lang w:val="fr-CH"/>
        </w:rPr>
        <w:t>5</w:t>
      </w:r>
      <w:r w:rsidRPr="00D7351F">
        <w:rPr>
          <w:lang w:val="fr-CH"/>
        </w:rPr>
        <w:tab/>
        <w:t>Caractéristiques</w:t>
      </w:r>
    </w:p>
    <w:p w14:paraId="53433B41" w14:textId="77777777" w:rsidR="00D7351F" w:rsidRPr="00D15809" w:rsidRDefault="00D7351F" w:rsidP="00D7351F">
      <w:r w:rsidRPr="009B0496">
        <w:t xml:space="preserve">Le § 5 de la Recommandation UIT-R </w:t>
      </w:r>
      <w:hyperlink r:id="rId21" w:history="1">
        <w:r w:rsidRPr="009B0496">
          <w:rPr>
            <w:rStyle w:val="Hyperlink"/>
            <w:color w:val="auto"/>
            <w:u w:val="none"/>
          </w:rPr>
          <w:t>BS.1116</w:t>
        </w:r>
      </w:hyperlink>
      <w:r w:rsidRPr="009B0496">
        <w:t xml:space="preserve"> décrit les caractéristiques relatives à la qualité audio </w:t>
      </w:r>
      <w:r w:rsidRPr="00D15809">
        <w:t>évaluables, dans le cas de systèmes monophoniques, stéréophoniques à deux voies et stéréophoniques multivoies.</w:t>
      </w:r>
    </w:p>
    <w:p w14:paraId="554504A7" w14:textId="77777777" w:rsidR="00D7351F" w:rsidRPr="00D7351F" w:rsidRDefault="00D7351F" w:rsidP="00D7351F">
      <w:pPr>
        <w:pStyle w:val="Heading1"/>
        <w:rPr>
          <w:sz w:val="28"/>
          <w:lang w:val="fr-CH"/>
        </w:rPr>
      </w:pPr>
      <w:r w:rsidRPr="00D7351F">
        <w:rPr>
          <w:lang w:val="fr-CH"/>
        </w:rPr>
        <w:t>6</w:t>
      </w:r>
      <w:r w:rsidRPr="00D7351F">
        <w:rPr>
          <w:lang w:val="fr-CH"/>
        </w:rPr>
        <w:tab/>
        <w:t>Éléments de programme</w:t>
      </w:r>
    </w:p>
    <w:p w14:paraId="53D064EA" w14:textId="77777777" w:rsidR="00D7351F" w:rsidRPr="00D15809" w:rsidRDefault="00D7351F" w:rsidP="00D7351F">
      <w:r w:rsidRPr="00D15809">
        <w:t>Pour le choix des éléments de programme, il conviendra de se conformer aux indications du § 6 de la Recommandation UIT</w:t>
      </w:r>
      <w:r w:rsidRPr="00D15809">
        <w:noBreakHyphen/>
        <w:t>R </w:t>
      </w:r>
      <w:hyperlink r:id="rId22" w:history="1">
        <w:r w:rsidRPr="00D15809">
          <w:t>BS.1116</w:t>
        </w:r>
      </w:hyperlink>
      <w:r w:rsidRPr="00D15809">
        <w:t>.</w:t>
      </w:r>
    </w:p>
    <w:p w14:paraId="7CBC5493" w14:textId="77777777" w:rsidR="00D7351F" w:rsidRPr="00D7351F" w:rsidRDefault="00D7351F" w:rsidP="00D7351F">
      <w:pPr>
        <w:pStyle w:val="Heading1"/>
        <w:rPr>
          <w:lang w:val="fr-CH"/>
        </w:rPr>
      </w:pPr>
      <w:r w:rsidRPr="00D7351F">
        <w:rPr>
          <w:lang w:val="fr-CH"/>
        </w:rPr>
        <w:lastRenderedPageBreak/>
        <w:t>7</w:t>
      </w:r>
      <w:r w:rsidRPr="00D7351F">
        <w:rPr>
          <w:lang w:val="fr-CH"/>
        </w:rPr>
        <w:tab/>
        <w:t>Choix des dispositifs de reproduction</w:t>
      </w:r>
    </w:p>
    <w:p w14:paraId="600576FF" w14:textId="77777777" w:rsidR="00D7351F" w:rsidRPr="00D15809" w:rsidRDefault="00D7351F" w:rsidP="00D7351F">
      <w:r w:rsidRPr="00D15809">
        <w:t>Pour le choix des dispositifs de reproduction, il conviendra de se conformer aux indications du § 7 de la Recommandation UIT</w:t>
      </w:r>
      <w:r w:rsidRPr="00D15809">
        <w:noBreakHyphen/>
        <w:t>R </w:t>
      </w:r>
      <w:hyperlink r:id="rId23" w:history="1">
        <w:r w:rsidRPr="00D15809">
          <w:t>BS.1116</w:t>
        </w:r>
      </w:hyperlink>
      <w:r w:rsidRPr="00D15809">
        <w:t>.</w:t>
      </w:r>
    </w:p>
    <w:p w14:paraId="4CB30E8B" w14:textId="77777777" w:rsidR="00D7351F" w:rsidRPr="00D7351F" w:rsidRDefault="00D7351F" w:rsidP="00D7351F">
      <w:pPr>
        <w:pStyle w:val="Heading1"/>
        <w:rPr>
          <w:lang w:val="fr-CH"/>
        </w:rPr>
      </w:pPr>
      <w:r w:rsidRPr="00D7351F">
        <w:rPr>
          <w:lang w:val="fr-CH"/>
        </w:rPr>
        <w:t>8</w:t>
      </w:r>
      <w:r w:rsidRPr="00D7351F">
        <w:rPr>
          <w:lang w:val="fr-CH"/>
        </w:rPr>
        <w:tab/>
        <w:t>Conditions d'écoute</w:t>
      </w:r>
    </w:p>
    <w:p w14:paraId="0C41D8A5" w14:textId="77777777" w:rsidR="00D7351F" w:rsidRPr="00D15809" w:rsidRDefault="00D7351F" w:rsidP="00D7351F">
      <w:r w:rsidRPr="00D15809">
        <w:t>Pour les conditions d'écoute applicables, il conviendra de se reporter aux indications du § 8 de la Recommandation UIT</w:t>
      </w:r>
      <w:r w:rsidRPr="00D15809">
        <w:noBreakHyphen/>
        <w:t>R </w:t>
      </w:r>
      <w:hyperlink r:id="rId24" w:history="1">
        <w:r w:rsidRPr="00D15809">
          <w:t>BS.1116</w:t>
        </w:r>
      </w:hyperlink>
      <w:r w:rsidRPr="00D15809">
        <w:t>.</w:t>
      </w:r>
    </w:p>
    <w:p w14:paraId="5520E5DE" w14:textId="77777777" w:rsidR="00D7351F" w:rsidRPr="00D7351F" w:rsidRDefault="00D7351F" w:rsidP="00D7351F">
      <w:pPr>
        <w:pStyle w:val="Heading1"/>
        <w:rPr>
          <w:lang w:val="fr-CH"/>
        </w:rPr>
      </w:pPr>
      <w:r w:rsidRPr="00D7351F">
        <w:rPr>
          <w:lang w:val="fr-CH"/>
        </w:rPr>
        <w:t>9</w:t>
      </w:r>
      <w:r w:rsidRPr="00D7351F">
        <w:rPr>
          <w:lang w:val="fr-CH"/>
        </w:rPr>
        <w:tab/>
        <w:t>Analyse statistique</w:t>
      </w:r>
    </w:p>
    <w:p w14:paraId="6A1F4AC4" w14:textId="77777777" w:rsidR="00D7351F" w:rsidRPr="00D15809" w:rsidRDefault="00D7351F" w:rsidP="00D7351F">
      <w:r w:rsidRPr="00D15809">
        <w:t>Pour l'analyse statistique des données, il conviendra de se conformer, dans la mesure du possible, aux indications du § 9 de la Recommandation UIT</w:t>
      </w:r>
      <w:r w:rsidRPr="00D15809">
        <w:noBreakHyphen/>
        <w:t>R </w:t>
      </w:r>
      <w:hyperlink r:id="rId25" w:history="1">
        <w:r w:rsidRPr="00D15809">
          <w:t>BS.1116</w:t>
        </w:r>
      </w:hyperlink>
      <w:r w:rsidRPr="00D15809">
        <w:t>.</w:t>
      </w:r>
    </w:p>
    <w:p w14:paraId="4D84283B" w14:textId="77777777" w:rsidR="00D7351F" w:rsidRPr="00D15809" w:rsidRDefault="00D7351F" w:rsidP="00D7351F">
      <w:r w:rsidRPr="00D15809">
        <w:t xml:space="preserve">Il est important de noter que compte tenu de la méthodologie employée, les résultats des essais de présélection peuvent seulement être utilisés pour déterminer s'il faut inclure ou éliminer </w:t>
      </w:r>
      <w:proofErr w:type="gramStart"/>
      <w:r w:rsidRPr="00D15809">
        <w:t>des systèmes audio</w:t>
      </w:r>
      <w:proofErr w:type="gramEnd"/>
      <w:r w:rsidRPr="00D15809">
        <w:t xml:space="preserve"> pour des essais formels ultérieurs. On ne peut donner qu'une indication précisant si un système a subi les essais avec succès ou non. Il n'est pas possible de formuler d'autres conclusions sur les performances relatives des systèmes à partir des résultats des essais de présélection.</w:t>
      </w:r>
    </w:p>
    <w:p w14:paraId="62082FE8" w14:textId="77777777" w:rsidR="00D7351F" w:rsidRPr="00D15809" w:rsidRDefault="00D7351F" w:rsidP="00D7351F">
      <w:r w:rsidRPr="00D15809">
        <w:t>Le seuil de décision devra être fixé de manière à inclure dans la catégorie</w:t>
      </w:r>
      <w:proofErr w:type="gramStart"/>
      <w:r w:rsidRPr="00D15809">
        <w:t xml:space="preserve"> «bon</w:t>
      </w:r>
      <w:proofErr w:type="gramEnd"/>
      <w:r w:rsidRPr="00D15809">
        <w:t>» les systèmes dont les résultats se trouvent en limite.</w:t>
      </w:r>
    </w:p>
    <w:p w14:paraId="6F22B444" w14:textId="77777777" w:rsidR="00D7351F" w:rsidRPr="00D7351F" w:rsidRDefault="00D7351F" w:rsidP="00D7351F">
      <w:pPr>
        <w:pStyle w:val="Heading1"/>
        <w:rPr>
          <w:lang w:val="fr-CH"/>
        </w:rPr>
      </w:pPr>
      <w:r w:rsidRPr="00D7351F">
        <w:rPr>
          <w:lang w:val="fr-CH"/>
        </w:rPr>
        <w:t>10</w:t>
      </w:r>
      <w:r w:rsidRPr="00D7351F">
        <w:rPr>
          <w:lang w:val="fr-CH"/>
        </w:rPr>
        <w:tab/>
        <w:t>Présentation des résultats</w:t>
      </w:r>
    </w:p>
    <w:p w14:paraId="216A7E81" w14:textId="77777777" w:rsidR="00D7351F" w:rsidRPr="00D15809" w:rsidRDefault="00D7351F" w:rsidP="00D7351F">
      <w:r w:rsidRPr="00D15809">
        <w:t>Pour la présentation des résultats, il conviendra de tenir compte, dans la mesure du possible, des indications du § 10 de la Recommandation UIT</w:t>
      </w:r>
      <w:r w:rsidRPr="00D15809">
        <w:noBreakHyphen/>
        <w:t>R </w:t>
      </w:r>
      <w:hyperlink r:id="rId26" w:history="1">
        <w:r w:rsidRPr="00D15809">
          <w:t>BS.1116</w:t>
        </w:r>
      </w:hyperlink>
      <w:r w:rsidRPr="00D15809">
        <w:t>.</w:t>
      </w:r>
    </w:p>
    <w:p w14:paraId="0D83E0A0" w14:textId="77777777" w:rsidR="00D7351F" w:rsidRPr="00D15809" w:rsidRDefault="00D7351F" w:rsidP="00D7351F">
      <w:r w:rsidRPr="00D15809">
        <w:t>L'objectif des essais est simplement de faire la distinction entre les systèmes qui produisent des dégradations fortes et ceux qui ne le font pas. Le résultat sera simplement une décision entre la conformité ou la non-conformité d'un système.</w:t>
      </w:r>
    </w:p>
    <w:p w14:paraId="174D11B9" w14:textId="77777777" w:rsidR="00D7351F" w:rsidRPr="00D7351F" w:rsidRDefault="00D7351F" w:rsidP="00D7351F">
      <w:pPr>
        <w:pStyle w:val="Heading1"/>
        <w:rPr>
          <w:lang w:val="fr-CH"/>
        </w:rPr>
      </w:pPr>
      <w:r w:rsidRPr="00D7351F">
        <w:rPr>
          <w:lang w:val="fr-CH"/>
        </w:rPr>
        <w:t>11</w:t>
      </w:r>
      <w:r w:rsidRPr="00D7351F">
        <w:rPr>
          <w:lang w:val="fr-CH"/>
        </w:rPr>
        <w:tab/>
        <w:t>Contenu des rapports d'essai</w:t>
      </w:r>
    </w:p>
    <w:p w14:paraId="02ADB782" w14:textId="77777777" w:rsidR="00D7351F" w:rsidRPr="00D15809" w:rsidRDefault="00D7351F" w:rsidP="00D7351F">
      <w:r w:rsidRPr="00D15809">
        <w:t xml:space="preserve">Il sera conforme aux indications du § 11 de la Recommandation UIT-R </w:t>
      </w:r>
      <w:hyperlink r:id="rId27" w:history="1">
        <w:r w:rsidRPr="00D15809">
          <w:t>BS.1116</w:t>
        </w:r>
      </w:hyperlink>
      <w:r w:rsidRPr="00D15809">
        <w:t>, dans la mesure du possible.</w:t>
      </w:r>
    </w:p>
    <w:p w14:paraId="5D65ACC6" w14:textId="77777777" w:rsidR="00D7351F" w:rsidRPr="00D15809" w:rsidRDefault="00D7351F" w:rsidP="00D7351F">
      <w:pPr>
        <w:pStyle w:val="Line"/>
      </w:pPr>
    </w:p>
    <w:p w14:paraId="44EEAA57" w14:textId="77777777" w:rsidR="00DC2B47" w:rsidRPr="00D7351F" w:rsidRDefault="00DC2B47" w:rsidP="00DC2B47">
      <w:pPr>
        <w:rPr>
          <w:lang w:val="fr-CH"/>
        </w:rPr>
      </w:pPr>
    </w:p>
    <w:sectPr w:rsidR="00DC2B47" w:rsidRPr="00D7351F" w:rsidSect="00D7351F">
      <w:headerReference w:type="even" r:id="rId28"/>
      <w:headerReference w:type="default" r:id="rId29"/>
      <w:footerReference w:type="default" r:id="rId30"/>
      <w:pgSz w:w="11907" w:h="16834" w:code="9"/>
      <w:pgMar w:top="1418" w:right="1134" w:bottom="1134" w:left="1134" w:header="720" w:footer="482" w:gutter="0"/>
      <w:paperSrc w:first="15" w:other="15"/>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E7A31" w14:textId="77777777" w:rsidR="00D7351F" w:rsidRDefault="00D7351F">
      <w:r>
        <w:separator/>
      </w:r>
    </w:p>
  </w:endnote>
  <w:endnote w:type="continuationSeparator" w:id="0">
    <w:p w14:paraId="47D3F714" w14:textId="77777777" w:rsidR="00D7351F" w:rsidRDefault="00D73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Pro Medium">
    <w:panose1 w:val="020B0604020202020204"/>
    <w:charset w:val="00"/>
    <w:family w:val="swiss"/>
    <w:notTrueType/>
    <w:pitch w:val="variable"/>
    <w:sig w:usb0="800000AF" w:usb1="5000204A" w:usb2="00000000" w:usb3="00000000" w:csb0="00000093" w:csb1="00000000"/>
  </w:font>
  <w:font w:name="AvenirNext LT Pro Regular">
    <w:panose1 w:val="020B0504020202020204"/>
    <w:charset w:val="00"/>
    <w:family w:val="swiss"/>
    <w:notTrueType/>
    <w:pitch w:val="variable"/>
    <w:sig w:usb0="800000AF" w:usb1="5000204A"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21485" w14:textId="77777777" w:rsidR="00D7351F" w:rsidRDefault="00D7351F">
    <w:pPr>
      <w:pStyle w:val="Footer"/>
    </w:pPr>
    <w:r>
      <w:drawing>
        <wp:anchor distT="0" distB="0" distL="0" distR="0" simplePos="0" relativeHeight="251651584" behindDoc="0" locked="0" layoutInCell="1" allowOverlap="1" wp14:anchorId="6ED9ED41" wp14:editId="396FBBD8">
          <wp:simplePos x="0" y="0"/>
          <wp:positionH relativeFrom="page">
            <wp:posOffset>6346209</wp:posOffset>
          </wp:positionH>
          <wp:positionV relativeFrom="page">
            <wp:posOffset>9501505</wp:posOffset>
          </wp:positionV>
          <wp:extent cx="738000" cy="813600"/>
          <wp:effectExtent l="0" t="0" r="0" b="0"/>
          <wp:wrapNone/>
          <wp:docPr id="1" name="image1.png"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national Telecommunication Union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40E7E" w14:textId="1FEC73EB" w:rsidR="009B0496" w:rsidRDefault="009B04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BD4EC" w14:textId="77777777" w:rsidR="00D7351F" w:rsidRDefault="00D7351F">
      <w:r>
        <w:separator/>
      </w:r>
    </w:p>
  </w:footnote>
  <w:footnote w:type="continuationSeparator" w:id="0">
    <w:p w14:paraId="141AA9C3" w14:textId="77777777" w:rsidR="00D7351F" w:rsidRDefault="00D73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201A1" w14:textId="77777777" w:rsidR="00D7351F" w:rsidRDefault="00D7351F">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6"/>
      <w:gridCol w:w="5914"/>
    </w:tblGrid>
    <w:tr w:rsidR="00D7351F" w:rsidRPr="00A239D1" w14:paraId="3BC59420" w14:textId="77777777" w:rsidTr="0019307B">
      <w:tc>
        <w:tcPr>
          <w:tcW w:w="4634" w:type="dxa"/>
          <w:vAlign w:val="center"/>
        </w:tcPr>
        <w:p w14:paraId="50AA1E46" w14:textId="77777777" w:rsidR="00D7351F" w:rsidRPr="005B0371" w:rsidRDefault="00D7351F" w:rsidP="00D7351F">
          <w:pPr>
            <w:pStyle w:val="Header"/>
            <w:jc w:val="both"/>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29584E6E" w14:textId="77777777" w:rsidR="00D7351F" w:rsidRPr="00260B24" w:rsidRDefault="00D7351F" w:rsidP="00744F8B">
          <w:pPr>
            <w:pStyle w:val="Header"/>
            <w:jc w:val="right"/>
            <w:rPr>
              <w:rFonts w:asciiTheme="minorBidi" w:hAnsiTheme="minorBidi"/>
              <w:b/>
              <w:spacing w:val="4"/>
              <w:szCs w:val="24"/>
            </w:rPr>
          </w:pPr>
          <w:r w:rsidRPr="00260B24">
            <w:rPr>
              <w:rFonts w:asciiTheme="minorBidi" w:hAnsiTheme="minorBidi"/>
              <w:b/>
              <w:spacing w:val="4"/>
              <w:szCs w:val="24"/>
            </w:rPr>
            <w:t>Union</w:t>
          </w:r>
          <w:r>
            <w:rPr>
              <w:rFonts w:asciiTheme="minorBidi" w:hAnsiTheme="minorBidi"/>
              <w:b/>
              <w:spacing w:val="4"/>
              <w:szCs w:val="24"/>
            </w:rPr>
            <w:t xml:space="preserve"> i</w:t>
          </w:r>
          <w:r w:rsidRPr="00260B24">
            <w:rPr>
              <w:rFonts w:asciiTheme="minorBidi" w:hAnsiTheme="minorBidi"/>
              <w:b/>
              <w:spacing w:val="4"/>
              <w:szCs w:val="24"/>
            </w:rPr>
            <w:t>nternational</w:t>
          </w:r>
          <w:r>
            <w:rPr>
              <w:rFonts w:asciiTheme="minorBidi" w:hAnsiTheme="minorBidi"/>
              <w:b/>
              <w:spacing w:val="4"/>
              <w:szCs w:val="24"/>
            </w:rPr>
            <w:t>e</w:t>
          </w:r>
          <w:r w:rsidRPr="00260B24">
            <w:rPr>
              <w:rFonts w:asciiTheme="minorBidi" w:hAnsiTheme="minorBidi"/>
              <w:b/>
              <w:spacing w:val="4"/>
              <w:szCs w:val="24"/>
            </w:rPr>
            <w:t xml:space="preserve"> </w:t>
          </w:r>
          <w:r>
            <w:rPr>
              <w:rFonts w:asciiTheme="minorBidi" w:hAnsiTheme="minorBidi"/>
              <w:b/>
              <w:spacing w:val="4"/>
              <w:szCs w:val="24"/>
            </w:rPr>
            <w:t>des té</w:t>
          </w:r>
          <w:r w:rsidRPr="00260B24">
            <w:rPr>
              <w:rFonts w:asciiTheme="minorBidi" w:hAnsiTheme="minorBidi"/>
              <w:b/>
              <w:spacing w:val="4"/>
              <w:szCs w:val="24"/>
            </w:rPr>
            <w:t>l</w:t>
          </w:r>
          <w:r>
            <w:rPr>
              <w:rFonts w:asciiTheme="minorBidi" w:hAnsiTheme="minorBidi"/>
              <w:b/>
              <w:spacing w:val="4"/>
              <w:szCs w:val="24"/>
            </w:rPr>
            <w:t>é</w:t>
          </w:r>
          <w:r w:rsidRPr="00260B24">
            <w:rPr>
              <w:rFonts w:asciiTheme="minorBidi" w:hAnsiTheme="minorBidi"/>
              <w:b/>
              <w:spacing w:val="4"/>
              <w:szCs w:val="24"/>
            </w:rPr>
            <w:t>communication</w:t>
          </w:r>
          <w:r>
            <w:rPr>
              <w:rFonts w:asciiTheme="minorBidi" w:hAnsiTheme="minorBidi"/>
              <w:b/>
              <w:spacing w:val="4"/>
              <w:szCs w:val="24"/>
            </w:rPr>
            <w:t>s</w:t>
          </w:r>
        </w:p>
      </w:tc>
    </w:tr>
    <w:tr w:rsidR="00D7351F" w:rsidRPr="00A239D1" w14:paraId="1305BE88" w14:textId="77777777" w:rsidTr="0019307B">
      <w:tc>
        <w:tcPr>
          <w:tcW w:w="4634" w:type="dxa"/>
          <w:vAlign w:val="center"/>
        </w:tcPr>
        <w:p w14:paraId="25D05203" w14:textId="77777777" w:rsidR="00D7351F" w:rsidRPr="00260B24" w:rsidRDefault="00D7351F" w:rsidP="00744F8B">
          <w:pPr>
            <w:pStyle w:val="Header"/>
            <w:jc w:val="left"/>
            <w:rPr>
              <w:rFonts w:asciiTheme="minorBidi" w:hAnsiTheme="minorBidi"/>
              <w:spacing w:val="4"/>
              <w:sz w:val="21"/>
              <w:szCs w:val="21"/>
            </w:rPr>
          </w:pPr>
          <w:r w:rsidRPr="00260B24">
            <w:rPr>
              <w:rFonts w:asciiTheme="minorBidi" w:hAnsiTheme="minorBidi"/>
              <w:spacing w:val="4"/>
              <w:szCs w:val="24"/>
            </w:rPr>
            <w:t>Recomm</w:t>
          </w:r>
          <w:r>
            <w:rPr>
              <w:rFonts w:asciiTheme="minorBidi" w:hAnsiTheme="minorBidi"/>
              <w:spacing w:val="4"/>
              <w:szCs w:val="24"/>
            </w:rPr>
            <w:t>a</w:t>
          </w:r>
          <w:r w:rsidRPr="00260B24">
            <w:rPr>
              <w:rFonts w:asciiTheme="minorBidi" w:hAnsiTheme="minorBidi"/>
              <w:spacing w:val="4"/>
              <w:szCs w:val="24"/>
            </w:rPr>
            <w:t>ndations</w:t>
          </w:r>
        </w:p>
      </w:tc>
      <w:tc>
        <w:tcPr>
          <w:tcW w:w="5998" w:type="dxa"/>
          <w:vAlign w:val="center"/>
        </w:tcPr>
        <w:p w14:paraId="43E71462" w14:textId="3A0A7BD0" w:rsidR="00D7351F" w:rsidRPr="00260B24" w:rsidRDefault="00D7351F" w:rsidP="00744F8B">
          <w:pPr>
            <w:pStyle w:val="Header"/>
            <w:jc w:val="right"/>
            <w:rPr>
              <w:rFonts w:asciiTheme="minorBidi" w:hAnsiTheme="minorBidi"/>
              <w:spacing w:val="4"/>
              <w:szCs w:val="24"/>
            </w:rPr>
          </w:pPr>
          <w:r>
            <w:rPr>
              <w:rFonts w:asciiTheme="minorBidi" w:hAnsiTheme="minorBidi"/>
              <w:spacing w:val="4"/>
              <w:szCs w:val="24"/>
            </w:rPr>
            <w:t>Secteur des r</w:t>
          </w:r>
          <w:r w:rsidRPr="00260B24">
            <w:rPr>
              <w:rFonts w:asciiTheme="minorBidi" w:hAnsiTheme="minorBidi"/>
              <w:spacing w:val="4"/>
              <w:szCs w:val="24"/>
            </w:rPr>
            <w:t>adiocommunication</w:t>
          </w:r>
          <w:r>
            <w:rPr>
              <w:rFonts w:asciiTheme="minorBidi" w:hAnsiTheme="minorBidi"/>
              <w:spacing w:val="4"/>
              <w:szCs w:val="24"/>
            </w:rPr>
            <w:t>s</w:t>
          </w:r>
        </w:p>
      </w:tc>
    </w:tr>
  </w:tbl>
  <w:p w14:paraId="5E6B3375" w14:textId="77777777" w:rsidR="00D7351F" w:rsidRDefault="00D7351F" w:rsidP="004A6FEB">
    <w:pPr>
      <w:pStyle w:val="Header"/>
    </w:pPr>
    <w:r>
      <w:rPr>
        <w:rFonts w:ascii="Arial Black" w:hAnsi="Arial Black" w:cs="Arial"/>
        <w:noProof/>
        <w:sz w:val="32"/>
        <w:szCs w:val="32"/>
      </w:rPr>
      <w:drawing>
        <wp:anchor distT="0" distB="0" distL="114300" distR="114300" simplePos="0" relativeHeight="251655680" behindDoc="0" locked="0" layoutInCell="1" allowOverlap="1" wp14:anchorId="7534A109" wp14:editId="35CB650A">
          <wp:simplePos x="0" y="0"/>
          <wp:positionH relativeFrom="column">
            <wp:posOffset>-352730</wp:posOffset>
          </wp:positionH>
          <wp:positionV relativeFrom="paragraph">
            <wp:posOffset>-534670</wp:posOffset>
          </wp:positionV>
          <wp:extent cx="1945758" cy="414616"/>
          <wp:effectExtent l="0" t="0" r="0" b="0"/>
          <wp:wrapNone/>
          <wp:docPr id="5" name="Picture 5" descr="ITU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Publication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758" cy="41461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rPr>
      <mc:AlternateContent>
        <mc:Choice Requires="wps">
          <w:drawing>
            <wp:anchor distT="0" distB="0" distL="114300" distR="114300" simplePos="0" relativeHeight="251659776" behindDoc="0" locked="0" layoutInCell="1" allowOverlap="1" wp14:anchorId="0D92F61F" wp14:editId="59F8CB6B">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ysClr val="window" lastClr="FFFFFF">
                          <a:lumMod val="100000"/>
                          <a:lumOff val="0"/>
                        </a:sys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C3B48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" strokecolor="#f8f8f8"/>
          </w:pict>
        </mc:Fallback>
      </mc:AlternateContent>
    </w:r>
  </w:p>
  <w:p w14:paraId="51A1F75B" w14:textId="77777777" w:rsidR="00D7351F" w:rsidRDefault="00D7351F" w:rsidP="004A6FEB">
    <w:pPr>
      <w:pStyle w:val="Header"/>
      <w:ind w:right="360"/>
      <w:jc w:val="both"/>
    </w:pPr>
    <w:r>
      <w:rPr>
        <w:noProof/>
      </w:rPr>
      <mc:AlternateContent>
        <mc:Choice Requires="wpg">
          <w:drawing>
            <wp:anchor distT="0" distB="0" distL="114300" distR="114300" simplePos="0" relativeHeight="251663872" behindDoc="0" locked="0" layoutInCell="1" allowOverlap="1" wp14:anchorId="38A09EA4" wp14:editId="04F2BA18">
              <wp:simplePos x="0" y="0"/>
              <wp:positionH relativeFrom="page">
                <wp:posOffset>0</wp:posOffset>
              </wp:positionH>
              <wp:positionV relativeFrom="page">
                <wp:posOffset>1196340</wp:posOffset>
              </wp:positionV>
              <wp:extent cx="7560310" cy="236220"/>
              <wp:effectExtent l="9525" t="5715" r="12065" b="5715"/>
              <wp:wrapNone/>
              <wp:docPr id="2"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descr="Header separator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ysClr val="window" lastClr="FFFFFF">
                            <a:lumMod val="100000"/>
                            <a:lumOff val="0"/>
                          </a:sys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2039ED" id="docshapegroup6" o:spid="_x0000_s1026" alt="Header separator line" style="position:absolute;margin-left:0;margin-top:94.2pt;width:595.3pt;height:18.6pt;z-index:251663872;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alt="Header separator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" path="m627,l,,314,313,627,xe"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3898B" w14:textId="179CFE5B" w:rsidR="00D7351F" w:rsidRPr="00D72623" w:rsidRDefault="00D7351F"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Pr="004F3F6F">
      <w:rPr>
        <w:rStyle w:val="PageNumber"/>
        <w:b/>
        <w:bCs/>
        <w:lang w:val="en-GB"/>
      </w:rPr>
      <w:t>i</w:t>
    </w:r>
    <w:proofErr w:type="spellStart"/>
    <w:r w:rsidRPr="004F3F6F">
      <w:rPr>
        <w:rStyle w:val="PageNumber"/>
        <w:b/>
        <w:bCs/>
        <w:lang w:val="en-GB"/>
      </w:rPr>
      <w:t>i</w:t>
    </w:r>
    <w:proofErr w:type="spellEnd"/>
    <w:r>
      <w:rPr>
        <w:rStyle w:val="PageNumber"/>
        <w:b/>
        <w:bCs/>
      </w:rPr>
      <w:fldChar w:fldCharType="end"/>
    </w:r>
    <w:r>
      <w:rPr>
        <w:lang w:val="en-US"/>
      </w:rPr>
      <w:tab/>
    </w:r>
    <w:r>
      <w:rPr>
        <w:b/>
        <w:bCs/>
        <w:lang w:val="en-US"/>
      </w:rPr>
      <w:fldChar w:fldCharType="begin"/>
    </w:r>
    <w:r>
      <w:rPr>
        <w:b/>
        <w:bCs/>
        <w:lang w:val="en-US"/>
      </w:rPr>
      <w:instrText xml:space="preserve"> DOCPROPERTY "Header" \* MERGEFORMAT </w:instrText>
    </w:r>
    <w:r>
      <w:rPr>
        <w:b/>
        <w:bCs/>
        <w:lang w:val="en-US"/>
      </w:rPr>
      <w:fldChar w:fldCharType="separate"/>
    </w:r>
    <w:r w:rsidR="007F756A">
      <w:rPr>
        <w:b/>
        <w:bCs/>
        <w:lang w:val="en-US"/>
      </w:rPr>
      <w:t xml:space="preserve">Rec. </w:t>
    </w:r>
    <w:r>
      <w:rPr>
        <w:b/>
        <w:bCs/>
        <w:lang w:val="en-US"/>
      </w:rPr>
      <w:fldChar w:fldCharType="end"/>
    </w:r>
    <w:r w:rsidRPr="004F3F6F">
      <w:rPr>
        <w:b/>
        <w:bCs/>
        <w:lang w:val="en-GB"/>
      </w:rPr>
      <w:t xml:space="preserve"> </w:t>
    </w:r>
    <w:r>
      <w:rPr>
        <w:b/>
        <w:bCs/>
      </w:rPr>
      <w:fldChar w:fldCharType="begin"/>
    </w:r>
    <w:r>
      <w:rPr>
        <w:b/>
        <w:bCs/>
        <w:lang w:val="en-US"/>
      </w:rPr>
      <w:instrText>styleref href</w:instrText>
    </w:r>
    <w:r>
      <w:rPr>
        <w:b/>
        <w:bCs/>
      </w:rPr>
      <w:fldChar w:fldCharType="separate"/>
    </w:r>
    <w:r w:rsidR="007F756A">
      <w:rPr>
        <w:b/>
        <w:bCs/>
        <w:noProof/>
        <w:lang w:val="en-US"/>
      </w:rPr>
      <w:t>UIT-R  BS.1285-1</w:t>
    </w:r>
    <w:r>
      <w:rP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AAEB8" w14:textId="1A7537EC" w:rsidR="00D7351F" w:rsidRDefault="00D7351F">
    <w:pPr>
      <w:pStyle w:val="Header"/>
    </w:pPr>
    <w:r>
      <w:tab/>
    </w:r>
    <w:r>
      <w:rPr>
        <w:b/>
        <w:bCs/>
      </w:rPr>
      <w:fldChar w:fldCharType="begin"/>
    </w:r>
    <w:r>
      <w:rPr>
        <w:b/>
        <w:bCs/>
      </w:rPr>
      <w:instrText xml:space="preserve"> DOCPROPERTY "Header" \* MERGEFORMAT </w:instrText>
    </w:r>
    <w:r>
      <w:rPr>
        <w:b/>
        <w:bCs/>
      </w:rPr>
      <w:fldChar w:fldCharType="separate"/>
    </w:r>
    <w:r w:rsidR="007F756A">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sidR="007F756A">
      <w:rPr>
        <w:b/>
        <w:bCs/>
        <w:noProof/>
      </w:rPr>
      <w:t>UIT-R  BS.1285-1</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1</w:t>
    </w:r>
    <w:r>
      <w:rPr>
        <w:rStyle w:val="PageNumbe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E32A8" w14:textId="1120D997" w:rsidR="00D7351F" w:rsidRPr="00D7351F" w:rsidRDefault="00607D68" w:rsidP="00D7351F">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2</w:t>
    </w:r>
    <w:r>
      <w:rPr>
        <w:rStyle w:val="PageNumber"/>
        <w:b/>
        <w:bCs/>
      </w:rPr>
      <w:fldChar w:fldCharType="end"/>
    </w:r>
    <w:r>
      <w:rPr>
        <w:lang w:val="en-US"/>
      </w:rPr>
      <w:tab/>
    </w:r>
    <w:r w:rsidR="009E00A8">
      <w:fldChar w:fldCharType="begin"/>
    </w:r>
    <w:r w:rsidR="009E00A8" w:rsidRPr="009E00A8">
      <w:rPr>
        <w:lang w:val="en-US"/>
      </w:rPr>
      <w:instrText xml:space="preserve"> DOCPROPERTY "Header" \* MERGEFORMAT </w:instrText>
    </w:r>
    <w:r w:rsidR="009E00A8">
      <w:fldChar w:fldCharType="separate"/>
    </w:r>
    <w:r w:rsidR="007F756A" w:rsidRPr="007F756A">
      <w:rPr>
        <w:b/>
        <w:bCs/>
        <w:lang w:val="en-US"/>
      </w:rPr>
      <w:t xml:space="preserve">Rec. </w:t>
    </w:r>
    <w:r w:rsidR="009E00A8">
      <w:rPr>
        <w:b/>
        <w:bCs/>
        <w:lang w:val="en-US"/>
      </w:rPr>
      <w:fldChar w:fldCharType="end"/>
    </w:r>
    <w:r w:rsidRPr="009E00A8">
      <w:rPr>
        <w:b/>
        <w:bCs/>
        <w:lang w:val="en-US"/>
      </w:rPr>
      <w:t xml:space="preserve"> </w:t>
    </w:r>
    <w:r>
      <w:rPr>
        <w:b/>
        <w:bCs/>
      </w:rPr>
      <w:fldChar w:fldCharType="begin"/>
    </w:r>
    <w:r>
      <w:rPr>
        <w:b/>
        <w:bCs/>
        <w:lang w:val="en-US"/>
      </w:rPr>
      <w:instrText>styleref href</w:instrText>
    </w:r>
    <w:r>
      <w:rPr>
        <w:b/>
        <w:bCs/>
      </w:rPr>
      <w:fldChar w:fldCharType="separate"/>
    </w:r>
    <w:r w:rsidR="007F756A">
      <w:rPr>
        <w:b/>
        <w:bCs/>
        <w:noProof/>
        <w:lang w:val="en-US"/>
      </w:rPr>
      <w:t>UIT-R  BS.1285-1</w:t>
    </w:r>
    <w:r>
      <w:rPr>
        <w:b/>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58E6A" w14:textId="36C335E2" w:rsidR="00D7351F" w:rsidRDefault="00607D68" w:rsidP="00D7351F">
    <w:pPr>
      <w:pStyle w:val="Header"/>
    </w:pPr>
    <w:r>
      <w:tab/>
    </w:r>
    <w:fldSimple w:instr=" DOCPROPERTY &quot;Header&quot; \* MERGEFORMAT ">
      <w:r w:rsidR="007F756A" w:rsidRPr="007F756A">
        <w:rPr>
          <w:b/>
          <w:bCs/>
        </w:rPr>
        <w:t xml:space="preserve">Rec. </w:t>
      </w:r>
    </w:fldSimple>
    <w:r>
      <w:rPr>
        <w:b/>
        <w:bCs/>
      </w:rPr>
      <w:t xml:space="preserve"> </w:t>
    </w:r>
    <w:r>
      <w:rPr>
        <w:b/>
        <w:bCs/>
      </w:rPr>
      <w:fldChar w:fldCharType="begin"/>
    </w:r>
    <w:r>
      <w:rPr>
        <w:b/>
        <w:bCs/>
      </w:rPr>
      <w:instrText>styleref href</w:instrText>
    </w:r>
    <w:r>
      <w:rPr>
        <w:b/>
        <w:bCs/>
      </w:rPr>
      <w:fldChar w:fldCharType="separate"/>
    </w:r>
    <w:r w:rsidR="007F756A">
      <w:rPr>
        <w:b/>
        <w:bCs/>
        <w:noProof/>
      </w:rPr>
      <w:t>UIT-R  BS.1285-1</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sidR="00242AEE">
      <w:rPr>
        <w:rStyle w:val="PageNumber"/>
        <w:b/>
        <w:bCs/>
        <w:noProof/>
      </w:rPr>
      <w:t>1</w:t>
    </w:r>
    <w:r>
      <w:rPr>
        <w:rStyle w:val="PageNumber"/>
        <w:b/>
        <w:bC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mirrorMargins/>
  <w:hideSpellingErrors/>
  <w:hideGrammaticalErrors/>
  <w:activeWritingStyle w:appName="MSWord" w:lang="en-US" w:vendorID="64" w:dllVersion="5" w:nlCheck="1" w:checkStyle="0"/>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51F"/>
    <w:rsid w:val="00217EBF"/>
    <w:rsid w:val="00242AEE"/>
    <w:rsid w:val="002A2AAA"/>
    <w:rsid w:val="002D76C4"/>
    <w:rsid w:val="0052529D"/>
    <w:rsid w:val="005D1FC2"/>
    <w:rsid w:val="00607D68"/>
    <w:rsid w:val="007468DA"/>
    <w:rsid w:val="007F756A"/>
    <w:rsid w:val="009B0496"/>
    <w:rsid w:val="009E00A8"/>
    <w:rsid w:val="00A05B75"/>
    <w:rsid w:val="00A6617B"/>
    <w:rsid w:val="00AB0DC8"/>
    <w:rsid w:val="00B44E24"/>
    <w:rsid w:val="00D7351F"/>
    <w:rsid w:val="00DC2B47"/>
    <w:rsid w:val="00DF41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3861FFD"/>
  <w15:docId w15:val="{C29D9AA1-0141-4BF3-9B8E-F74B0FB94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351F"/>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qFormat/>
    <w:pPr>
      <w:keepNext/>
      <w:keepLine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992"/>
      </w:tabs>
      <w:ind w:left="992" w:hanging="992"/>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992"/>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pPr>
      <w:tabs>
        <w:tab w:val="clear" w:pos="794"/>
        <w:tab w:val="clear" w:pos="1191"/>
        <w:tab w:val="clear" w:pos="1588"/>
        <w:tab w:val="clear" w:pos="1985"/>
      </w:tabs>
      <w:spacing w:before="0"/>
    </w:pPr>
    <w:rPr>
      <w:noProof/>
      <w:sz w:val="18"/>
    </w:rPr>
  </w:style>
  <w:style w:type="character" w:styleId="PageNumber">
    <w:name w:val="page number"/>
    <w:basedOn w:val="DefaultParagraphFont"/>
  </w:style>
  <w:style w:type="paragraph" w:customStyle="1" w:styleId="Headingb">
    <w:name w:val="Heading_b"/>
    <w:basedOn w:val="Heading3"/>
    <w:next w:val="Normal"/>
    <w:link w:val="HeadingbChar"/>
    <w:pPr>
      <w:spacing w:before="160"/>
      <w:ind w:left="0" w:firstLine="0"/>
      <w:outlineLvl w:val="9"/>
    </w:pPr>
  </w:style>
  <w:style w:type="paragraph" w:customStyle="1" w:styleId="Headingi">
    <w:name w:val="Heading_i"/>
    <w:basedOn w:val="Heading3"/>
    <w:next w:val="Normal"/>
    <w:pPr>
      <w:spacing w:before="160"/>
      <w:ind w:left="0" w:firstLine="0"/>
    </w:pPr>
    <w:rPr>
      <w:b w:val="0"/>
      <w:i/>
    </w:rPr>
  </w:style>
  <w:style w:type="character" w:customStyle="1" w:styleId="href">
    <w:name w:val="href"/>
    <w:basedOn w:val="DefaultParagraphFont"/>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_after_title"/>
    <w:basedOn w:val="Normal"/>
    <w:next w:val="Normal"/>
    <w:link w:val="NormalaftertitleChar"/>
    <w:pPr>
      <w:spacing w:before="320"/>
    </w:pPr>
  </w:style>
  <w:style w:type="paragraph" w:customStyle="1" w:styleId="Note">
    <w:name w:val="Note"/>
    <w:basedOn w:val="Normal"/>
    <w:pPr>
      <w:tabs>
        <w:tab w:val="clear" w:pos="794"/>
        <w:tab w:val="clear" w:pos="1191"/>
        <w:tab w:val="clear" w:pos="1588"/>
        <w:tab w:val="clear" w:pos="1985"/>
      </w:tabs>
      <w:spacing w:before="80"/>
    </w:pPr>
    <w:rPr>
      <w:sz w:val="22"/>
    </w:rPr>
  </w:style>
  <w:style w:type="paragraph" w:customStyle="1" w:styleId="RecNo">
    <w:name w:val="Rec_No"/>
    <w:basedOn w:val="Normal"/>
    <w:next w:val="Rectitle"/>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autoRedefine/>
    <w:rsid w:val="00242AEE"/>
    <w:pPr>
      <w:spacing w:before="240"/>
    </w:pPr>
    <w:rPr>
      <w:sz w:val="22"/>
      <w:lang w:val="es-ES_tradnl"/>
    </w:rPr>
  </w:style>
  <w:style w:type="paragraph" w:customStyle="1" w:styleId="Recref">
    <w:name w:val="Rec_ref"/>
    <w:basedOn w:val="Normal"/>
    <w:next w:val="Recdate"/>
    <w:pPr>
      <w:jc w:val="center"/>
    </w:pPr>
  </w:style>
  <w:style w:type="paragraph" w:customStyle="1" w:styleId="Recdate">
    <w:name w:val="Rec_date"/>
    <w:basedOn w:val="Recref"/>
    <w:next w:val="Normalaftertitle"/>
    <w:pPr>
      <w:jc w:val="right"/>
    </w:pPr>
  </w:style>
  <w:style w:type="paragraph" w:customStyle="1" w:styleId="AnnexNoTitle">
    <w:name w:val="Annex_NoTitle"/>
    <w:basedOn w:val="Normal"/>
    <w:next w:val="Normalaftertitle"/>
    <w:pPr>
      <w:keepNext/>
      <w:keepLines/>
      <w:spacing w:before="480" w:after="80"/>
      <w:jc w:val="center"/>
    </w:pPr>
    <w:rPr>
      <w:b/>
      <w:sz w:val="28"/>
    </w:rPr>
  </w:style>
  <w:style w:type="paragraph" w:customStyle="1" w:styleId="AppendixNoTitle">
    <w:name w:val="Appendix_NoTitle"/>
    <w:basedOn w:val="AnnexNoTitle"/>
    <w:next w:val="Normal"/>
  </w:style>
  <w:style w:type="paragraph" w:customStyle="1" w:styleId="Tablefin">
    <w:name w:val="Table_fin"/>
    <w:basedOn w:val="Normal"/>
    <w:next w:val="Normal"/>
    <w:pPr>
      <w:spacing w:before="0"/>
    </w:pPr>
    <w:rPr>
      <w:sz w:val="20"/>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pPr>
      <w:keepNext/>
      <w:spacing w:before="36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Indent"/>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pPr>
      <w:ind w:left="794"/>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DF4176"/>
    <w:pPr>
      <w:keepNext/>
      <w:keepLines/>
      <w:spacing w:before="480" w:after="80"/>
      <w:jc w:val="center"/>
    </w:pPr>
    <w:rPr>
      <w:caps/>
      <w:sz w:val="18"/>
    </w:rPr>
  </w:style>
  <w:style w:type="paragraph" w:customStyle="1" w:styleId="tocpart">
    <w:name w:val="tocpart"/>
    <w:basedOn w:val="Normal"/>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pPr>
      <w:keepNext/>
      <w:keepLines/>
      <w:spacing w:before="480"/>
      <w:jc w:val="center"/>
    </w:pPr>
    <w:rPr>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rPr>
  </w:style>
  <w:style w:type="paragraph" w:customStyle="1" w:styleId="ASN1">
    <w:name w:val="ASN.1"/>
    <w:basedOn w:val="Normal"/>
    <w:next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ArtNo"/>
    <w:next w:val="Chaptitle"/>
    <w:rPr>
      <w:b/>
    </w:rPr>
  </w:style>
  <w:style w:type="paragraph" w:customStyle="1" w:styleId="Chaptitle">
    <w:name w:val="Chap_title"/>
    <w:basedOn w:val="Arttitle"/>
    <w:next w:val="Normalaftertitle"/>
  </w:style>
  <w:style w:type="character" w:styleId="FootnoteReference">
    <w:name w:val="footnote reference"/>
    <w:basedOn w:val="DefaultParagraphFont"/>
    <w:semiHidden/>
    <w:rPr>
      <w:position w:val="6"/>
      <w:sz w:val="18"/>
    </w:rPr>
  </w:style>
  <w:style w:type="paragraph" w:styleId="FootnoteText">
    <w:name w:val="footnote text"/>
    <w:basedOn w:val="Normal"/>
    <w:semiHidden/>
    <w:pPr>
      <w:keepLines/>
      <w:tabs>
        <w:tab w:val="left" w:pos="255"/>
      </w:tabs>
      <w:ind w:left="255" w:hanging="255"/>
    </w:pPr>
    <w:rPr>
      <w:sz w:val="22"/>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Heading">
    <w:name w:val="index heading"/>
    <w:basedOn w:val="Normal"/>
    <w:next w:val="Index1"/>
    <w:semiHidden/>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rPr>
      <w:sz w:val="20"/>
    </w:rPr>
  </w:style>
  <w:style w:type="paragraph" w:customStyle="1" w:styleId="toctemp">
    <w:name w:val="toctemp"/>
    <w:basedOn w:val="Normal"/>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style>
  <w:style w:type="paragraph" w:customStyle="1" w:styleId="Partref">
    <w:name w:val="Part_ref"/>
    <w:basedOn w:val="Normal"/>
    <w:next w:val="Normal"/>
    <w:pPr>
      <w:keepNext/>
      <w:keepLines/>
      <w:spacing w:after="280"/>
      <w:jc w:val="center"/>
    </w:pPr>
  </w:style>
  <w:style w:type="paragraph" w:customStyle="1" w:styleId="Parttitle">
    <w:name w:val="Part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style>
  <w:style w:type="paragraph" w:customStyle="1" w:styleId="QuestionNo">
    <w:name w:val="Question_No"/>
    <w:basedOn w:val="RecNo"/>
    <w:next w:val="Normal"/>
  </w:style>
  <w:style w:type="paragraph" w:customStyle="1" w:styleId="Questionref">
    <w:name w:val="Question_ref"/>
    <w:basedOn w:val="Recref"/>
    <w:next w:val="Questiondate"/>
  </w:style>
  <w:style w:type="paragraph" w:customStyle="1" w:styleId="Questiontitle">
    <w:name w:val="Question_title"/>
    <w:basedOn w:val="Normal"/>
    <w:next w:val="Questionref"/>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ref">
    <w:name w:val="Res_ref"/>
    <w:basedOn w:val="Recref"/>
    <w:next w:val="Resdate"/>
  </w:style>
  <w:style w:type="paragraph" w:customStyle="1" w:styleId="Restitle">
    <w:name w:val="Res_title"/>
    <w:basedOn w:val="Normal"/>
    <w:next w:val="Resref"/>
    <w:rsid w:val="00AB0DC8"/>
    <w:pPr>
      <w:spacing w:before="240"/>
      <w:jc w:val="center"/>
    </w:pPr>
    <w:rPr>
      <w:b/>
      <w:sz w:val="28"/>
    </w:rPr>
  </w:style>
  <w:style w:type="paragraph" w:customStyle="1" w:styleId="SectionNo">
    <w:name w:val="Section_No"/>
    <w:basedOn w:val="Normal"/>
    <w:next w:val="Normal"/>
  </w:style>
  <w:style w:type="paragraph" w:customStyle="1" w:styleId="Sectiontitle">
    <w:name w:val="Section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pPr>
      <w:tabs>
        <w:tab w:val="clear" w:pos="794"/>
        <w:tab w:val="clear" w:pos="1191"/>
        <w:tab w:val="clear" w:pos="1588"/>
        <w:tab w:val="clear" w:pos="1985"/>
        <w:tab w:val="right" w:pos="9611"/>
      </w:tabs>
    </w:pPr>
    <w:rPr>
      <w:i/>
    </w:rPr>
  </w:style>
  <w:style w:type="paragraph" w:styleId="TOC1">
    <w:name w:val="toc 1"/>
    <w:basedOn w:val="Normal"/>
    <w:semiHidden/>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pPr>
      <w:tabs>
        <w:tab w:val="clear" w:pos="567"/>
        <w:tab w:val="left" w:pos="1276"/>
      </w:tabs>
      <w:spacing w:before="160"/>
      <w:ind w:left="1276" w:hanging="709"/>
    </w:pPr>
  </w:style>
  <w:style w:type="paragraph" w:styleId="TOC3">
    <w:name w:val="toc 3"/>
    <w:basedOn w:val="TOC2"/>
    <w:semiHidden/>
    <w:pPr>
      <w:tabs>
        <w:tab w:val="clear" w:pos="1276"/>
        <w:tab w:val="left" w:pos="2155"/>
      </w:tabs>
      <w:ind w:left="2155" w:hanging="879"/>
    </w:pPr>
  </w:style>
  <w:style w:type="paragraph" w:styleId="TOC4">
    <w:name w:val="toc 4"/>
    <w:basedOn w:val="TOC3"/>
    <w:semiHidden/>
    <w:pPr>
      <w:tabs>
        <w:tab w:val="left" w:pos="3261"/>
      </w:tabs>
      <w:spacing w:before="80"/>
      <w:ind w:left="3261" w:hanging="993"/>
    </w:pPr>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Rectitle">
    <w:name w:val="Rec_title"/>
    <w:basedOn w:val="Normal"/>
    <w:next w:val="Recref"/>
    <w:pPr>
      <w:keepNext/>
      <w:keepLines/>
      <w:spacing w:before="240"/>
      <w:jc w:val="center"/>
    </w:pPr>
    <w:rPr>
      <w:b/>
      <w:sz w:val="28"/>
    </w:rPr>
  </w:style>
  <w:style w:type="paragraph" w:customStyle="1" w:styleId="Annexref">
    <w:name w:val="Annex_ref"/>
    <w:basedOn w:val="Normal"/>
    <w:next w:val="Normalaftertitle"/>
    <w:pPr>
      <w:keepNext/>
      <w:keepLines/>
      <w:spacing w:after="280"/>
      <w:jc w:val="center"/>
    </w:pPr>
  </w:style>
  <w:style w:type="paragraph" w:customStyle="1" w:styleId="Appendixref">
    <w:name w:val="Appendix_ref"/>
    <w:basedOn w:val="Annexref"/>
    <w:next w:val="Normalaftertitle"/>
  </w:style>
  <w:style w:type="paragraph" w:customStyle="1" w:styleId="Figuretitle">
    <w:name w:val="Figure_title"/>
    <w:basedOn w:val="Normal"/>
    <w:next w:val="Figure"/>
    <w:pPr>
      <w:keepNext/>
      <w:spacing w:before="0" w:after="120"/>
      <w:jc w:val="center"/>
    </w:pPr>
    <w:rPr>
      <w:rFonts w:ascii="Times New Roman Bold" w:hAnsi="Times New Roman Bold"/>
      <w:b/>
      <w:sz w:val="18"/>
    </w:rPr>
  </w:style>
  <w:style w:type="paragraph" w:customStyle="1" w:styleId="Tabletitle">
    <w:name w:val="Table_title"/>
    <w:basedOn w:val="Normal"/>
    <w:next w:val="Tablehead"/>
    <w:pPr>
      <w:keepNext/>
      <w:spacing w:before="0" w:after="120"/>
      <w:jc w:val="center"/>
    </w:pPr>
    <w:rPr>
      <w:b/>
    </w:rPr>
  </w:style>
  <w:style w:type="paragraph" w:customStyle="1" w:styleId="Summary">
    <w:name w:val="Summary"/>
    <w:basedOn w:val="Normal"/>
    <w:next w:val="Normalaftertitle"/>
    <w:autoRedefine/>
    <w:rsid w:val="00242AEE"/>
    <w:pPr>
      <w:spacing w:after="480"/>
    </w:pPr>
    <w:rPr>
      <w:sz w:val="22"/>
      <w:lang w:val="es-ES_tradnl"/>
    </w:rPr>
  </w:style>
  <w:style w:type="paragraph" w:customStyle="1" w:styleId="TableLegendNote">
    <w:name w:val="Table_Legend_Note"/>
    <w:basedOn w:val="Tablelegend"/>
    <w:next w:val="Tablelegend"/>
    <w:rsid w:val="007468DA"/>
    <w:pPr>
      <w:ind w:left="-85" w:firstLine="0"/>
    </w:pPr>
    <w:rPr>
      <w:lang w:val="en-US"/>
    </w:rPr>
  </w:style>
  <w:style w:type="paragraph" w:customStyle="1" w:styleId="Figure">
    <w:name w:val="Figure"/>
    <w:basedOn w:val="FigureNo"/>
    <w:next w:val="Normal"/>
    <w:rsid w:val="00A6617B"/>
    <w:pPr>
      <w:keepNext w:val="0"/>
      <w:spacing w:before="0" w:after="240"/>
    </w:pPr>
  </w:style>
  <w:style w:type="character" w:styleId="Hyperlink">
    <w:name w:val="Hyperlink"/>
    <w:basedOn w:val="DefaultParagraphFont"/>
    <w:rsid w:val="00D7351F"/>
    <w:rPr>
      <w:color w:val="0000FF"/>
      <w:u w:val="single"/>
    </w:rPr>
  </w:style>
  <w:style w:type="character" w:customStyle="1" w:styleId="HeaderChar">
    <w:name w:val="Header Char"/>
    <w:basedOn w:val="DefaultParagraphFont"/>
    <w:link w:val="Header"/>
    <w:uiPriority w:val="99"/>
    <w:rsid w:val="00D7351F"/>
    <w:rPr>
      <w:sz w:val="24"/>
      <w:lang w:val="en-GB" w:eastAsia="en-US"/>
    </w:rPr>
  </w:style>
  <w:style w:type="table" w:styleId="TableGrid">
    <w:name w:val="Table Grid"/>
    <w:basedOn w:val="TableNormal"/>
    <w:uiPriority w:val="39"/>
    <w:rsid w:val="00D7351F"/>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Number">
    <w:name w:val="Cover Number"/>
    <w:basedOn w:val="Normal"/>
    <w:qFormat/>
    <w:rsid w:val="00D7351F"/>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D7351F"/>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D7351F"/>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D7351F"/>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character" w:customStyle="1" w:styleId="Heading1Char">
    <w:name w:val="Heading 1 Char"/>
    <w:basedOn w:val="DefaultParagraphFont"/>
    <w:link w:val="Heading1"/>
    <w:rsid w:val="00D7351F"/>
    <w:rPr>
      <w:b/>
      <w:sz w:val="24"/>
      <w:lang w:val="en-GB" w:eastAsia="en-US"/>
    </w:rPr>
  </w:style>
  <w:style w:type="character" w:customStyle="1" w:styleId="NormalaftertitleChar">
    <w:name w:val="Normal_after_title Char"/>
    <w:link w:val="Normalaftertitle"/>
    <w:locked/>
    <w:rsid w:val="00D7351F"/>
    <w:rPr>
      <w:sz w:val="24"/>
      <w:lang w:val="fr-FR" w:eastAsia="en-US"/>
    </w:rPr>
  </w:style>
  <w:style w:type="character" w:customStyle="1" w:styleId="CallChar">
    <w:name w:val="Call Char"/>
    <w:link w:val="Call"/>
    <w:locked/>
    <w:rsid w:val="00D7351F"/>
    <w:rPr>
      <w:i/>
      <w:sz w:val="24"/>
      <w:lang w:val="fr-FR" w:eastAsia="en-US"/>
    </w:rPr>
  </w:style>
  <w:style w:type="character" w:customStyle="1" w:styleId="enumlev1Char">
    <w:name w:val="enumlev1 Char"/>
    <w:basedOn w:val="DefaultParagraphFont"/>
    <w:link w:val="enumlev1"/>
    <w:locked/>
    <w:rsid w:val="00D7351F"/>
    <w:rPr>
      <w:sz w:val="24"/>
      <w:lang w:val="fr-FR" w:eastAsia="en-US"/>
    </w:rPr>
  </w:style>
  <w:style w:type="character" w:customStyle="1" w:styleId="HeadingbChar">
    <w:name w:val="Heading_b Char"/>
    <w:link w:val="Headingb"/>
    <w:locked/>
    <w:rsid w:val="00D7351F"/>
    <w:rPr>
      <w:b/>
      <w:sz w:val="24"/>
      <w:lang w:val="en-GB" w:eastAsia="en-US"/>
    </w:rPr>
  </w:style>
  <w:style w:type="paragraph" w:customStyle="1" w:styleId="AnnexNoTitleLeft">
    <w:name w:val="Annex_NoTitle + Left"/>
    <w:basedOn w:val="AnnexNoTitle"/>
    <w:rsid w:val="00D7351F"/>
    <w:pPr>
      <w:tabs>
        <w:tab w:val="left" w:pos="741"/>
        <w:tab w:val="center" w:pos="4819"/>
      </w:tabs>
      <w:jc w:val="left"/>
    </w:pPr>
    <w:rPr>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itu.int/rec/R-REC-BS.1116/fr" TargetMode="External"/><Relationship Id="rId18" Type="http://schemas.openxmlformats.org/officeDocument/2006/relationships/hyperlink" Target="https://www.itu.int/rec/R-REC-BS.1116/fr" TargetMode="External"/><Relationship Id="rId26" Type="http://schemas.openxmlformats.org/officeDocument/2006/relationships/hyperlink" Target="https://www.itu.int/rec/R-REC-BS.1116/fr" TargetMode="External"/><Relationship Id="rId3" Type="http://schemas.openxmlformats.org/officeDocument/2006/relationships/webSettings" Target="webSettings.xml"/><Relationship Id="rId21" Type="http://schemas.openxmlformats.org/officeDocument/2006/relationships/hyperlink" Target="https://www.itu.int/rec/R-REC-BS.1116/fr" TargetMode="Externa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hyperlink" Target="https://www.itu.int/rec/R-REC-BS.1116/fr" TargetMode="External"/><Relationship Id="rId25" Type="http://schemas.openxmlformats.org/officeDocument/2006/relationships/hyperlink" Target="https://www.itu.int/rec/R-REC-BS.1116/fr" TargetMode="External"/><Relationship Id="rId2" Type="http://schemas.openxmlformats.org/officeDocument/2006/relationships/settings" Target="settings.xml"/><Relationship Id="rId16" Type="http://schemas.openxmlformats.org/officeDocument/2006/relationships/hyperlink" Target="https://www.itu.int/rec/R-REC-BS.1116/fr" TargetMode="External"/><Relationship Id="rId20" Type="http://schemas.openxmlformats.org/officeDocument/2006/relationships/hyperlink" Target="https://www.itu.int/rec/R-REC-BS.1116/fr" TargetMode="External"/><Relationship Id="rId29"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3.xml"/><Relationship Id="rId24" Type="http://schemas.openxmlformats.org/officeDocument/2006/relationships/hyperlink" Target="https://www.itu.int/rec/R-REC-BS.1116/fr"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itu.int/rec/R-REC-BS.1116/fr" TargetMode="External"/><Relationship Id="rId23" Type="http://schemas.openxmlformats.org/officeDocument/2006/relationships/hyperlink" Target="https://www.itu.int/rec/R-REC-BS.1116/fr" TargetMode="External"/><Relationship Id="rId28" Type="http://schemas.openxmlformats.org/officeDocument/2006/relationships/header" Target="header5.xml"/><Relationship Id="rId10" Type="http://schemas.openxmlformats.org/officeDocument/2006/relationships/hyperlink" Target="https://www.itu.int/publ/R-REC/fr" TargetMode="External"/><Relationship Id="rId19" Type="http://schemas.openxmlformats.org/officeDocument/2006/relationships/hyperlink" Target="https://www.itu.int/rec/R-REC-BS.1116/fr"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itu.int/ITU-R/go/patents/fr" TargetMode="External"/><Relationship Id="rId14" Type="http://schemas.openxmlformats.org/officeDocument/2006/relationships/hyperlink" Target="https://www.itu.int/rec/R-REC-BS.1116/fr" TargetMode="External"/><Relationship Id="rId22" Type="http://schemas.openxmlformats.org/officeDocument/2006/relationships/hyperlink" Target="https://www.itu.int/rec/R-REC-BS.1116/fr" TargetMode="External"/><Relationship Id="rId27" Type="http://schemas.openxmlformats.org/officeDocument/2006/relationships/hyperlink" Target="https://www.itu.int/rec/R-REC-BS.1116/fr" TargetMode="External"/><Relationship Id="rId3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BR_Rec_2005.dotm</Template>
  <TotalTime>8</TotalTime>
  <Pages>6</Pages>
  <Words>1734</Words>
  <Characters>11134</Characters>
  <Application>Microsoft Office Word</Application>
  <DocSecurity>0</DocSecurity>
  <Lines>484</Lines>
  <Paragraphs>54</Paragraphs>
  <ScaleCrop>false</ScaleCrop>
  <HeadingPairs>
    <vt:vector size="2" baseType="variant">
      <vt:variant>
        <vt:lpstr>Title</vt:lpstr>
      </vt:variant>
      <vt:variant>
        <vt:i4>1</vt:i4>
      </vt:variant>
    </vt:vector>
  </HeadingPairs>
  <TitlesOfParts>
    <vt:vector size="1" baseType="lpstr">
      <vt:lpstr>Template BR_Rec_2005.dot</vt:lpstr>
    </vt:vector>
  </TitlesOfParts>
  <Manager/>
  <Company>ITU</Company>
  <LinksUpToDate>false</LinksUpToDate>
  <CharactersWithSpaces>12814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Recommandation UIT-R BS.1285-1 (05/2023) Méthodes de présélection pour l'évaluation subjective des dégradations faibles dans les systèmes audio</dc:title>
  <dc:subject/>
  <dc:creator>Gachet, Christelle</dc:creator>
  <cp:keywords/>
  <dc:description/>
  <cp:lastModifiedBy>Gachet, Christelle</cp:lastModifiedBy>
  <cp:revision>6</cp:revision>
  <cp:lastPrinted>2024-03-11T10:15:00Z</cp:lastPrinted>
  <dcterms:created xsi:type="dcterms:W3CDTF">2024-03-11T10:05:00Z</dcterms:created>
  <dcterms:modified xsi:type="dcterms:W3CDTF">2024-03-11T10:17:00Z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