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18C7" w14:textId="77777777" w:rsidR="00FE79FE" w:rsidRDefault="00FE79FE"/>
    <w:p w14:paraId="34178088" w14:textId="77777777" w:rsidR="00013002" w:rsidRDefault="00013002" w:rsidP="00DE5556">
      <w:pPr>
        <w:tabs>
          <w:tab w:val="clear" w:pos="794"/>
          <w:tab w:val="clear" w:pos="1191"/>
          <w:tab w:val="clear" w:pos="1588"/>
          <w:tab w:val="clear" w:pos="1985"/>
        </w:tabs>
      </w:pPr>
    </w:p>
    <w:p w14:paraId="04AAAD2A" w14:textId="50CD3E96" w:rsidR="004A6FEB" w:rsidRPr="004A6FEB" w:rsidRDefault="004A6FEB" w:rsidP="00E87F83">
      <w:pPr>
        <w:pStyle w:val="CoverNumber"/>
      </w:pPr>
      <w:r w:rsidRPr="00A86DD2">
        <w:t>Recommendation</w:t>
      </w:r>
      <w:r w:rsidRPr="004A6FEB">
        <w:t xml:space="preserve"> ITU-R</w:t>
      </w:r>
      <w:r w:rsidRPr="0036627C">
        <w:t xml:space="preserve"> </w:t>
      </w:r>
      <w:r w:rsidR="0036627C">
        <w:t>BO.</w:t>
      </w:r>
      <w:r w:rsidR="00E87F83" w:rsidRPr="00E87F83">
        <w:rPr>
          <w:lang w:val="en-GB"/>
        </w:rPr>
        <w:t>789-3</w:t>
      </w:r>
    </w:p>
    <w:p w14:paraId="22C1C9E0" w14:textId="2B103C76" w:rsidR="004A6FEB" w:rsidRPr="004A6FEB" w:rsidRDefault="004A6FEB" w:rsidP="0036627C">
      <w:pPr>
        <w:pStyle w:val="CoverDate"/>
      </w:pPr>
      <w:r w:rsidRPr="004A6FEB">
        <w:t>(</w:t>
      </w:r>
      <w:r w:rsidR="00E87F83">
        <w:t>02</w:t>
      </w:r>
      <w:r w:rsidRPr="004A6FEB">
        <w:t>/</w:t>
      </w:r>
      <w:r w:rsidR="00E87F83">
        <w:t>2026</w:t>
      </w:r>
      <w:r w:rsidRPr="004A6FEB">
        <w:t>)</w:t>
      </w:r>
    </w:p>
    <w:p w14:paraId="7F6A50E4" w14:textId="77777777" w:rsidR="004A6FEB" w:rsidRPr="004A6FEB" w:rsidRDefault="0036627C" w:rsidP="0036627C">
      <w:pPr>
        <w:pStyle w:val="CoverSeries"/>
      </w:pPr>
      <w:r>
        <w:t>BO</w:t>
      </w:r>
      <w:r w:rsidR="004A6FEB" w:rsidRPr="00A86DD2">
        <w:t xml:space="preserve"> </w:t>
      </w:r>
      <w:r w:rsidR="004A6FEB" w:rsidRPr="004A6FEB">
        <w:t>Series:</w:t>
      </w:r>
      <w:r w:rsidR="004A6FEB" w:rsidRPr="00A86DD2">
        <w:t xml:space="preserve"> </w:t>
      </w:r>
      <w:r w:rsidRPr="0036627C">
        <w:t>Satellite delivery</w:t>
      </w:r>
    </w:p>
    <w:p w14:paraId="2CAE35B6" w14:textId="4C4C4862" w:rsidR="004A6FEB" w:rsidRPr="004A6FEB" w:rsidRDefault="00E87F83" w:rsidP="00E87F83">
      <w:pPr>
        <w:pStyle w:val="CoverTitle"/>
      </w:pPr>
      <w:r w:rsidRPr="00E87F83">
        <w:rPr>
          <w:lang w:val="en-GB"/>
        </w:rPr>
        <w:t>Service for digital sound broadcasting to vehicular portable and fixed receivers for broadcasting-satellite service (sound) in the frequency range</w:t>
      </w:r>
      <w:r w:rsidR="00156F06">
        <w:rPr>
          <w:lang w:val="en-GB"/>
        </w:rPr>
        <w:t xml:space="preserve"> </w:t>
      </w:r>
      <w:r w:rsidRPr="00E87F83">
        <w:rPr>
          <w:lang w:val="en-GB"/>
        </w:rPr>
        <w:t>1</w:t>
      </w:r>
      <w:r w:rsidR="00156F06">
        <w:rPr>
          <w:lang w:val="en-GB"/>
        </w:rPr>
        <w:t> </w:t>
      </w:r>
      <w:r w:rsidRPr="00E87F83">
        <w:rPr>
          <w:lang w:val="en-GB"/>
        </w:rPr>
        <w:t>400</w:t>
      </w:r>
      <w:r w:rsidR="00156F06" w:rsidRPr="00156F06">
        <w:rPr>
          <w:rStyle w:val="ui-provider"/>
          <w:lang w:val="en-GB"/>
        </w:rPr>
        <w:noBreakHyphen/>
      </w:r>
      <w:r w:rsidRPr="00E87F83">
        <w:rPr>
          <w:lang w:val="en-GB"/>
        </w:rPr>
        <w:t>2</w:t>
      </w:r>
      <w:r>
        <w:rPr>
          <w:lang w:val="en-GB"/>
        </w:rPr>
        <w:t> </w:t>
      </w:r>
      <w:r w:rsidRPr="00E87F83">
        <w:rPr>
          <w:lang w:val="en-GB"/>
        </w:rPr>
        <w:t>700 MHz</w:t>
      </w:r>
    </w:p>
    <w:p w14:paraId="324F5CC3" w14:textId="77777777" w:rsidR="00FE79FE" w:rsidRPr="005373E0" w:rsidRDefault="00FE79FE" w:rsidP="005373E0">
      <w:pPr>
        <w:rPr>
          <w:lang w:val="en-US"/>
        </w:rPr>
      </w:pPr>
    </w:p>
    <w:p w14:paraId="29A66FEB" w14:textId="77777777" w:rsidR="00A71FE5" w:rsidRPr="005373E0" w:rsidRDefault="00A71FE5" w:rsidP="005373E0"/>
    <w:p w14:paraId="7120645B" w14:textId="77777777" w:rsidR="00EE47C4" w:rsidRPr="005373E0" w:rsidRDefault="00EE47C4" w:rsidP="005373E0">
      <w:p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02B6FD09"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4115ED0E" w14:textId="77777777" w:rsidR="00586EF8" w:rsidRDefault="00586EF8" w:rsidP="00586EF8">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01340111"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43199E86" w14:textId="54619140" w:rsidR="00B714F3" w:rsidRPr="00B714F3" w:rsidRDefault="00FE1B04" w:rsidP="002F5199">
      <w:pPr>
        <w:pStyle w:val="Heading1"/>
        <w:spacing w:before="680"/>
        <w:jc w:val="center"/>
        <w:rPr>
          <w:szCs w:val="24"/>
          <w:lang w:val="en-US"/>
        </w:rPr>
      </w:pPr>
      <w:r w:rsidRPr="00B714F3">
        <w:rPr>
          <w:szCs w:val="24"/>
          <w:lang w:val="en-US"/>
        </w:rPr>
        <w:t>INTELLECTUAL PROPERTY RIGHT</w:t>
      </w:r>
      <w:r w:rsidR="00D01985">
        <w:rPr>
          <w:szCs w:val="24"/>
          <w:lang w:val="en-US"/>
        </w:rPr>
        <w:t>S</w:t>
      </w:r>
    </w:p>
    <w:p w14:paraId="03755F73" w14:textId="77777777" w:rsidR="00FE1B04" w:rsidRPr="00FE1B04" w:rsidRDefault="00FE1B04" w:rsidP="00FE1B04">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48E3611C" w14:textId="22F2195C" w:rsidR="00B714F3" w:rsidRPr="00B714F3" w:rsidRDefault="00FE1B04" w:rsidP="00FE1B04">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1" w:history="1">
        <w:r w:rsidRPr="00FE1B04">
          <w:rPr>
            <w:color w:val="0000FF"/>
            <w:sz w:val="20"/>
            <w:u w:val="single"/>
            <w:lang w:val="en-US"/>
          </w:rPr>
          <w:t>https://www.itu.int/en/ITU-R/study-groups/Pages/itu-r-patent-information.aspx</w:t>
        </w:r>
      </w:hyperlink>
      <w:r w:rsidR="00B714F3" w:rsidRPr="00B714F3">
        <w:rPr>
          <w:sz w:val="20"/>
          <w:lang w:val="en-US"/>
        </w:rPr>
        <w:t xml:space="preserve">. </w:t>
      </w:r>
    </w:p>
    <w:p w14:paraId="6DE06424" w14:textId="77777777" w:rsidR="00A971A1" w:rsidRDefault="00A971A1" w:rsidP="00586EF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036EE3" w:rsidRPr="00576D47" w14:paraId="7A885FBD" w14:textId="77777777" w:rsidTr="00330E3E">
        <w:tc>
          <w:tcPr>
            <w:tcW w:w="9360" w:type="dxa"/>
            <w:gridSpan w:val="2"/>
          </w:tcPr>
          <w:p w14:paraId="546EB588"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3637175F"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2"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71890293" w14:textId="77777777" w:rsidTr="00330E3E">
        <w:tc>
          <w:tcPr>
            <w:tcW w:w="1140" w:type="dxa"/>
            <w:tcBorders>
              <w:bottom w:val="nil"/>
            </w:tcBorders>
            <w:vAlign w:val="bottom"/>
          </w:tcPr>
          <w:p w14:paraId="5CCDD9C2"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6027CA4E"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25988CFB" w14:textId="77777777" w:rsidTr="00330E3E">
        <w:tc>
          <w:tcPr>
            <w:tcW w:w="1140" w:type="dxa"/>
            <w:tcBorders>
              <w:top w:val="nil"/>
              <w:bottom w:val="nil"/>
            </w:tcBorders>
            <w:shd w:val="clear" w:color="auto" w:fill="F3F3F3"/>
          </w:tcPr>
          <w:p w14:paraId="3034C55A" w14:textId="77777777" w:rsidR="00A31928" w:rsidRPr="00F92A40" w:rsidRDefault="00A31928" w:rsidP="006B1D2B">
            <w:pPr>
              <w:spacing w:before="30" w:after="30"/>
              <w:ind w:left="57"/>
              <w:jc w:val="left"/>
              <w:rPr>
                <w:rFonts w:hAnsi="Times New Roman Bold"/>
                <w:b/>
                <w:color w:val="000080"/>
                <w:sz w:val="20"/>
                <w:lang w:val="en-US"/>
              </w:rPr>
            </w:pPr>
            <w:r w:rsidRPr="00F92A40">
              <w:rPr>
                <w:rFonts w:hAnsi="Times New Roman Bold"/>
                <w:b/>
                <w:color w:val="000080"/>
                <w:sz w:val="20"/>
                <w:lang w:val="en-US"/>
              </w:rPr>
              <w:t>BO</w:t>
            </w:r>
          </w:p>
        </w:tc>
        <w:tc>
          <w:tcPr>
            <w:tcW w:w="8220" w:type="dxa"/>
            <w:tcBorders>
              <w:top w:val="nil"/>
              <w:bottom w:val="nil"/>
            </w:tcBorders>
            <w:shd w:val="clear" w:color="auto" w:fill="F3F3F3"/>
          </w:tcPr>
          <w:p w14:paraId="7383E296" w14:textId="77777777" w:rsidR="00A31928" w:rsidRPr="00F92A40"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F92A40">
              <w:rPr>
                <w:rFonts w:hAnsi="Times New Roman Bold"/>
                <w:color w:val="000080"/>
                <w:sz w:val="20"/>
                <w:lang w:val="en-US"/>
              </w:rPr>
              <w:t>Satellite delivery</w:t>
            </w:r>
          </w:p>
        </w:tc>
      </w:tr>
      <w:tr w:rsidR="00A31928" w:rsidRPr="00576D47" w14:paraId="5954EE31" w14:textId="77777777" w:rsidTr="00330E3E">
        <w:tc>
          <w:tcPr>
            <w:tcW w:w="1140" w:type="dxa"/>
            <w:tcBorders>
              <w:top w:val="nil"/>
            </w:tcBorders>
          </w:tcPr>
          <w:p w14:paraId="68652FA8" w14:textId="77777777" w:rsidR="00A31928" w:rsidRPr="00036EE3" w:rsidRDefault="00A31928" w:rsidP="006B1D2B">
            <w:pPr>
              <w:spacing w:before="30" w:after="30"/>
              <w:ind w:left="57"/>
              <w:jc w:val="left"/>
              <w:rPr>
                <w:b/>
                <w:bCs/>
                <w:sz w:val="20"/>
                <w:lang w:val="en-US"/>
              </w:rPr>
            </w:pPr>
            <w:r w:rsidRPr="00036EE3">
              <w:rPr>
                <w:b/>
                <w:bCs/>
                <w:sz w:val="20"/>
                <w:lang w:val="en-US"/>
              </w:rPr>
              <w:t>BR</w:t>
            </w:r>
          </w:p>
        </w:tc>
        <w:tc>
          <w:tcPr>
            <w:tcW w:w="8220" w:type="dxa"/>
            <w:tcBorders>
              <w:top w:val="nil"/>
            </w:tcBorders>
          </w:tcPr>
          <w:p w14:paraId="0CE21BE6"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A31928" w:rsidRPr="00036EE3" w14:paraId="63AADDB8" w14:textId="77777777" w:rsidTr="00330E3E">
        <w:tc>
          <w:tcPr>
            <w:tcW w:w="1140" w:type="dxa"/>
          </w:tcPr>
          <w:p w14:paraId="2A42AB03"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5AA76A6E"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3F9F5A9F" w14:textId="77777777" w:rsidTr="00330E3E">
        <w:tc>
          <w:tcPr>
            <w:tcW w:w="1140" w:type="dxa"/>
          </w:tcPr>
          <w:p w14:paraId="2D08BAEE"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tcPr>
          <w:p w14:paraId="42F80332"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2BC0F778" w14:textId="77777777" w:rsidTr="00330E3E">
        <w:tc>
          <w:tcPr>
            <w:tcW w:w="1140" w:type="dxa"/>
          </w:tcPr>
          <w:p w14:paraId="5F646E36"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tcPr>
          <w:p w14:paraId="2AE4EF66"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A31928" w:rsidRPr="00036EE3" w14:paraId="1E0E8555" w14:textId="77777777" w:rsidTr="00330E3E">
        <w:tc>
          <w:tcPr>
            <w:tcW w:w="1140" w:type="dxa"/>
          </w:tcPr>
          <w:p w14:paraId="24E28126" w14:textId="77777777" w:rsidR="00A31928" w:rsidRPr="00906589" w:rsidRDefault="00A31928" w:rsidP="006B1D2B">
            <w:pPr>
              <w:spacing w:before="30" w:after="30"/>
              <w:ind w:left="57"/>
              <w:jc w:val="left"/>
              <w:rPr>
                <w:b/>
                <w:bCs/>
                <w:sz w:val="20"/>
                <w:lang w:val="en-US"/>
              </w:rPr>
            </w:pPr>
            <w:r w:rsidRPr="00906589">
              <w:rPr>
                <w:b/>
                <w:bCs/>
                <w:sz w:val="20"/>
                <w:lang w:val="en-US"/>
              </w:rPr>
              <w:t>M</w:t>
            </w:r>
          </w:p>
        </w:tc>
        <w:tc>
          <w:tcPr>
            <w:tcW w:w="8220" w:type="dxa"/>
          </w:tcPr>
          <w:p w14:paraId="20815E61" w14:textId="77777777" w:rsidR="00A31928" w:rsidRPr="0090658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A31928" w:rsidRPr="00036EE3" w14:paraId="0E21DEDB" w14:textId="77777777" w:rsidTr="00330E3E">
        <w:tc>
          <w:tcPr>
            <w:tcW w:w="1140" w:type="dxa"/>
          </w:tcPr>
          <w:p w14:paraId="2E1DDC68" w14:textId="77777777" w:rsidR="00A31928" w:rsidRPr="00036EE3" w:rsidRDefault="00A31928" w:rsidP="006B1D2B">
            <w:pPr>
              <w:spacing w:before="30" w:after="30"/>
              <w:ind w:left="57"/>
              <w:jc w:val="left"/>
              <w:rPr>
                <w:b/>
                <w:bCs/>
                <w:sz w:val="20"/>
                <w:lang w:val="fr-CH"/>
              </w:rPr>
            </w:pPr>
            <w:r w:rsidRPr="00036EE3">
              <w:rPr>
                <w:b/>
                <w:bCs/>
                <w:sz w:val="20"/>
                <w:lang w:val="fr-CH"/>
              </w:rPr>
              <w:t>P</w:t>
            </w:r>
          </w:p>
        </w:tc>
        <w:tc>
          <w:tcPr>
            <w:tcW w:w="8220" w:type="dxa"/>
          </w:tcPr>
          <w:p w14:paraId="4A9D430B" w14:textId="3D912635" w:rsidR="00A31928" w:rsidRPr="00036EE3" w:rsidRDefault="00A31928" w:rsidP="006B1D2B">
            <w:pPr>
              <w:spacing w:before="30" w:after="30"/>
              <w:jc w:val="left"/>
              <w:rPr>
                <w:sz w:val="20"/>
                <w:lang w:val="fr-CH"/>
              </w:rPr>
            </w:pPr>
            <w:r w:rsidRPr="00036EE3">
              <w:rPr>
                <w:sz w:val="20"/>
                <w:lang w:val="fr-CH"/>
              </w:rPr>
              <w:t>Radio</w:t>
            </w:r>
            <w:r w:rsidR="007921F8">
              <w:rPr>
                <w:sz w:val="20"/>
                <w:lang w:val="fr-CH"/>
              </w:rPr>
              <w:t>-</w:t>
            </w:r>
            <w:proofErr w:type="spellStart"/>
            <w:r w:rsidRPr="00036EE3">
              <w:rPr>
                <w:sz w:val="20"/>
                <w:lang w:val="fr-CH"/>
              </w:rPr>
              <w:t>wave</w:t>
            </w:r>
            <w:proofErr w:type="spellEnd"/>
            <w:r w:rsidRPr="00036EE3">
              <w:rPr>
                <w:sz w:val="20"/>
                <w:lang w:val="fr-CH"/>
              </w:rPr>
              <w:t xml:space="preserve"> propagation</w:t>
            </w:r>
          </w:p>
        </w:tc>
      </w:tr>
      <w:tr w:rsidR="00A31928" w:rsidRPr="00036EE3" w14:paraId="07F5237B" w14:textId="77777777" w:rsidTr="00330E3E">
        <w:tc>
          <w:tcPr>
            <w:tcW w:w="1140" w:type="dxa"/>
          </w:tcPr>
          <w:p w14:paraId="446F3394" w14:textId="77777777" w:rsidR="00A31928" w:rsidRPr="00036EE3" w:rsidRDefault="00A31928" w:rsidP="006B1D2B">
            <w:pPr>
              <w:spacing w:before="30" w:after="30"/>
              <w:ind w:left="57"/>
              <w:jc w:val="left"/>
              <w:rPr>
                <w:b/>
                <w:bCs/>
                <w:sz w:val="20"/>
                <w:lang w:val="en-US"/>
              </w:rPr>
            </w:pPr>
            <w:r w:rsidRPr="00036EE3">
              <w:rPr>
                <w:b/>
                <w:bCs/>
                <w:sz w:val="20"/>
                <w:lang w:val="en-US"/>
              </w:rPr>
              <w:t>RA</w:t>
            </w:r>
          </w:p>
        </w:tc>
        <w:tc>
          <w:tcPr>
            <w:tcW w:w="8220" w:type="dxa"/>
          </w:tcPr>
          <w:p w14:paraId="791A7B32"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A31928" w:rsidRPr="00036EE3" w14:paraId="10CF9D91" w14:textId="77777777" w:rsidTr="00330E3E">
        <w:tc>
          <w:tcPr>
            <w:tcW w:w="1140" w:type="dxa"/>
          </w:tcPr>
          <w:p w14:paraId="625ED1F7" w14:textId="77777777" w:rsidR="00A31928" w:rsidRPr="00036EE3" w:rsidRDefault="00A31928" w:rsidP="006B1D2B">
            <w:pPr>
              <w:spacing w:before="30" w:after="30"/>
              <w:ind w:left="57"/>
              <w:jc w:val="left"/>
              <w:rPr>
                <w:b/>
                <w:bCs/>
                <w:sz w:val="20"/>
                <w:lang w:val="en-US"/>
              </w:rPr>
            </w:pPr>
            <w:r w:rsidRPr="00036EE3">
              <w:rPr>
                <w:b/>
                <w:bCs/>
                <w:sz w:val="20"/>
                <w:lang w:val="en-US"/>
              </w:rPr>
              <w:t>RS</w:t>
            </w:r>
          </w:p>
        </w:tc>
        <w:tc>
          <w:tcPr>
            <w:tcW w:w="8220" w:type="dxa"/>
          </w:tcPr>
          <w:p w14:paraId="6AA9D7FB"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A31928" w:rsidRPr="00036EE3" w14:paraId="732A04F1" w14:textId="77777777" w:rsidTr="00330E3E">
        <w:tc>
          <w:tcPr>
            <w:tcW w:w="1140" w:type="dxa"/>
          </w:tcPr>
          <w:p w14:paraId="07DC6DF0" w14:textId="77777777" w:rsidR="00A31928" w:rsidRPr="00036EE3" w:rsidRDefault="00A31928" w:rsidP="006B1D2B">
            <w:pPr>
              <w:spacing w:before="30" w:after="30"/>
              <w:ind w:left="57"/>
              <w:jc w:val="left"/>
              <w:rPr>
                <w:b/>
                <w:bCs/>
                <w:sz w:val="20"/>
                <w:lang w:val="en-US"/>
              </w:rPr>
            </w:pPr>
            <w:r w:rsidRPr="00036EE3">
              <w:rPr>
                <w:b/>
                <w:bCs/>
                <w:sz w:val="20"/>
                <w:lang w:val="en-US"/>
              </w:rPr>
              <w:t>S</w:t>
            </w:r>
          </w:p>
        </w:tc>
        <w:tc>
          <w:tcPr>
            <w:tcW w:w="8220" w:type="dxa"/>
          </w:tcPr>
          <w:p w14:paraId="2E7254C0" w14:textId="77777777" w:rsidR="00A31928" w:rsidRPr="00036EE3" w:rsidRDefault="00A31928" w:rsidP="006B1D2B">
            <w:pPr>
              <w:spacing w:before="30" w:after="30"/>
              <w:jc w:val="left"/>
              <w:rPr>
                <w:sz w:val="20"/>
                <w:lang w:val="en-US"/>
              </w:rPr>
            </w:pPr>
            <w:r w:rsidRPr="00036EE3">
              <w:rPr>
                <w:sz w:val="20"/>
                <w:lang w:val="en-US"/>
              </w:rPr>
              <w:t>Fixed-satellite service</w:t>
            </w:r>
          </w:p>
        </w:tc>
      </w:tr>
      <w:tr w:rsidR="00A31928" w:rsidRPr="00036EE3" w14:paraId="2659A27E" w14:textId="77777777" w:rsidTr="00330E3E">
        <w:tc>
          <w:tcPr>
            <w:tcW w:w="1140" w:type="dxa"/>
          </w:tcPr>
          <w:p w14:paraId="2E0C7E6C" w14:textId="77777777" w:rsidR="00A31928" w:rsidRPr="00036EE3" w:rsidRDefault="00A31928" w:rsidP="006B1D2B">
            <w:pPr>
              <w:spacing w:before="30" w:after="30"/>
              <w:ind w:left="57"/>
              <w:jc w:val="left"/>
              <w:rPr>
                <w:b/>
                <w:bCs/>
                <w:sz w:val="20"/>
                <w:lang w:val="en-US"/>
              </w:rPr>
            </w:pPr>
            <w:r w:rsidRPr="00036EE3">
              <w:rPr>
                <w:b/>
                <w:bCs/>
                <w:sz w:val="20"/>
                <w:lang w:val="en-US"/>
              </w:rPr>
              <w:t>SA</w:t>
            </w:r>
          </w:p>
        </w:tc>
        <w:tc>
          <w:tcPr>
            <w:tcW w:w="8220" w:type="dxa"/>
          </w:tcPr>
          <w:p w14:paraId="305ACC3A" w14:textId="77777777" w:rsidR="00A31928" w:rsidRPr="00036EE3" w:rsidRDefault="00A31928" w:rsidP="006B1D2B">
            <w:pPr>
              <w:spacing w:before="30" w:after="30"/>
              <w:jc w:val="left"/>
              <w:rPr>
                <w:sz w:val="20"/>
                <w:lang w:val="en-US"/>
              </w:rPr>
            </w:pPr>
            <w:r w:rsidRPr="00036EE3">
              <w:rPr>
                <w:sz w:val="20"/>
                <w:lang w:val="en-US"/>
              </w:rPr>
              <w:t>Space applications and meteorology</w:t>
            </w:r>
          </w:p>
        </w:tc>
      </w:tr>
      <w:tr w:rsidR="00A31928" w:rsidRPr="00576D47" w14:paraId="5BC80A30" w14:textId="77777777" w:rsidTr="00330E3E">
        <w:tc>
          <w:tcPr>
            <w:tcW w:w="1140" w:type="dxa"/>
            <w:tcBorders>
              <w:bottom w:val="nil"/>
            </w:tcBorders>
          </w:tcPr>
          <w:p w14:paraId="57BB71F2" w14:textId="77777777" w:rsidR="00A31928" w:rsidRPr="00036EE3" w:rsidRDefault="00A31928" w:rsidP="006B1D2B">
            <w:pPr>
              <w:spacing w:before="30" w:after="30"/>
              <w:ind w:left="57"/>
              <w:jc w:val="left"/>
              <w:rPr>
                <w:b/>
                <w:bCs/>
                <w:sz w:val="20"/>
                <w:lang w:val="en-US"/>
              </w:rPr>
            </w:pPr>
            <w:r w:rsidRPr="00036EE3">
              <w:rPr>
                <w:b/>
                <w:bCs/>
                <w:sz w:val="20"/>
                <w:lang w:val="en-US"/>
              </w:rPr>
              <w:t>SF</w:t>
            </w:r>
          </w:p>
        </w:tc>
        <w:tc>
          <w:tcPr>
            <w:tcW w:w="8220" w:type="dxa"/>
            <w:tcBorders>
              <w:bottom w:val="nil"/>
            </w:tcBorders>
          </w:tcPr>
          <w:p w14:paraId="4D0F3744" w14:textId="77777777" w:rsidR="00A31928" w:rsidRPr="00036EE3" w:rsidRDefault="00A31928" w:rsidP="006B1D2B">
            <w:pPr>
              <w:spacing w:before="30" w:after="30"/>
              <w:jc w:val="left"/>
              <w:rPr>
                <w:sz w:val="20"/>
                <w:lang w:val="en-US"/>
              </w:rPr>
            </w:pPr>
            <w:r w:rsidRPr="00036EE3">
              <w:rPr>
                <w:sz w:val="20"/>
                <w:lang w:val="en-US"/>
              </w:rPr>
              <w:t>Frequency sharing and coordination between fixed-satellite and fixed service systems</w:t>
            </w:r>
          </w:p>
        </w:tc>
      </w:tr>
      <w:tr w:rsidR="00A31928" w:rsidRPr="00036EE3" w14:paraId="47765BE3" w14:textId="77777777" w:rsidTr="00330E3E">
        <w:tc>
          <w:tcPr>
            <w:tcW w:w="1140" w:type="dxa"/>
            <w:tcBorders>
              <w:top w:val="nil"/>
              <w:bottom w:val="nil"/>
            </w:tcBorders>
          </w:tcPr>
          <w:p w14:paraId="243BAF27" w14:textId="77777777" w:rsidR="00A31928" w:rsidRPr="001B164E" w:rsidRDefault="00A31928" w:rsidP="006B1D2B">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20BB2B3C" w14:textId="77777777" w:rsidR="00A31928" w:rsidRPr="001B164E" w:rsidRDefault="00A31928" w:rsidP="006B1D2B">
            <w:pPr>
              <w:spacing w:before="30" w:after="30"/>
              <w:jc w:val="left"/>
              <w:rPr>
                <w:rFonts w:hAnsi="Times New Roman Bold"/>
                <w:sz w:val="20"/>
                <w:lang w:val="en-US"/>
              </w:rPr>
            </w:pPr>
            <w:r w:rsidRPr="001B164E">
              <w:rPr>
                <w:rFonts w:hAnsi="Times New Roman Bold"/>
                <w:sz w:val="20"/>
                <w:lang w:val="en-US"/>
              </w:rPr>
              <w:t>Spectrum management</w:t>
            </w:r>
          </w:p>
        </w:tc>
      </w:tr>
      <w:tr w:rsidR="00A31928" w:rsidRPr="00036EE3" w14:paraId="1B1A0C66" w14:textId="77777777" w:rsidTr="00330E3E">
        <w:tc>
          <w:tcPr>
            <w:tcW w:w="1140" w:type="dxa"/>
            <w:tcBorders>
              <w:top w:val="nil"/>
            </w:tcBorders>
          </w:tcPr>
          <w:p w14:paraId="22AFEB0F"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51D95EE3"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49881706" w14:textId="77777777" w:rsidTr="00330E3E">
        <w:tc>
          <w:tcPr>
            <w:tcW w:w="1140" w:type="dxa"/>
          </w:tcPr>
          <w:p w14:paraId="515A680A"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14563050"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4623E48B" w14:textId="77777777" w:rsidTr="00330E3E">
        <w:tc>
          <w:tcPr>
            <w:tcW w:w="1140" w:type="dxa"/>
          </w:tcPr>
          <w:p w14:paraId="04E8103C" w14:textId="77777777" w:rsidR="00A31928" w:rsidRPr="00036EE3" w:rsidRDefault="00A31928" w:rsidP="006B1D2B">
            <w:pPr>
              <w:spacing w:before="30" w:after="30"/>
              <w:ind w:left="57"/>
              <w:jc w:val="left"/>
              <w:rPr>
                <w:b/>
                <w:bCs/>
                <w:sz w:val="20"/>
                <w:lang w:val="en-US"/>
              </w:rPr>
            </w:pPr>
            <w:r w:rsidRPr="00036EE3">
              <w:rPr>
                <w:b/>
                <w:bCs/>
                <w:sz w:val="20"/>
                <w:lang w:val="en-US"/>
              </w:rPr>
              <w:t>V</w:t>
            </w:r>
          </w:p>
        </w:tc>
        <w:tc>
          <w:tcPr>
            <w:tcW w:w="8220" w:type="dxa"/>
          </w:tcPr>
          <w:p w14:paraId="55C3731C" w14:textId="77777777" w:rsidR="00A31928" w:rsidRPr="00036EE3" w:rsidRDefault="00A31928" w:rsidP="00906589">
            <w:pPr>
              <w:spacing w:before="30" w:after="180"/>
              <w:jc w:val="left"/>
              <w:rPr>
                <w:sz w:val="20"/>
                <w:lang w:val="en-US"/>
              </w:rPr>
            </w:pPr>
            <w:r w:rsidRPr="00036EE3">
              <w:rPr>
                <w:sz w:val="20"/>
                <w:lang w:val="en-US"/>
              </w:rPr>
              <w:t>Vocabulary and related subjects</w:t>
            </w:r>
          </w:p>
        </w:tc>
      </w:tr>
    </w:tbl>
    <w:p w14:paraId="25583BA5"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065EA57F" w14:textId="77777777" w:rsidTr="00AA0D99">
        <w:tc>
          <w:tcPr>
            <w:tcW w:w="9360" w:type="dxa"/>
          </w:tcPr>
          <w:p w14:paraId="44F5021B" w14:textId="77777777" w:rsidR="00036EE3" w:rsidRPr="002F5199" w:rsidRDefault="00036EE3" w:rsidP="002F5199">
            <w:pPr>
              <w:spacing w:after="120"/>
              <w:jc w:val="center"/>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77FFAAE3" w14:textId="77777777" w:rsidR="00B714F3" w:rsidRDefault="00B714F3" w:rsidP="002F5199">
      <w:pPr>
        <w:spacing w:before="0"/>
        <w:jc w:val="center"/>
        <w:rPr>
          <w:sz w:val="22"/>
          <w:lang w:val="en-US"/>
        </w:rPr>
      </w:pPr>
    </w:p>
    <w:p w14:paraId="41D279BC"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4294EDE0" w14:textId="68855C79" w:rsidR="002F5199" w:rsidRPr="002F5199" w:rsidRDefault="002F5199" w:rsidP="000B1B2B">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sidR="005E69F0">
        <w:rPr>
          <w:sz w:val="20"/>
          <w:lang w:val="en-US"/>
        </w:rPr>
        <w:t>2</w:t>
      </w:r>
      <w:r w:rsidR="00FE1B04">
        <w:rPr>
          <w:sz w:val="20"/>
          <w:lang w:val="en-US"/>
        </w:rPr>
        <w:t>6</w:t>
      </w:r>
    </w:p>
    <w:p w14:paraId="69A45BB4" w14:textId="7351B5BD"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sidR="0074147D">
        <w:rPr>
          <w:sz w:val="20"/>
          <w:lang w:val="en-US"/>
        </w:rPr>
        <w:t>2</w:t>
      </w:r>
      <w:r w:rsidR="00FE1B04">
        <w:rPr>
          <w:sz w:val="20"/>
          <w:lang w:val="en-US"/>
        </w:rPr>
        <w:t>6</w:t>
      </w:r>
    </w:p>
    <w:p w14:paraId="615F0764"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15AB82F6" w14:textId="77777777" w:rsidR="007565CC" w:rsidRDefault="007565CC" w:rsidP="00A971A1">
      <w:pPr>
        <w:spacing w:before="160"/>
        <w:rPr>
          <w:i/>
          <w:sz w:val="20"/>
          <w:lang w:val="en-US"/>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6FCBE5F7" w14:textId="51A22595" w:rsidR="00B874C6" w:rsidRPr="00B874C6" w:rsidRDefault="00B874C6" w:rsidP="000E149E">
      <w:pPr>
        <w:pStyle w:val="RecNo"/>
        <w:rPr>
          <w:lang w:val="en-US"/>
        </w:rPr>
      </w:pPr>
      <w:bookmarkStart w:id="2" w:name="irecnoe"/>
      <w:bookmarkEnd w:id="2"/>
      <w:proofErr w:type="gramStart"/>
      <w:r w:rsidRPr="000E149E">
        <w:lastRenderedPageBreak/>
        <w:t>RECOMMENDATION</w:t>
      </w:r>
      <w:r w:rsidRPr="00BF487A">
        <w:t xml:space="preserve">  </w:t>
      </w:r>
      <w:r w:rsidRPr="00BF487A">
        <w:rPr>
          <w:rStyle w:val="href"/>
          <w:lang w:val="en-US"/>
        </w:rPr>
        <w:t>ITU</w:t>
      </w:r>
      <w:proofErr w:type="gramEnd"/>
      <w:r w:rsidRPr="00BF487A">
        <w:rPr>
          <w:rStyle w:val="href"/>
          <w:lang w:val="en-US"/>
        </w:rPr>
        <w:t>-</w:t>
      </w:r>
      <w:proofErr w:type="gramStart"/>
      <w:r w:rsidRPr="00BF487A">
        <w:rPr>
          <w:rStyle w:val="href"/>
          <w:lang w:val="en-US"/>
        </w:rPr>
        <w:t xml:space="preserve">R  </w:t>
      </w:r>
      <w:r>
        <w:rPr>
          <w:rStyle w:val="href"/>
          <w:lang w:val="en-US"/>
        </w:rPr>
        <w:t>BO</w:t>
      </w:r>
      <w:proofErr w:type="gramEnd"/>
      <w:r w:rsidRPr="00BF487A">
        <w:rPr>
          <w:rStyle w:val="href"/>
          <w:lang w:val="en-US"/>
        </w:rPr>
        <w:t>.</w:t>
      </w:r>
      <w:r w:rsidR="00E87F83">
        <w:rPr>
          <w:rStyle w:val="href"/>
          <w:lang w:val="en-US"/>
        </w:rPr>
        <w:t>789-3</w:t>
      </w:r>
      <w:r w:rsidR="00E87F83" w:rsidRPr="003B31F7">
        <w:rPr>
          <w:rStyle w:val="FootnoteReference"/>
        </w:rPr>
        <w:footnoteReference w:customMarkFollows="1" w:id="1"/>
        <w:t>*</w:t>
      </w:r>
    </w:p>
    <w:p w14:paraId="7C422352" w14:textId="5F90148B" w:rsidR="00934ED7" w:rsidRDefault="00E87F83" w:rsidP="00E87F83">
      <w:pPr>
        <w:pStyle w:val="Rectitle"/>
      </w:pPr>
      <w:r w:rsidRPr="003B31F7">
        <w:t>Service for digital sound broadcasting to vehicular portable</w:t>
      </w:r>
      <w:r w:rsidR="000E149E">
        <w:t xml:space="preserve"> </w:t>
      </w:r>
      <w:r w:rsidRPr="003B31F7">
        <w:t>and fixed receivers for broadcasting-satellite service</w:t>
      </w:r>
      <w:r w:rsidR="000E149E">
        <w:t xml:space="preserve"> </w:t>
      </w:r>
      <w:r w:rsidRPr="003B31F7">
        <w:t>(sound) in the frequency range 1</w:t>
      </w:r>
      <w:r w:rsidR="000E149E">
        <w:t> </w:t>
      </w:r>
      <w:r w:rsidRPr="003B31F7">
        <w:t>400-2</w:t>
      </w:r>
      <w:r w:rsidR="000E149E">
        <w:t> </w:t>
      </w:r>
      <w:r w:rsidRPr="003B31F7">
        <w:t>700</w:t>
      </w:r>
      <w:r w:rsidR="000E149E">
        <w:t> </w:t>
      </w:r>
      <w:r w:rsidRPr="003B31F7">
        <w:t>MHz</w:t>
      </w:r>
    </w:p>
    <w:p w14:paraId="58F86BCA" w14:textId="77777777" w:rsidR="00E87F83" w:rsidRPr="003B31F7" w:rsidRDefault="00E87F83" w:rsidP="00E87F83">
      <w:pPr>
        <w:pStyle w:val="Recref"/>
      </w:pPr>
      <w:r w:rsidRPr="003B31F7">
        <w:t>(Question ITU-R 93/10)</w:t>
      </w:r>
    </w:p>
    <w:p w14:paraId="4D4C0291" w14:textId="77777777" w:rsidR="00E87F83" w:rsidRPr="003B31F7" w:rsidRDefault="00E87F83" w:rsidP="00E87F83">
      <w:pPr>
        <w:pStyle w:val="Recdate"/>
      </w:pPr>
      <w:r w:rsidRPr="003B31F7">
        <w:t>(1992-1994-1995</w:t>
      </w:r>
      <w:r>
        <w:t>-2026</w:t>
      </w:r>
      <w:r w:rsidRPr="003B31F7">
        <w:t>)</w:t>
      </w:r>
    </w:p>
    <w:p w14:paraId="5637567E" w14:textId="77777777" w:rsidR="00E87F83" w:rsidRPr="003B31F7" w:rsidRDefault="00E87F83" w:rsidP="00051F05">
      <w:pPr>
        <w:pStyle w:val="HeadingSum"/>
      </w:pPr>
      <w:r w:rsidRPr="00DB107C">
        <w:t>Scope</w:t>
      </w:r>
    </w:p>
    <w:p w14:paraId="23FE0AEC" w14:textId="2A11DE52" w:rsidR="00E87F83" w:rsidRPr="000E149E" w:rsidRDefault="00E87F83" w:rsidP="00051F05">
      <w:pPr>
        <w:pStyle w:val="Summary"/>
        <w:rPr>
          <w:lang w:val="en-GB"/>
        </w:rPr>
      </w:pPr>
      <w:r w:rsidRPr="000E149E">
        <w:rPr>
          <w:lang w:val="en-GB"/>
        </w:rPr>
        <w:t>This Recommendation describes the technical and operational characteristics and capabilities for the transmitter/receiver components of a BSS/BS (sound) system to be used in the frequency range 1</w:t>
      </w:r>
      <w:r w:rsidR="00156F06" w:rsidRPr="000E149E">
        <w:rPr>
          <w:lang w:val="en-GB"/>
        </w:rPr>
        <w:t> </w:t>
      </w:r>
      <w:r w:rsidRPr="000E149E">
        <w:rPr>
          <w:lang w:val="en-GB"/>
        </w:rPr>
        <w:t>400</w:t>
      </w:r>
      <w:r w:rsidR="00156F06" w:rsidRPr="00156F06">
        <w:rPr>
          <w:rStyle w:val="ui-provider"/>
          <w:lang w:val="en-GB"/>
        </w:rPr>
        <w:noBreakHyphen/>
      </w:r>
      <w:r w:rsidRPr="000E149E">
        <w:rPr>
          <w:lang w:val="en-GB"/>
        </w:rPr>
        <w:t>2</w:t>
      </w:r>
      <w:r w:rsidR="00051F05" w:rsidRPr="000E149E">
        <w:rPr>
          <w:lang w:val="en-GB"/>
        </w:rPr>
        <w:t> </w:t>
      </w:r>
      <w:r w:rsidRPr="000E149E">
        <w:rPr>
          <w:lang w:val="en-GB"/>
        </w:rPr>
        <w:t>700</w:t>
      </w:r>
      <w:r w:rsidR="00051F05" w:rsidRPr="000E149E">
        <w:rPr>
          <w:lang w:val="en-GB"/>
        </w:rPr>
        <w:t> </w:t>
      </w:r>
      <w:proofErr w:type="spellStart"/>
      <w:r w:rsidRPr="000E149E">
        <w:rPr>
          <w:lang w:val="en-GB"/>
        </w:rPr>
        <w:t>MHz.</w:t>
      </w:r>
      <w:proofErr w:type="spellEnd"/>
    </w:p>
    <w:p w14:paraId="63F5CFD5" w14:textId="77777777" w:rsidR="00E87F83" w:rsidRPr="003B31F7" w:rsidRDefault="00E87F83" w:rsidP="00E87F83">
      <w:pPr>
        <w:pStyle w:val="Headingb"/>
      </w:pPr>
      <w:r w:rsidRPr="003B31F7">
        <w:t>Keywords</w:t>
      </w:r>
    </w:p>
    <w:p w14:paraId="6832FEE2" w14:textId="77777777" w:rsidR="00E87F83" w:rsidRPr="003B31F7" w:rsidRDefault="00E87F83" w:rsidP="00E87F83">
      <w:r w:rsidRPr="003B31F7">
        <w:t>Digital sound broadcasting, broadcasting-satellite service, BSS</w:t>
      </w:r>
    </w:p>
    <w:p w14:paraId="07692282" w14:textId="77777777" w:rsidR="00E87F83" w:rsidRPr="003B31F7" w:rsidRDefault="00E87F83" w:rsidP="00DB107C">
      <w:pPr>
        <w:pStyle w:val="Normalaftertitle"/>
      </w:pPr>
      <w:r w:rsidRPr="003B31F7">
        <w:t>The ITU Radiocommunication Assembly,</w:t>
      </w:r>
    </w:p>
    <w:p w14:paraId="675D991C" w14:textId="77777777" w:rsidR="00E87F83" w:rsidRPr="003B31F7" w:rsidRDefault="00E87F83" w:rsidP="00E87F83">
      <w:pPr>
        <w:pStyle w:val="Call"/>
      </w:pPr>
      <w:r w:rsidRPr="003B31F7">
        <w:t>considering</w:t>
      </w:r>
    </w:p>
    <w:p w14:paraId="0CC7B6BE" w14:textId="77777777" w:rsidR="00E87F83" w:rsidRPr="003B31F7" w:rsidRDefault="00E87F83" w:rsidP="00E87F83">
      <w:r w:rsidRPr="003B31F7">
        <w:rPr>
          <w:i/>
          <w:iCs/>
        </w:rPr>
        <w:t>a)</w:t>
      </w:r>
      <w:r w:rsidRPr="003B31F7">
        <w:tab/>
        <w:t>that there is an increasing requirement worldwide for suitable means of broadcasting a range of sound qualities up to high-quality stereophonic two-channel/multi-channel sound with subjective quality indistinguishable from high</w:t>
      </w:r>
      <w:r w:rsidRPr="003B31F7">
        <w:noBreakHyphen/>
        <w:t>quality consumer digital recorded media (“CD quality”) to vehicular, portable and fixed receivers;</w:t>
      </w:r>
    </w:p>
    <w:p w14:paraId="64BA5C41" w14:textId="77777777" w:rsidR="00E87F83" w:rsidRPr="003B31F7" w:rsidRDefault="00E87F83" w:rsidP="00E87F83">
      <w:r w:rsidRPr="003B31F7">
        <w:rPr>
          <w:i/>
          <w:iCs/>
        </w:rPr>
        <w:t>b)</w:t>
      </w:r>
      <w:r w:rsidRPr="003B31F7">
        <w:tab/>
        <w:t>that technical developments in source and channel coding, modulation and advanced digital signal processing have demonstrated the technical feasibility and maturity of digital sound broadcasting systems;</w:t>
      </w:r>
    </w:p>
    <w:p w14:paraId="5C722385" w14:textId="77777777" w:rsidR="00E87F83" w:rsidRPr="003B31F7" w:rsidRDefault="00E87F83" w:rsidP="00E87F83">
      <w:r w:rsidRPr="003B31F7">
        <w:rPr>
          <w:i/>
          <w:iCs/>
        </w:rPr>
        <w:t>c)</w:t>
      </w:r>
      <w:r w:rsidRPr="003B31F7">
        <w:tab/>
        <w:t>that a large series of demonstrations and field trials in various parts of the world have confirmed the technical and economic viability of digital sound broadcasting systems from a system design point of view;</w:t>
      </w:r>
    </w:p>
    <w:p w14:paraId="21C99377" w14:textId="77777777" w:rsidR="00E87F83" w:rsidRPr="003B31F7" w:rsidRDefault="00E87F83" w:rsidP="00E87F83">
      <w:r w:rsidRPr="003B31F7">
        <w:rPr>
          <w:i/>
          <w:iCs/>
        </w:rPr>
        <w:t>d)</w:t>
      </w:r>
      <w:r w:rsidRPr="003B31F7">
        <w:tab/>
        <w:t>that a digital sound broadcasting system can provide better spectrum and power efficiency, as well as better performance in multipath environments, than conventional analogue systems;</w:t>
      </w:r>
    </w:p>
    <w:p w14:paraId="4D2AF028" w14:textId="77777777" w:rsidR="00E87F83" w:rsidRPr="003B31F7" w:rsidRDefault="00E87F83" w:rsidP="00E87F83">
      <w:r w:rsidRPr="003B31F7">
        <w:rPr>
          <w:i/>
          <w:iCs/>
        </w:rPr>
        <w:t>e)</w:t>
      </w:r>
      <w:r w:rsidRPr="003B31F7">
        <w:tab/>
        <w:t>that satellite-based digital sound broadcasting systems can provide full coverage for sub</w:t>
      </w:r>
      <w:r w:rsidRPr="003B31F7">
        <w:noBreakHyphen/>
        <w:t>national, national or supra</w:t>
      </w:r>
      <w:r w:rsidRPr="003B31F7">
        <w:noBreakHyphen/>
        <w:t>national service areas;</w:t>
      </w:r>
    </w:p>
    <w:p w14:paraId="034C03A7" w14:textId="77777777" w:rsidR="00E87F83" w:rsidRPr="003B31F7" w:rsidRDefault="00E87F83" w:rsidP="00E87F83">
      <w:r w:rsidRPr="003B31F7">
        <w:rPr>
          <w:i/>
          <w:iCs/>
        </w:rPr>
        <w:t>f)</w:t>
      </w:r>
      <w:r w:rsidRPr="003B31F7">
        <w:tab/>
        <w:t>that the complementary use of satellite and terrestrial systems can result in better power and spectrum efficiency through the implementation of hybrid and mixed satellite/terrestrial digital sound broadcasting services;</w:t>
      </w:r>
    </w:p>
    <w:p w14:paraId="1634DE55" w14:textId="77777777" w:rsidR="00E87F83" w:rsidRPr="003B31F7" w:rsidRDefault="00E87F83" w:rsidP="00E87F83">
      <w:r w:rsidRPr="003B31F7">
        <w:rPr>
          <w:i/>
          <w:iCs/>
        </w:rPr>
        <w:t>g)</w:t>
      </w:r>
      <w:r w:rsidRPr="003B31F7">
        <w:tab/>
        <w:t>that a digital broadcasting system can be employed efficiently in both satellite and terrestrial applications using closely related emission signal parameters, thus allowing common receiver design with common processing VLSI circuits;</w:t>
      </w:r>
    </w:p>
    <w:p w14:paraId="0542335C" w14:textId="77777777" w:rsidR="00E87F83" w:rsidRPr="003B31F7" w:rsidRDefault="00E87F83" w:rsidP="00E87F83">
      <w:r w:rsidRPr="003B31F7">
        <w:rPr>
          <w:i/>
          <w:iCs/>
        </w:rPr>
        <w:lastRenderedPageBreak/>
        <w:t>h)</w:t>
      </w:r>
      <w:r w:rsidRPr="003B31F7">
        <w:tab/>
        <w:t>that sound broadcasting has always used similar modulation techniques, such as AM or FM, and similar, if not identical, frequency bands, leading to a receiver that could be used worldwide, for the benefit of the listener,</w:t>
      </w:r>
    </w:p>
    <w:p w14:paraId="57B8F7AF" w14:textId="77777777" w:rsidR="00E87F83" w:rsidRPr="003B31F7" w:rsidRDefault="00E87F83" w:rsidP="00E87F83">
      <w:pPr>
        <w:pStyle w:val="Call"/>
      </w:pPr>
      <w:r w:rsidRPr="003B31F7">
        <w:t>further considering</w:t>
      </w:r>
    </w:p>
    <w:p w14:paraId="6E02D54E" w14:textId="77777777" w:rsidR="00E87F83" w:rsidRPr="003B31F7" w:rsidRDefault="00E87F83" w:rsidP="00E87F83">
      <w:r w:rsidRPr="003B31F7">
        <w:rPr>
          <w:i/>
          <w:iCs/>
        </w:rPr>
        <w:t>a)</w:t>
      </w:r>
      <w:r w:rsidRPr="003B31F7">
        <w:tab/>
        <w:t>that the World Administrative Radio Conference (Geneva, 1979) (WARC-79) adopted Resolution No. 505 which encouraged technical experiments in the band 1</w:t>
      </w:r>
      <w:r w:rsidRPr="003B31F7">
        <w:rPr>
          <w:rFonts w:ascii="Tms Rmn" w:hAnsi="Tms Rmn"/>
          <w:sz w:val="12"/>
        </w:rPr>
        <w:t> </w:t>
      </w:r>
      <w:r w:rsidRPr="003B31F7">
        <w:t>429-1</w:t>
      </w:r>
      <w:r w:rsidRPr="003B31F7">
        <w:rPr>
          <w:rFonts w:ascii="Tms Rmn" w:hAnsi="Tms Rmn"/>
          <w:sz w:val="12"/>
        </w:rPr>
        <w:t> </w:t>
      </w:r>
      <w:r w:rsidRPr="003B31F7">
        <w:t>525 MHz and that the Second Session of the World Administrative Radio Conference on the Use of the Geostationary-Satellite Orbit and on the Planning of Space Services Utilizing It (Geneva, 1988) (WARC ORB-88) adopted Resolution No. 520 which proposed to give a mandate for a frequency allocation for one or more bands in the frequency range from 500-3</w:t>
      </w:r>
      <w:r w:rsidRPr="003B31F7">
        <w:rPr>
          <w:rFonts w:ascii="Tms Rmn" w:hAnsi="Tms Rmn"/>
          <w:sz w:val="12"/>
        </w:rPr>
        <w:t> </w:t>
      </w:r>
      <w:r w:rsidRPr="003B31F7">
        <w:t>000 MHz to a competent ITU conference;</w:t>
      </w:r>
    </w:p>
    <w:p w14:paraId="7DBDFE47" w14:textId="30674799" w:rsidR="00E87F83" w:rsidRPr="003B31F7" w:rsidRDefault="00E87F83" w:rsidP="00E87F83">
      <w:r w:rsidRPr="003B31F7">
        <w:rPr>
          <w:i/>
          <w:iCs/>
        </w:rPr>
        <w:t>b)</w:t>
      </w:r>
      <w:r w:rsidRPr="003B31F7">
        <w:tab/>
        <w:t>that the World Administrative Radio Conference for Dealing with Frequency Allocations in Certain Parts of the Spectrum (Malaga-Torremolinos, 1992) (WARC-92) has allocated the band 1</w:t>
      </w:r>
      <w:r w:rsidRPr="003B31F7">
        <w:rPr>
          <w:rFonts w:ascii="Tms Rmn" w:hAnsi="Tms Rmn"/>
          <w:sz w:val="12"/>
        </w:rPr>
        <w:t> </w:t>
      </w:r>
      <w:r w:rsidRPr="003B31F7">
        <w:t>452-1</w:t>
      </w:r>
      <w:r w:rsidRPr="003B31F7">
        <w:rPr>
          <w:rFonts w:ascii="Tms Rmn" w:hAnsi="Tms Rmn"/>
          <w:sz w:val="12"/>
        </w:rPr>
        <w:t> </w:t>
      </w:r>
      <w:r w:rsidRPr="003B31F7">
        <w:t>492 MHz to the broadcasting-satellite service (BSS) (sound) and complementary terrestrial broadcasting service for the provision of digital audio broadcasting. Also, additional footnote allocations were included for specific countries in the band 2</w:t>
      </w:r>
      <w:r w:rsidRPr="003B31F7">
        <w:rPr>
          <w:rFonts w:ascii="Tms Rmn" w:hAnsi="Tms Rmn"/>
          <w:sz w:val="12"/>
        </w:rPr>
        <w:t> </w:t>
      </w:r>
      <w:r w:rsidRPr="003B31F7">
        <w:t>310-2</w:t>
      </w:r>
      <w:r w:rsidRPr="003B31F7">
        <w:rPr>
          <w:rFonts w:ascii="Tms Rmn" w:hAnsi="Tms Rmn"/>
          <w:sz w:val="12"/>
        </w:rPr>
        <w:t> </w:t>
      </w:r>
      <w:r w:rsidRPr="003B31F7">
        <w:t>360 MHz and in the band 2</w:t>
      </w:r>
      <w:r w:rsidRPr="003B31F7">
        <w:rPr>
          <w:rFonts w:ascii="Tms Rmn" w:hAnsi="Tms Rmn"/>
          <w:sz w:val="12"/>
        </w:rPr>
        <w:t> </w:t>
      </w:r>
      <w:r w:rsidRPr="003B31F7">
        <w:t>535</w:t>
      </w:r>
      <w:r w:rsidR="00D752BE" w:rsidRPr="00D752BE">
        <w:rPr>
          <w:rStyle w:val="ui-provider"/>
        </w:rPr>
        <w:noBreakHyphen/>
      </w:r>
      <w:r w:rsidRPr="003B31F7">
        <w:t>2</w:t>
      </w:r>
      <w:r w:rsidRPr="003B31F7">
        <w:rPr>
          <w:rFonts w:ascii="Tms Rmn" w:hAnsi="Tms Rmn"/>
          <w:sz w:val="12"/>
        </w:rPr>
        <w:t> </w:t>
      </w:r>
      <w:r w:rsidRPr="003B31F7">
        <w:t xml:space="preserve">655 MHz in Radio Regulations (RR) Nos. </w:t>
      </w:r>
      <w:r w:rsidRPr="003B31F7">
        <w:rPr>
          <w:b/>
          <w:bCs/>
        </w:rPr>
        <w:t>5.393</w:t>
      </w:r>
      <w:r w:rsidRPr="003B31F7">
        <w:t xml:space="preserve"> and </w:t>
      </w:r>
      <w:r w:rsidRPr="003B31F7">
        <w:rPr>
          <w:b/>
          <w:bCs/>
        </w:rPr>
        <w:t>5.418</w:t>
      </w:r>
      <w:r w:rsidRPr="003B31F7">
        <w:t>,</w:t>
      </w:r>
    </w:p>
    <w:p w14:paraId="7CD0EE30" w14:textId="77777777" w:rsidR="00E87F83" w:rsidRPr="003B31F7" w:rsidRDefault="00E87F83" w:rsidP="00E87F83">
      <w:pPr>
        <w:pStyle w:val="Call"/>
      </w:pPr>
      <w:r w:rsidRPr="003B31F7">
        <w:t>recommends</w:t>
      </w:r>
    </w:p>
    <w:p w14:paraId="764EA623" w14:textId="77777777" w:rsidR="00E87F83" w:rsidRPr="003B31F7" w:rsidRDefault="00E87F83" w:rsidP="00E87F83">
      <w:r w:rsidRPr="003B31F7">
        <w:t>that, when sound broadcasting from satellite and complementary terrestrial services, intended for vehicular, portable and fixed reception (see Note 1), are introduced into the frequency ranges allocated by WARC-92 to BSS (sound), digital sound broadcasting systems should be used and should have the following technical and operational characteristics and capabilities for the transmitter/receiver components of a total BSS/BS (sound) system;</w:t>
      </w:r>
    </w:p>
    <w:p w14:paraId="424892E9" w14:textId="77777777" w:rsidR="00E87F83" w:rsidRPr="003B31F7" w:rsidRDefault="00E87F83" w:rsidP="00051F05">
      <w:r w:rsidRPr="003B31F7">
        <w:t xml:space="preserve">NOTE 1 – It is understood that some administrations may wish to develop BSS(S) and BS systems that do not provide the entire range of characteristics listed under </w:t>
      </w:r>
      <w:r w:rsidRPr="003B31F7">
        <w:rPr>
          <w:i/>
        </w:rPr>
        <w:t>recommends</w:t>
      </w:r>
      <w:r w:rsidRPr="003B31F7">
        <w:t>. For example, an administration may wish to have a service that provides the equivalent of monophonic FM audio intended primarily for reception by very low cost fixed or portable receivers, rather than vehicular-mounted receivers. Nevertheless, it is understood that such administrations would endeavour to develop digital sound broadcasting systems that conform, to the extent practicable, with the characteristics cited in this Recommendation:</w:t>
      </w:r>
    </w:p>
    <w:p w14:paraId="7538DAC5" w14:textId="4525C189" w:rsidR="00E87F83" w:rsidRPr="003B31F7" w:rsidRDefault="00E87F83" w:rsidP="00D752BE">
      <w:pPr>
        <w:pStyle w:val="enumlev1"/>
      </w:pPr>
      <w:r w:rsidRPr="003B31F7">
        <w:t>1</w:t>
      </w:r>
      <w:r w:rsidR="00051F05">
        <w:t>)</w:t>
      </w:r>
      <w:r w:rsidRPr="003B31F7">
        <w:tab/>
        <w:t>be capable of providing a range of audio qualities up to high-quality stereophonic two</w:t>
      </w:r>
      <w:r w:rsidRPr="003B31F7">
        <w:noBreakHyphen/>
        <w:t>channel/multi-channel sound with subjective quality indistinguishable from high-quality consumer digital recorded media (“CD quality”) to vehicular, portable and fixed receivers;</w:t>
      </w:r>
    </w:p>
    <w:p w14:paraId="212DA783" w14:textId="0BF9F874" w:rsidR="00E87F83" w:rsidRPr="003B31F7" w:rsidRDefault="00E87F83" w:rsidP="00D752BE">
      <w:pPr>
        <w:pStyle w:val="enumlev1"/>
      </w:pPr>
      <w:r w:rsidRPr="003B31F7">
        <w:t>2</w:t>
      </w:r>
      <w:r w:rsidR="00051F05">
        <w:t>)</w:t>
      </w:r>
      <w:r w:rsidRPr="003B31F7">
        <w:tab/>
        <w:t>provide better spectrum efficiency than conventional analogue FM systems;</w:t>
      </w:r>
    </w:p>
    <w:p w14:paraId="6F800E73" w14:textId="5BC41444" w:rsidR="00E87F83" w:rsidRPr="003B31F7" w:rsidRDefault="00E87F83" w:rsidP="00D752BE">
      <w:pPr>
        <w:pStyle w:val="enumlev1"/>
      </w:pPr>
      <w:r w:rsidRPr="003B31F7">
        <w:t>3</w:t>
      </w:r>
      <w:r w:rsidR="00051F05">
        <w:t>)</w:t>
      </w:r>
      <w:r w:rsidRPr="003B31F7">
        <w:tab/>
        <w:t>provide significantly improved performance in a multipath and shadowing environment through the use of the service concepts, systems and mitigation techniques outlined in relevant ITU</w:t>
      </w:r>
      <w:r w:rsidRPr="003B31F7">
        <w:noBreakHyphen/>
        <w:t>R texts;</w:t>
      </w:r>
    </w:p>
    <w:p w14:paraId="1EB74505" w14:textId="62169BAE" w:rsidR="00E87F83" w:rsidRPr="003B31F7" w:rsidRDefault="00E87F83" w:rsidP="00D752BE">
      <w:pPr>
        <w:pStyle w:val="enumlev1"/>
      </w:pPr>
      <w:r w:rsidRPr="003B31F7">
        <w:t>4</w:t>
      </w:r>
      <w:r w:rsidR="00051F05">
        <w:t>)</w:t>
      </w:r>
      <w:r w:rsidRPr="003B31F7">
        <w:tab/>
        <w:t>be capable of utilizing common signal processing in receivers for any satellite and terrestrial broadcasting applications;</w:t>
      </w:r>
    </w:p>
    <w:p w14:paraId="77DF9260" w14:textId="7CE55D7D" w:rsidR="00E87F83" w:rsidRPr="003B31F7" w:rsidRDefault="00E87F83" w:rsidP="00D752BE">
      <w:pPr>
        <w:pStyle w:val="enumlev1"/>
      </w:pPr>
      <w:r w:rsidRPr="003B31F7">
        <w:t>5</w:t>
      </w:r>
      <w:r w:rsidR="00051F05">
        <w:t>)</w:t>
      </w:r>
      <w:r w:rsidRPr="003B31F7">
        <w:tab/>
        <w:t>allow configuration/reconfiguration in order to transmit sound programmes with lower bit rates to trade-off quality and the number of sound programmes available;</w:t>
      </w:r>
    </w:p>
    <w:p w14:paraId="56FF6A9B" w14:textId="34052C2B" w:rsidR="00E87F83" w:rsidRPr="003B31F7" w:rsidRDefault="00E87F83" w:rsidP="00D752BE">
      <w:pPr>
        <w:pStyle w:val="enumlev1"/>
      </w:pPr>
      <w:r w:rsidRPr="003B31F7">
        <w:t>6</w:t>
      </w:r>
      <w:r w:rsidR="00051F05">
        <w:t>)</w:t>
      </w:r>
      <w:r w:rsidRPr="003B31F7">
        <w:tab/>
        <w:t>allow for a trade-off between extent of coverage for a given emission power, service quality and number of sound programmes and data services;</w:t>
      </w:r>
    </w:p>
    <w:p w14:paraId="1FA98E5B" w14:textId="2C644175" w:rsidR="00E87F83" w:rsidRPr="003B31F7" w:rsidRDefault="00E87F83" w:rsidP="00D752BE">
      <w:pPr>
        <w:pStyle w:val="enumlev1"/>
      </w:pPr>
      <w:r w:rsidRPr="003B31F7">
        <w:t>7</w:t>
      </w:r>
      <w:r w:rsidR="00051F05">
        <w:t>)</w:t>
      </w:r>
      <w:r w:rsidRPr="003B31F7">
        <w:tab/>
        <w:t>be capable of allowing, with a common receiver, the use of all means of programme delivery, such as:</w:t>
      </w:r>
    </w:p>
    <w:p w14:paraId="46C70EED" w14:textId="77777777" w:rsidR="00E87F83" w:rsidRPr="003B31F7" w:rsidRDefault="00E87F83" w:rsidP="00D752BE">
      <w:pPr>
        <w:pStyle w:val="enumlev2"/>
      </w:pPr>
      <w:r w:rsidRPr="003B31F7">
        <w:t>–</w:t>
      </w:r>
      <w:r w:rsidRPr="003B31F7">
        <w:tab/>
        <w:t>sub-national, national or supra-national UHF satellite services</w:t>
      </w:r>
      <w:r>
        <w:t>;</w:t>
      </w:r>
    </w:p>
    <w:p w14:paraId="5D947A14" w14:textId="77777777" w:rsidR="00E87F83" w:rsidRPr="003B31F7" w:rsidRDefault="00E87F83" w:rsidP="00D752BE">
      <w:pPr>
        <w:pStyle w:val="enumlev2"/>
      </w:pPr>
      <w:r w:rsidRPr="003B31F7">
        <w:t>–</w:t>
      </w:r>
      <w:r w:rsidRPr="003B31F7">
        <w:tab/>
        <w:t>mixed/hybrid use of satellite and complementary terrestrial services</w:t>
      </w:r>
      <w:r>
        <w:t>;</w:t>
      </w:r>
    </w:p>
    <w:p w14:paraId="241C4542" w14:textId="77777777" w:rsidR="00E87F83" w:rsidRPr="003B31F7" w:rsidRDefault="00E87F83" w:rsidP="00D752BE">
      <w:pPr>
        <w:pStyle w:val="enumlev2"/>
      </w:pPr>
      <w:r w:rsidRPr="003B31F7">
        <w:lastRenderedPageBreak/>
        <w:t>–</w:t>
      </w:r>
      <w:r w:rsidRPr="003B31F7">
        <w:tab/>
        <w:t>local, sub-national and national VHF/UHF terrestrial services</w:t>
      </w:r>
      <w:r>
        <w:t>;</w:t>
      </w:r>
    </w:p>
    <w:p w14:paraId="6B99AF58" w14:textId="77777777" w:rsidR="00E87F83" w:rsidRPr="003B31F7" w:rsidRDefault="00E87F83" w:rsidP="00D752BE">
      <w:pPr>
        <w:pStyle w:val="enumlev2"/>
      </w:pPr>
      <w:r w:rsidRPr="003B31F7">
        <w:t>–</w:t>
      </w:r>
      <w:r w:rsidRPr="003B31F7">
        <w:tab/>
        <w:t>cable distribution networks;</w:t>
      </w:r>
    </w:p>
    <w:p w14:paraId="01E8AFEB" w14:textId="51972F9D" w:rsidR="00E87F83" w:rsidRPr="003B31F7" w:rsidRDefault="00E87F83" w:rsidP="00D752BE">
      <w:pPr>
        <w:pStyle w:val="enumlev1"/>
      </w:pPr>
      <w:r w:rsidRPr="003B31F7">
        <w:t>8</w:t>
      </w:r>
      <w:r w:rsidR="00051F05">
        <w:t>)</w:t>
      </w:r>
      <w:r w:rsidRPr="003B31F7">
        <w:tab/>
        <w:t>be capable of providing enhanced facilities for programme-related data (e.g. service identification, programme labelling, programme delivery control, copyright control, conditional access, dynamic programme linking, services for visually and hearing-impaired);</w:t>
      </w:r>
    </w:p>
    <w:p w14:paraId="56B1820B" w14:textId="15DA5DEB" w:rsidR="00E87F83" w:rsidRPr="003B31F7" w:rsidRDefault="00E87F83" w:rsidP="00D752BE">
      <w:pPr>
        <w:pStyle w:val="enumlev1"/>
      </w:pPr>
      <w:r w:rsidRPr="003B31F7">
        <w:t>9</w:t>
      </w:r>
      <w:r w:rsidR="00051F05">
        <w:t>)</w:t>
      </w:r>
      <w:r w:rsidRPr="003B31F7">
        <w:tab/>
        <w:t>be capable of providing value-added services with different data capacities (e.g. traffic message channels, business data, paging, still picture/graphics, future integrated services digital broadcasting (ISDB), low bit rate video/audio multiplex);</w:t>
      </w:r>
    </w:p>
    <w:p w14:paraId="72D6B843" w14:textId="516010D2" w:rsidR="00E87F83" w:rsidRPr="003B31F7" w:rsidRDefault="00E87F83" w:rsidP="00D752BE">
      <w:pPr>
        <w:pStyle w:val="enumlev1"/>
      </w:pPr>
      <w:r w:rsidRPr="003B31F7">
        <w:t>10</w:t>
      </w:r>
      <w:r w:rsidR="00051F05">
        <w:t>)</w:t>
      </w:r>
      <w:r w:rsidRPr="003B31F7">
        <w:tab/>
        <w:t>allow for flexible assignment of services within a given multiplex;</w:t>
      </w:r>
    </w:p>
    <w:p w14:paraId="3267D222" w14:textId="0ED99E95" w:rsidR="00E87F83" w:rsidRPr="003B31F7" w:rsidRDefault="00E87F83" w:rsidP="00D752BE">
      <w:pPr>
        <w:pStyle w:val="enumlev1"/>
      </w:pPr>
      <w:r w:rsidRPr="003B31F7">
        <w:t>11</w:t>
      </w:r>
      <w:r w:rsidR="00051F05">
        <w:t>)</w:t>
      </w:r>
      <w:r w:rsidRPr="003B31F7">
        <w:tab/>
        <w:t>a system multiplex structure capable of complying with the layered International Organization for Standardization (ISO) open system interconnect model and permitting interfacing to information technology equipment and communications networks;</w:t>
      </w:r>
    </w:p>
    <w:p w14:paraId="53F53C7D" w14:textId="54C5AD8A" w:rsidR="00E87F83" w:rsidRPr="003B31F7" w:rsidRDefault="00E87F83" w:rsidP="00D752BE">
      <w:pPr>
        <w:pStyle w:val="enumlev1"/>
      </w:pPr>
      <w:r w:rsidRPr="003B31F7">
        <w:t>12</w:t>
      </w:r>
      <w:r w:rsidR="00051F05">
        <w:t>)</w:t>
      </w:r>
      <w:r w:rsidRPr="003B31F7">
        <w:tab/>
        <w:t>allow manufacturing low-cost receivers and antennas through mass production.</w:t>
      </w:r>
    </w:p>
    <w:p w14:paraId="021E74F6" w14:textId="55E9AEAC" w:rsidR="00E87F83" w:rsidRPr="00F452DE" w:rsidRDefault="00E87F83" w:rsidP="00051F05">
      <w:r w:rsidRPr="003B31F7">
        <w:t xml:space="preserve">NOTE 1 – Examples of digital sound broadcasting systems that meet the above technical and operational requirements are described in Annexes 2 to 5 </w:t>
      </w:r>
      <w:r>
        <w:t>to</w:t>
      </w:r>
      <w:r w:rsidRPr="003B31F7">
        <w:t xml:space="preserve"> </w:t>
      </w:r>
      <w:r w:rsidRPr="00F452DE">
        <w:t xml:space="preserve">Recommendation </w:t>
      </w:r>
      <w:hyperlink r:id="rId15" w:history="1">
        <w:r w:rsidRPr="00051F05">
          <w:t>ITU-R BO.1130</w:t>
        </w:r>
      </w:hyperlink>
      <w:r w:rsidRPr="00F452DE">
        <w:t>.</w:t>
      </w:r>
    </w:p>
    <w:p w14:paraId="6579A3E8" w14:textId="77777777" w:rsidR="00E87F83" w:rsidRPr="00F452DE" w:rsidRDefault="00E87F83" w:rsidP="00051F05">
      <w:r w:rsidRPr="00F452DE">
        <w:t>NOTE 2 – System and service characteristics as well as radio-frequency aspects of digital sound broadcasting systems are considered in detail in relevant ITU-R texts.</w:t>
      </w:r>
    </w:p>
    <w:p w14:paraId="0691F160" w14:textId="77777777" w:rsidR="00E87F83" w:rsidRPr="003B31F7" w:rsidRDefault="00E87F83" w:rsidP="00051F05">
      <w:r w:rsidRPr="00F452DE">
        <w:t xml:space="preserve">NOTE 3 – Recommendation </w:t>
      </w:r>
      <w:hyperlink r:id="rId16" w:history="1">
        <w:r w:rsidRPr="00051F05">
          <w:t>ITU-R BS.774</w:t>
        </w:r>
      </w:hyperlink>
      <w:r w:rsidRPr="00F452DE">
        <w:t xml:space="preserve"> is closely</w:t>
      </w:r>
      <w:r w:rsidRPr="003B31F7">
        <w:t xml:space="preserve"> related for terrestrial digital sound broadcasting.</w:t>
      </w:r>
    </w:p>
    <w:p w14:paraId="35925B4C" w14:textId="77777777" w:rsidR="00B874C6" w:rsidRDefault="00B874C6" w:rsidP="00B874C6"/>
    <w:p w14:paraId="4AC53C7D" w14:textId="77777777" w:rsidR="00B874C6" w:rsidRPr="00BF487A" w:rsidRDefault="00B874C6" w:rsidP="00B874C6">
      <w:pPr>
        <w:pStyle w:val="Line"/>
      </w:pPr>
    </w:p>
    <w:sectPr w:rsidR="00B874C6" w:rsidRPr="00BF487A" w:rsidSect="007565CC">
      <w:footerReference w:type="default" r:id="rId17"/>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0E94" w14:textId="77777777" w:rsidR="00CE0A84" w:rsidRDefault="00CE0A84">
      <w:r>
        <w:separator/>
      </w:r>
    </w:p>
  </w:endnote>
  <w:endnote w:type="continuationSeparator" w:id="0">
    <w:p w14:paraId="2850ADD0" w14:textId="77777777" w:rsidR="00CE0A84" w:rsidRDefault="00CE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C580" w14:textId="77777777" w:rsidR="00301DB3" w:rsidRDefault="00301DB3">
    <w:pPr>
      <w:pStyle w:val="Footer"/>
    </w:pPr>
    <w:r>
      <w:drawing>
        <wp:anchor distT="0" distB="0" distL="0" distR="0" simplePos="0" relativeHeight="251656192" behindDoc="0" locked="0" layoutInCell="1" allowOverlap="1" wp14:anchorId="2BE78328" wp14:editId="6B9F6E2B">
          <wp:simplePos x="0" y="0"/>
          <wp:positionH relativeFrom="page">
            <wp:posOffset>6346209</wp:posOffset>
          </wp:positionH>
          <wp:positionV relativeFrom="page">
            <wp:posOffset>9501505</wp:posOffset>
          </wp:positionV>
          <wp:extent cx="738000" cy="813600"/>
          <wp:effectExtent l="0" t="0" r="0" b="0"/>
          <wp:wrapNone/>
          <wp:docPr id="1799530643"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EC49"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5F75" w14:textId="77777777" w:rsidR="00CE0A84" w:rsidRDefault="00CE0A84">
      <w:r>
        <w:separator/>
      </w:r>
    </w:p>
  </w:footnote>
  <w:footnote w:type="continuationSeparator" w:id="0">
    <w:p w14:paraId="1936CBFE" w14:textId="77777777" w:rsidR="00CE0A84" w:rsidRDefault="00CE0A84">
      <w:r>
        <w:continuationSeparator/>
      </w:r>
    </w:p>
  </w:footnote>
  <w:footnote w:id="1">
    <w:p w14:paraId="5488B4C5" w14:textId="77777777" w:rsidR="00E87F83" w:rsidRDefault="00E87F83" w:rsidP="00E87F83">
      <w:pPr>
        <w:pStyle w:val="FootnoteText"/>
        <w:rPr>
          <w:lang w:val="en-US"/>
        </w:rPr>
      </w:pPr>
      <w:r>
        <w:rPr>
          <w:rStyle w:val="FootnoteReference"/>
          <w:lang w:val="en-US"/>
        </w:rPr>
        <w:t>*</w:t>
      </w:r>
      <w:r>
        <w:rPr>
          <w:lang w:val="en-US"/>
        </w:rPr>
        <w:tab/>
        <w:t xml:space="preserve">Reports ITU-R </w:t>
      </w:r>
      <w:hyperlink r:id="rId1" w:history="1">
        <w:r w:rsidRPr="00051F05">
          <w:t>BO.955</w:t>
        </w:r>
      </w:hyperlink>
      <w:r>
        <w:rPr>
          <w:lang w:val="en-US"/>
        </w:rPr>
        <w:t xml:space="preserve"> and ITU-R </w:t>
      </w:r>
      <w:hyperlink r:id="rId2" w:history="1">
        <w:r w:rsidRPr="00051F05">
          <w:t>BS.1203</w:t>
        </w:r>
      </w:hyperlink>
      <w:r>
        <w:rPr>
          <w:lang w:val="en-US"/>
        </w:rPr>
        <w:t xml:space="preserve"> were used as the basis for this Recommendation.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C0B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0A6FBEF7" w14:textId="77777777" w:rsidTr="0019307B">
      <w:tc>
        <w:tcPr>
          <w:tcW w:w="4634" w:type="dxa"/>
          <w:vAlign w:val="center"/>
        </w:tcPr>
        <w:p w14:paraId="7C990376"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526BEBB"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73A71F82" w14:textId="77777777" w:rsidTr="0019307B">
      <w:tc>
        <w:tcPr>
          <w:tcW w:w="4634" w:type="dxa"/>
          <w:vAlign w:val="center"/>
        </w:tcPr>
        <w:p w14:paraId="7BFDB197"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4E92DFF8"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6D70A613"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672303D3" wp14:editId="455690B1">
          <wp:simplePos x="0" y="0"/>
          <wp:positionH relativeFrom="column">
            <wp:posOffset>-358302</wp:posOffset>
          </wp:positionH>
          <wp:positionV relativeFrom="paragraph">
            <wp:posOffset>-534670</wp:posOffset>
          </wp:positionV>
          <wp:extent cx="1945758" cy="414616"/>
          <wp:effectExtent l="0" t="0" r="0" b="0"/>
          <wp:wrapNone/>
          <wp:docPr id="499222480" name="Picture 499222480" descr="ITUPublica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4F9A461" wp14:editId="1823DB0F">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7F2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5A01DD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32977C4E" wp14:editId="54F066E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F60E0"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172F" w14:textId="14E0DA1D"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CE0A84">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0E149E">
      <w:rPr>
        <w:b/>
        <w:bCs/>
        <w:noProof/>
        <w:lang w:val="en-US"/>
      </w:rPr>
      <w:t>ITU-R  BO.789-3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F9B5" w14:textId="028F75C2"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CE0A84">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0E149E">
      <w:rPr>
        <w:b/>
        <w:bCs/>
        <w:noProof/>
      </w:rPr>
      <w:t>ITU-R  BO.789-3</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84"/>
    <w:rsid w:val="00013002"/>
    <w:rsid w:val="00036EE3"/>
    <w:rsid w:val="00051F05"/>
    <w:rsid w:val="00072484"/>
    <w:rsid w:val="000752C4"/>
    <w:rsid w:val="00095530"/>
    <w:rsid w:val="00096612"/>
    <w:rsid w:val="00097ED9"/>
    <w:rsid w:val="000B1B2B"/>
    <w:rsid w:val="000B7683"/>
    <w:rsid w:val="000D0677"/>
    <w:rsid w:val="000E0548"/>
    <w:rsid w:val="000E149E"/>
    <w:rsid w:val="000E6A6E"/>
    <w:rsid w:val="00102934"/>
    <w:rsid w:val="00122722"/>
    <w:rsid w:val="00147110"/>
    <w:rsid w:val="001511A6"/>
    <w:rsid w:val="00156F06"/>
    <w:rsid w:val="00167625"/>
    <w:rsid w:val="00171C4D"/>
    <w:rsid w:val="0019307B"/>
    <w:rsid w:val="001B0927"/>
    <w:rsid w:val="001B164E"/>
    <w:rsid w:val="001B7886"/>
    <w:rsid w:val="001D49F2"/>
    <w:rsid w:val="001F38BB"/>
    <w:rsid w:val="002058CE"/>
    <w:rsid w:val="002165F1"/>
    <w:rsid w:val="00233211"/>
    <w:rsid w:val="00260B24"/>
    <w:rsid w:val="0027411A"/>
    <w:rsid w:val="00276D21"/>
    <w:rsid w:val="0028595F"/>
    <w:rsid w:val="00296D7F"/>
    <w:rsid w:val="002A5D45"/>
    <w:rsid w:val="002B3CF6"/>
    <w:rsid w:val="002C768A"/>
    <w:rsid w:val="002D0BD7"/>
    <w:rsid w:val="002D76C4"/>
    <w:rsid w:val="002F5199"/>
    <w:rsid w:val="00301DB3"/>
    <w:rsid w:val="00305119"/>
    <w:rsid w:val="003157F1"/>
    <w:rsid w:val="0032578E"/>
    <w:rsid w:val="00330E3E"/>
    <w:rsid w:val="00356B5D"/>
    <w:rsid w:val="00357707"/>
    <w:rsid w:val="0036528E"/>
    <w:rsid w:val="0036627C"/>
    <w:rsid w:val="0036743B"/>
    <w:rsid w:val="003E5516"/>
    <w:rsid w:val="003F4B75"/>
    <w:rsid w:val="00407251"/>
    <w:rsid w:val="00420DFD"/>
    <w:rsid w:val="00425BC7"/>
    <w:rsid w:val="00437A76"/>
    <w:rsid w:val="004604B2"/>
    <w:rsid w:val="00470E28"/>
    <w:rsid w:val="0047379B"/>
    <w:rsid w:val="004842E2"/>
    <w:rsid w:val="00486EB3"/>
    <w:rsid w:val="004934C5"/>
    <w:rsid w:val="004A6FEB"/>
    <w:rsid w:val="004E61FF"/>
    <w:rsid w:val="005373E0"/>
    <w:rsid w:val="00556548"/>
    <w:rsid w:val="00571B1C"/>
    <w:rsid w:val="00576D47"/>
    <w:rsid w:val="00586EF8"/>
    <w:rsid w:val="005B0371"/>
    <w:rsid w:val="005B49AB"/>
    <w:rsid w:val="005B50E7"/>
    <w:rsid w:val="005C4BAB"/>
    <w:rsid w:val="005E12A5"/>
    <w:rsid w:val="005E69F0"/>
    <w:rsid w:val="005E7B4F"/>
    <w:rsid w:val="005F003B"/>
    <w:rsid w:val="00601882"/>
    <w:rsid w:val="00607D68"/>
    <w:rsid w:val="00613212"/>
    <w:rsid w:val="006149B1"/>
    <w:rsid w:val="00640332"/>
    <w:rsid w:val="00680D2B"/>
    <w:rsid w:val="00681B32"/>
    <w:rsid w:val="00697887"/>
    <w:rsid w:val="006B1D2B"/>
    <w:rsid w:val="006C37D5"/>
    <w:rsid w:val="006E1131"/>
    <w:rsid w:val="006E2037"/>
    <w:rsid w:val="006E6199"/>
    <w:rsid w:val="00712870"/>
    <w:rsid w:val="00714AC0"/>
    <w:rsid w:val="0074147D"/>
    <w:rsid w:val="00743D85"/>
    <w:rsid w:val="00744F8B"/>
    <w:rsid w:val="00753CF4"/>
    <w:rsid w:val="007565CC"/>
    <w:rsid w:val="00763B9A"/>
    <w:rsid w:val="007921F8"/>
    <w:rsid w:val="007A6AA8"/>
    <w:rsid w:val="007B1357"/>
    <w:rsid w:val="008310C9"/>
    <w:rsid w:val="008335F0"/>
    <w:rsid w:val="00853CC5"/>
    <w:rsid w:val="00877E6E"/>
    <w:rsid w:val="008B083A"/>
    <w:rsid w:val="008C7848"/>
    <w:rsid w:val="008D7F46"/>
    <w:rsid w:val="00906589"/>
    <w:rsid w:val="00906AD6"/>
    <w:rsid w:val="00917AF2"/>
    <w:rsid w:val="0092418A"/>
    <w:rsid w:val="00934ED7"/>
    <w:rsid w:val="009543C3"/>
    <w:rsid w:val="00966E1B"/>
    <w:rsid w:val="00972F51"/>
    <w:rsid w:val="00984A02"/>
    <w:rsid w:val="009947C0"/>
    <w:rsid w:val="009A4039"/>
    <w:rsid w:val="009A41F9"/>
    <w:rsid w:val="009F2D2C"/>
    <w:rsid w:val="009F5580"/>
    <w:rsid w:val="00A239D1"/>
    <w:rsid w:val="00A31928"/>
    <w:rsid w:val="00A507D4"/>
    <w:rsid w:val="00A62A14"/>
    <w:rsid w:val="00A6617B"/>
    <w:rsid w:val="00A71FE5"/>
    <w:rsid w:val="00A7534B"/>
    <w:rsid w:val="00A86DD2"/>
    <w:rsid w:val="00A936CB"/>
    <w:rsid w:val="00A971A1"/>
    <w:rsid w:val="00AA0D99"/>
    <w:rsid w:val="00AA3AD8"/>
    <w:rsid w:val="00AB0DC8"/>
    <w:rsid w:val="00AB405C"/>
    <w:rsid w:val="00AC015D"/>
    <w:rsid w:val="00AF5326"/>
    <w:rsid w:val="00B019A2"/>
    <w:rsid w:val="00B0286E"/>
    <w:rsid w:val="00B033C8"/>
    <w:rsid w:val="00B33425"/>
    <w:rsid w:val="00B42334"/>
    <w:rsid w:val="00B44E24"/>
    <w:rsid w:val="00B54ECC"/>
    <w:rsid w:val="00B60AC0"/>
    <w:rsid w:val="00B714F3"/>
    <w:rsid w:val="00B75A52"/>
    <w:rsid w:val="00B874C6"/>
    <w:rsid w:val="00B87B6B"/>
    <w:rsid w:val="00B9169E"/>
    <w:rsid w:val="00BC13F7"/>
    <w:rsid w:val="00BC5D77"/>
    <w:rsid w:val="00BF487A"/>
    <w:rsid w:val="00BF5544"/>
    <w:rsid w:val="00BF66A1"/>
    <w:rsid w:val="00C15F3E"/>
    <w:rsid w:val="00C46BD9"/>
    <w:rsid w:val="00C55258"/>
    <w:rsid w:val="00C73197"/>
    <w:rsid w:val="00C73560"/>
    <w:rsid w:val="00C77A97"/>
    <w:rsid w:val="00C8266C"/>
    <w:rsid w:val="00C84DB7"/>
    <w:rsid w:val="00C87A35"/>
    <w:rsid w:val="00CB0AD2"/>
    <w:rsid w:val="00CB0F14"/>
    <w:rsid w:val="00CD659B"/>
    <w:rsid w:val="00CE0A43"/>
    <w:rsid w:val="00CE0A84"/>
    <w:rsid w:val="00D00118"/>
    <w:rsid w:val="00D01985"/>
    <w:rsid w:val="00D16749"/>
    <w:rsid w:val="00D61962"/>
    <w:rsid w:val="00D72623"/>
    <w:rsid w:val="00D752BE"/>
    <w:rsid w:val="00D83556"/>
    <w:rsid w:val="00DB107C"/>
    <w:rsid w:val="00DE5556"/>
    <w:rsid w:val="00DF4176"/>
    <w:rsid w:val="00E0095C"/>
    <w:rsid w:val="00E17240"/>
    <w:rsid w:val="00E74595"/>
    <w:rsid w:val="00E77485"/>
    <w:rsid w:val="00E87F83"/>
    <w:rsid w:val="00EA306D"/>
    <w:rsid w:val="00EB1CB6"/>
    <w:rsid w:val="00EB7C57"/>
    <w:rsid w:val="00ED2695"/>
    <w:rsid w:val="00EE04BA"/>
    <w:rsid w:val="00EE47C4"/>
    <w:rsid w:val="00EF1FCD"/>
    <w:rsid w:val="00F1439D"/>
    <w:rsid w:val="00F30C9B"/>
    <w:rsid w:val="00F354B1"/>
    <w:rsid w:val="00F354D7"/>
    <w:rsid w:val="00F6343F"/>
    <w:rsid w:val="00F72776"/>
    <w:rsid w:val="00F92A40"/>
    <w:rsid w:val="00FB0E4E"/>
    <w:rsid w:val="00FE1B04"/>
    <w:rsid w:val="00FE6B04"/>
    <w:rsid w:val="00FE79FE"/>
    <w:rsid w:val="00FF277A"/>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d62a47,#f8f8f8"/>
    </o:shapedefaults>
    <o:shapelayout v:ext="edit">
      <o:idmap v:ext="edit" data="2"/>
    </o:shapelayout>
  </w:shapeDefaults>
  <w:decimalSymbol w:val="."/>
  <w:listSeparator w:val=";"/>
  <w14:docId w14:val="19B6835E"/>
  <w15:docId w15:val="{3966F971-7361-4B6B-AB44-986D3119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78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FE1B04"/>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051F05"/>
    <w:pPr>
      <w:spacing w:before="240"/>
    </w:pPr>
    <w:rPr>
      <w:sz w:val="22"/>
      <w:szCs w:val="24"/>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051F05"/>
    <w:pPr>
      <w:spacing w:after="480"/>
    </w:pPr>
    <w:rPr>
      <w:sz w:val="22"/>
      <w:lang w:val="es-ES_tradnl"/>
    </w:rPr>
  </w:style>
  <w:style w:type="character" w:styleId="Hyperlink">
    <w:name w:val="Hyperlink"/>
    <w:aliases w:val="超级链接,CEO_Hyperlink,ECC Hyperlink,超?级链,Style 58,超????,하이퍼링크2,超链接1,超?级链?,Style?,S"/>
    <w:basedOn w:val="DefaultParagraphFont"/>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E87F83"/>
    <w:rPr>
      <w:sz w:val="22"/>
      <w:lang w:val="en-GB" w:eastAsia="en-US"/>
    </w:rPr>
  </w:style>
  <w:style w:type="paragraph" w:customStyle="1" w:styleId="Normalaftertitle0">
    <w:name w:val="Normal after title"/>
    <w:basedOn w:val="Normal"/>
    <w:next w:val="Normal"/>
    <w:link w:val="NormalaftertitleChar"/>
    <w:qFormat/>
    <w:rsid w:val="00E87F83"/>
    <w:pPr>
      <w:tabs>
        <w:tab w:val="clear" w:pos="794"/>
        <w:tab w:val="clear" w:pos="1191"/>
        <w:tab w:val="clear" w:pos="1588"/>
        <w:tab w:val="clear" w:pos="1985"/>
        <w:tab w:val="left" w:pos="1134"/>
        <w:tab w:val="left" w:pos="1871"/>
        <w:tab w:val="left" w:pos="2268"/>
      </w:tabs>
      <w:spacing w:before="280"/>
      <w:jc w:val="left"/>
    </w:pPr>
  </w:style>
  <w:style w:type="character" w:customStyle="1" w:styleId="HeadingbChar">
    <w:name w:val="Heading_b Char"/>
    <w:basedOn w:val="DefaultParagraphFont"/>
    <w:link w:val="Headingb"/>
    <w:qFormat/>
    <w:locked/>
    <w:rsid w:val="00E87F83"/>
    <w:rPr>
      <w:b/>
      <w:sz w:val="24"/>
      <w:lang w:val="en-GB" w:eastAsia="en-US"/>
    </w:rPr>
  </w:style>
  <w:style w:type="character" w:customStyle="1" w:styleId="CallChar">
    <w:name w:val="Call Char"/>
    <w:basedOn w:val="DefaultParagraphFont"/>
    <w:link w:val="Call"/>
    <w:locked/>
    <w:rsid w:val="00E87F83"/>
    <w:rPr>
      <w:i/>
      <w:sz w:val="24"/>
      <w:lang w:val="en-GB" w:eastAsia="en-US"/>
    </w:rPr>
  </w:style>
  <w:style w:type="character" w:customStyle="1" w:styleId="enumlev1Char">
    <w:name w:val="enumlev1 Char"/>
    <w:basedOn w:val="DefaultParagraphFont"/>
    <w:link w:val="enumlev1"/>
    <w:qFormat/>
    <w:locked/>
    <w:rsid w:val="00E87F83"/>
    <w:rPr>
      <w:sz w:val="24"/>
      <w:lang w:val="en-GB" w:eastAsia="en-US"/>
    </w:rPr>
  </w:style>
  <w:style w:type="character" w:customStyle="1" w:styleId="NoteChar">
    <w:name w:val="Note Char"/>
    <w:basedOn w:val="DefaultParagraphFont"/>
    <w:link w:val="Note"/>
    <w:locked/>
    <w:rsid w:val="00E87F83"/>
    <w:rPr>
      <w:sz w:val="22"/>
      <w:lang w:val="en-GB" w:eastAsia="en-US"/>
    </w:rPr>
  </w:style>
  <w:style w:type="character" w:customStyle="1" w:styleId="NormalaftertitleChar">
    <w:name w:val="Normal after title Char"/>
    <w:basedOn w:val="DefaultParagraphFont"/>
    <w:link w:val="Normalaftertitle0"/>
    <w:rsid w:val="00E87F83"/>
    <w:rPr>
      <w:sz w:val="24"/>
      <w:lang w:val="en-GB" w:eastAsia="en-US"/>
    </w:rPr>
  </w:style>
  <w:style w:type="character" w:customStyle="1" w:styleId="ui-provider">
    <w:name w:val="ui-provider"/>
    <w:basedOn w:val="DefaultParagraphFont"/>
    <w:rsid w:val="0015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l/R-REC/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rec/R-REC-BS.774/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Pages/itu-r-patent-information.aspx" TargetMode="External"/><Relationship Id="rId5" Type="http://schemas.openxmlformats.org/officeDocument/2006/relationships/webSettings" Target="webSettings.xml"/><Relationship Id="rId15" Type="http://schemas.openxmlformats.org/officeDocument/2006/relationships/hyperlink" Target="https://www.itu.int/rec/R-REC-BO.1130/e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tu.int/pub/R-REP-BS.1203" TargetMode="External"/><Relationship Id="rId1" Type="http://schemas.openxmlformats.org/officeDocument/2006/relationships/hyperlink" Target="https://www.itu.int/pub/R-REP-BO.9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E\2026-ITU-R_REC_BO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79480-3163-4B19-8F24-AF72D3D0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2026-ITU-R_REC_BO_E.docx</Template>
  <TotalTime>31</TotalTime>
  <Pages>5</Pages>
  <Words>1338</Words>
  <Characters>8743</Characters>
  <Application>Microsoft Office Word</Application>
  <DocSecurity>0</DocSecurity>
  <Lines>874</Lines>
  <Paragraphs>325</Paragraphs>
  <ScaleCrop>false</ScaleCrop>
  <HeadingPairs>
    <vt:vector size="2" baseType="variant">
      <vt:variant>
        <vt:lpstr>Title</vt:lpstr>
      </vt:variant>
      <vt:variant>
        <vt:i4>1</vt:i4>
      </vt:variant>
    </vt:vector>
  </HeadingPairs>
  <TitlesOfParts>
    <vt:vector size="1" baseType="lpstr">
      <vt:lpstr>Recommendation ITU-R BO.789-3 (02/2026) - Service for digital sound broadcasting to vehicular portable and fixed receivers for broadcasting-satellite service (sound) in the frequency range 1 400-2 700 MHz</vt:lpstr>
    </vt:vector>
  </TitlesOfParts>
  <Manager/>
  <Company>ITU</Company>
  <LinksUpToDate>false</LinksUpToDate>
  <CharactersWithSpaces>9756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BO.789-3 (02/2026) - Service for digital sound broadcasting to vehicular portable and fixed receivers for broadcasting-satellite service (sound) in the frequency range 1 400-2 700 MHz</dc:title>
  <dc:subject>BO Series: Satellite delivery</dc:subject>
  <dc:creator>ITU Radiocommunication Bureau (BR)</dc:creator>
  <cp:keywords>Digital sound broadcasting, broadcasting-satellite service, BSS</cp:keywords>
  <dc:description/>
  <cp:lastModifiedBy>Gachet, Christelle</cp:lastModifiedBy>
  <cp:revision>17</cp:revision>
  <cp:lastPrinted>2009-07-08T06:55:00Z</cp:lastPrinted>
  <dcterms:created xsi:type="dcterms:W3CDTF">2025-05-21T08:02:00Z</dcterms:created>
  <dcterms:modified xsi:type="dcterms:W3CDTF">2026-03-03T08:21:00Z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Saez</vt:lpwstr>
  </property>
  <property fmtid="{D5CDD505-2E9C-101B-9397-08002B2CF9AE}" pid="11" name="Date completed">
    <vt:lpwstr>27 January 2026</vt:lpwstr>
  </property>
</Properties>
</file>