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F26A7D"/>
    <w:p w:rsidR="00F26A7D" w:rsidRDefault="00F26A7D" w:rsidP="00F26A7D">
      <w:bookmarkStart w:id="0" w:name="dbreak"/>
      <w:bookmarkEnd w:id="0"/>
    </w:p>
    <w:p w:rsidR="00F26A7D" w:rsidRDefault="00F26A7D" w:rsidP="00F26A7D"/>
    <w:p w:rsidR="00F26A7D" w:rsidRDefault="00F26A7D" w:rsidP="00F26A7D"/>
    <w:p w:rsidR="00F26A7D" w:rsidRDefault="00F26A7D" w:rsidP="00F26A7D"/>
    <w:p w:rsidR="00F26A7D" w:rsidRDefault="00F26A7D" w:rsidP="00F26A7D"/>
    <w:p w:rsidR="00F26A7D" w:rsidRDefault="00F26A7D" w:rsidP="00F26A7D"/>
    <w:p w:rsidR="00F26A7D" w:rsidRDefault="00F26A7D" w:rsidP="00F26A7D">
      <w:bookmarkStart w:id="1" w:name="_GoBack"/>
      <w:bookmarkEnd w:id="1"/>
    </w:p>
    <w:p w:rsidR="00F26A7D" w:rsidRDefault="00F26A7D" w:rsidP="00F26A7D"/>
    <w:p w:rsidR="00F26A7D" w:rsidRDefault="00F26A7D" w:rsidP="00F26A7D"/>
    <w:p w:rsidR="00F26A7D" w:rsidRDefault="00F26A7D" w:rsidP="00F26A7D"/>
    <w:p w:rsidR="00F26A7D" w:rsidRDefault="00F26A7D" w:rsidP="00F26A7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F26A7D" w:rsidRPr="00F26A7D" w:rsidTr="00447EAB">
        <w:tc>
          <w:tcPr>
            <w:tcW w:w="10089" w:type="dxa"/>
          </w:tcPr>
          <w:p w:rsidR="00F26A7D" w:rsidRPr="0010336F" w:rsidRDefault="00F26A7D" w:rsidP="00447EAB">
            <w:pPr>
              <w:spacing w:before="380" w:line="280" w:lineRule="exact"/>
              <w:jc w:val="right"/>
              <w:rPr>
                <w:rFonts w:ascii="Tahoma" w:hAnsi="Tahoma" w:cs="Tahoma"/>
                <w:b/>
                <w:bCs/>
                <w:iCs/>
                <w:color w:val="243285"/>
                <w:sz w:val="32"/>
                <w:szCs w:val="32"/>
                <w:lang w:val="en-US"/>
              </w:rPr>
            </w:pPr>
          </w:p>
          <w:p w:rsidR="00F26A7D" w:rsidRPr="0010336F" w:rsidRDefault="00F26A7D" w:rsidP="00F26A7D">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O</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2063-0</w:t>
            </w:r>
          </w:p>
          <w:p w:rsidR="00F26A7D" w:rsidRPr="0010336F" w:rsidRDefault="00F26A7D" w:rsidP="00F26A7D">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09</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2014</w:t>
            </w:r>
            <w:r w:rsidRPr="0010336F">
              <w:rPr>
                <w:rFonts w:ascii="Tahoma" w:hAnsi="Tahoma" w:cs="Tahoma"/>
                <w:b/>
                <w:bCs/>
                <w:iCs/>
                <w:color w:val="243285"/>
                <w:szCs w:val="24"/>
                <w:lang w:val="es-ES_tradnl"/>
              </w:rPr>
              <w:t>)</w:t>
            </w:r>
          </w:p>
        </w:tc>
      </w:tr>
      <w:tr w:rsidR="00F26A7D" w:rsidRPr="000F7261" w:rsidTr="00447EAB">
        <w:tc>
          <w:tcPr>
            <w:tcW w:w="10089" w:type="dxa"/>
          </w:tcPr>
          <w:p w:rsidR="00F26A7D" w:rsidRPr="0010336F" w:rsidRDefault="00F26A7D" w:rsidP="00447EAB">
            <w:pPr>
              <w:spacing w:before="80" w:line="500" w:lineRule="exact"/>
              <w:jc w:val="right"/>
              <w:rPr>
                <w:rFonts w:ascii="Tahoma" w:hAnsi="Tahoma" w:cs="Tahoma"/>
                <w:b/>
                <w:bCs/>
                <w:iCs/>
                <w:color w:val="243285"/>
                <w:sz w:val="44"/>
                <w:szCs w:val="44"/>
                <w:lang w:val="es-ES_tradnl"/>
              </w:rPr>
            </w:pPr>
          </w:p>
          <w:p w:rsidR="00F26A7D" w:rsidRDefault="00F26A7D" w:rsidP="00F26A7D">
            <w:pPr>
              <w:spacing w:before="80" w:line="500" w:lineRule="exact"/>
              <w:jc w:val="right"/>
              <w:rPr>
                <w:rFonts w:ascii="Tahoma" w:hAnsi="Tahoma" w:cs="Tahoma"/>
                <w:b/>
                <w:bCs/>
                <w:color w:val="243285"/>
                <w:sz w:val="44"/>
                <w:szCs w:val="44"/>
                <w:lang w:val="es-ES_tradnl"/>
              </w:rPr>
            </w:pPr>
            <w:r w:rsidRPr="00250668">
              <w:rPr>
                <w:rFonts w:ascii="Tahoma" w:hAnsi="Tahoma" w:cs="Tahoma"/>
                <w:b/>
                <w:bCs/>
                <w:color w:val="243285"/>
                <w:sz w:val="44"/>
                <w:szCs w:val="44"/>
                <w:lang w:val="es-ES_tradnl"/>
              </w:rPr>
              <w:t>Diagrama alternativo de radiación de antena de estación terrena del SRS para</w:t>
            </w:r>
            <w:r>
              <w:rPr>
                <w:rFonts w:ascii="Tahoma" w:hAnsi="Tahoma" w:cs="Tahoma"/>
                <w:b/>
                <w:bCs/>
                <w:color w:val="243285"/>
                <w:sz w:val="44"/>
                <w:szCs w:val="44"/>
                <w:lang w:val="es-ES_tradnl"/>
              </w:rPr>
              <w:t xml:space="preserve"> </w:t>
            </w:r>
            <w:r w:rsidRPr="00250668">
              <w:rPr>
                <w:rFonts w:ascii="Tahoma" w:hAnsi="Tahoma" w:cs="Tahoma"/>
                <w:b/>
                <w:bCs/>
                <w:color w:val="243285"/>
                <w:sz w:val="44"/>
                <w:szCs w:val="44"/>
                <w:lang w:val="es-ES_tradnl"/>
              </w:rPr>
              <w:t>bandas</w:t>
            </w:r>
            <w:r>
              <w:rPr>
                <w:rFonts w:ascii="Tahoma" w:hAnsi="Tahoma" w:cs="Tahoma"/>
                <w:b/>
                <w:bCs/>
                <w:color w:val="243285"/>
                <w:sz w:val="44"/>
                <w:szCs w:val="44"/>
                <w:lang w:val="es-ES_tradnl"/>
              </w:rPr>
              <w:br/>
            </w:r>
            <w:r w:rsidRPr="00250668">
              <w:rPr>
                <w:rFonts w:ascii="Tahoma" w:hAnsi="Tahoma" w:cs="Tahoma"/>
                <w:b/>
                <w:bCs/>
                <w:color w:val="243285"/>
                <w:sz w:val="44"/>
                <w:szCs w:val="44"/>
                <w:lang w:val="es-ES_tradnl"/>
              </w:rPr>
              <w:t>de 12 GHz con aberturas</w:t>
            </w:r>
            <w:r>
              <w:rPr>
                <w:rFonts w:ascii="Tahoma" w:hAnsi="Tahoma" w:cs="Tahoma"/>
                <w:b/>
                <w:bCs/>
                <w:color w:val="243285"/>
                <w:sz w:val="44"/>
                <w:szCs w:val="44"/>
                <w:lang w:val="es-ES_tradnl"/>
              </w:rPr>
              <w:t xml:space="preserve"> </w:t>
            </w:r>
            <w:r w:rsidRPr="00250668">
              <w:rPr>
                <w:rFonts w:ascii="Tahoma" w:hAnsi="Tahoma" w:cs="Tahoma"/>
                <w:b/>
                <w:bCs/>
                <w:color w:val="243285"/>
                <w:sz w:val="44"/>
                <w:szCs w:val="44"/>
                <w:lang w:val="es-ES_tradnl"/>
              </w:rPr>
              <w:t>efectivas</w:t>
            </w:r>
            <w:r>
              <w:rPr>
                <w:rFonts w:ascii="Tahoma" w:hAnsi="Tahoma" w:cs="Tahoma"/>
                <w:b/>
                <w:bCs/>
                <w:color w:val="243285"/>
                <w:sz w:val="44"/>
                <w:szCs w:val="44"/>
                <w:lang w:val="es-ES_tradnl"/>
              </w:rPr>
              <w:br/>
            </w:r>
            <w:r w:rsidRPr="00250668">
              <w:rPr>
                <w:rFonts w:ascii="Tahoma" w:hAnsi="Tahoma" w:cs="Tahoma"/>
                <w:b/>
                <w:bCs/>
                <w:color w:val="243285"/>
                <w:sz w:val="44"/>
                <w:szCs w:val="44"/>
                <w:lang w:val="es-ES_tradnl"/>
              </w:rPr>
              <w:t>entre 55 y 75 cm</w:t>
            </w:r>
          </w:p>
          <w:p w:rsidR="00F26A7D" w:rsidRPr="0010336F" w:rsidRDefault="00F26A7D" w:rsidP="00447EAB">
            <w:pPr>
              <w:spacing w:before="80" w:line="500" w:lineRule="exact"/>
              <w:jc w:val="right"/>
              <w:rPr>
                <w:rFonts w:ascii="Tahoma" w:hAnsi="Tahoma" w:cs="Tahoma"/>
                <w:b/>
                <w:bCs/>
                <w:iCs/>
                <w:color w:val="243285"/>
                <w:sz w:val="44"/>
                <w:szCs w:val="44"/>
                <w:lang w:val="es-ES_tradnl"/>
              </w:rPr>
            </w:pPr>
          </w:p>
        </w:tc>
      </w:tr>
      <w:tr w:rsidR="00F26A7D" w:rsidRPr="000F7261" w:rsidTr="00447EAB">
        <w:tc>
          <w:tcPr>
            <w:tcW w:w="10089" w:type="dxa"/>
          </w:tcPr>
          <w:p w:rsidR="00F26A7D" w:rsidRDefault="00F26A7D" w:rsidP="00447EAB">
            <w:pPr>
              <w:spacing w:before="80" w:line="280" w:lineRule="exact"/>
              <w:ind w:right="640"/>
              <w:rPr>
                <w:rFonts w:ascii="Tahoma" w:hAnsi="Tahoma" w:cs="Tahoma"/>
                <w:b/>
                <w:bCs/>
                <w:iCs/>
                <w:color w:val="243285"/>
                <w:sz w:val="32"/>
                <w:szCs w:val="32"/>
                <w:lang w:val="es-ES_tradnl"/>
              </w:rPr>
            </w:pPr>
          </w:p>
          <w:p w:rsidR="00F26A7D" w:rsidRPr="0010336F" w:rsidRDefault="00F26A7D" w:rsidP="00447EAB">
            <w:pPr>
              <w:spacing w:before="80" w:line="280" w:lineRule="exact"/>
              <w:ind w:right="640"/>
              <w:rPr>
                <w:rFonts w:ascii="Tahoma" w:hAnsi="Tahoma" w:cs="Tahoma"/>
                <w:b/>
                <w:bCs/>
                <w:iCs/>
                <w:color w:val="243285"/>
                <w:sz w:val="32"/>
                <w:szCs w:val="32"/>
                <w:lang w:val="es-ES_tradnl"/>
              </w:rPr>
            </w:pPr>
          </w:p>
          <w:p w:rsidR="00F26A7D" w:rsidRPr="0010336F" w:rsidRDefault="00F26A7D" w:rsidP="00447EAB">
            <w:pPr>
              <w:spacing w:before="80" w:line="280" w:lineRule="exact"/>
              <w:ind w:right="640"/>
              <w:rPr>
                <w:rFonts w:ascii="Tahoma" w:hAnsi="Tahoma" w:cs="Tahoma"/>
                <w:b/>
                <w:bCs/>
                <w:iCs/>
                <w:color w:val="243285"/>
                <w:sz w:val="32"/>
                <w:szCs w:val="32"/>
                <w:lang w:val="es-ES_tradnl"/>
              </w:rPr>
            </w:pPr>
          </w:p>
          <w:p w:rsidR="00F26A7D" w:rsidRPr="0010336F" w:rsidRDefault="00F26A7D" w:rsidP="00447EAB">
            <w:pPr>
              <w:spacing w:before="80" w:after="180" w:line="360" w:lineRule="exact"/>
              <w:ind w:right="720"/>
              <w:rPr>
                <w:rFonts w:ascii="Tahoma" w:hAnsi="Tahoma" w:cs="Tahoma"/>
                <w:b/>
                <w:bCs/>
                <w:iCs/>
                <w:color w:val="243285"/>
                <w:sz w:val="36"/>
                <w:szCs w:val="36"/>
                <w:lang w:val="es-ES_tradnl"/>
              </w:rPr>
            </w:pPr>
          </w:p>
          <w:p w:rsidR="00F26A7D" w:rsidRPr="0010336F" w:rsidRDefault="00F26A7D" w:rsidP="00447EA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O</w:t>
            </w:r>
          </w:p>
          <w:p w:rsidR="00F26A7D" w:rsidRPr="0010336F" w:rsidRDefault="00F26A7D" w:rsidP="00447EA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Distribución por satélite</w:t>
            </w:r>
          </w:p>
        </w:tc>
      </w:tr>
    </w:tbl>
    <w:p w:rsidR="00F26A7D" w:rsidRPr="0026666F" w:rsidRDefault="00F26A7D" w:rsidP="00F26A7D">
      <w:pPr>
        <w:spacing w:before="80"/>
        <w:rPr>
          <w:i/>
          <w:sz w:val="22"/>
          <w:lang w:val="es-ES_tradnl"/>
        </w:rPr>
      </w:pPr>
    </w:p>
    <w:p w:rsidR="00F26A7D" w:rsidRPr="00D12C1A" w:rsidRDefault="00F26A7D" w:rsidP="00F26A7D">
      <w:pPr>
        <w:spacing w:before="80"/>
        <w:rPr>
          <w:lang w:val="es-ES_tradnl"/>
        </w:rPr>
      </w:pPr>
    </w:p>
    <w:p w:rsidR="00F26A7D" w:rsidRPr="0026666F" w:rsidRDefault="00F26A7D" w:rsidP="00F26A7D">
      <w:pPr>
        <w:spacing w:before="80"/>
        <w:rPr>
          <w:i/>
          <w:sz w:val="22"/>
          <w:lang w:val="es-ES_tradnl"/>
        </w:rPr>
      </w:pPr>
    </w:p>
    <w:p w:rsidR="00F26A7D" w:rsidRDefault="00F26A7D" w:rsidP="00F26A7D">
      <w:pPr>
        <w:spacing w:before="80"/>
        <w:rPr>
          <w:i/>
          <w:sz w:val="22"/>
          <w:lang w:val="es-ES_tradnl"/>
        </w:rPr>
      </w:pPr>
    </w:p>
    <w:p w:rsidR="00D12C1A" w:rsidRDefault="00D12C1A" w:rsidP="00D12C1A">
      <w:pPr>
        <w:spacing w:before="80"/>
        <w:jc w:val="left"/>
        <w:rPr>
          <w:lang w:val="es-ES_tradnl"/>
        </w:rPr>
      </w:pPr>
    </w:p>
    <w:p w:rsidR="00D12C1A" w:rsidRPr="00D12C1A" w:rsidRDefault="00D12C1A" w:rsidP="00D12C1A">
      <w:pPr>
        <w:spacing w:before="80"/>
        <w:jc w:val="left"/>
        <w:rPr>
          <w:lang w:val="es-ES_tradnl"/>
        </w:rPr>
      </w:pPr>
    </w:p>
    <w:p w:rsidR="00F26A7D" w:rsidRPr="0026666F" w:rsidRDefault="00F26A7D" w:rsidP="00F26A7D">
      <w:pPr>
        <w:spacing w:before="80"/>
        <w:rPr>
          <w:i/>
          <w:sz w:val="22"/>
          <w:lang w:val="es-ES_tradnl"/>
        </w:rPr>
      </w:pPr>
    </w:p>
    <w:p w:rsidR="00F26A7D" w:rsidRPr="0026666F" w:rsidRDefault="00F26A7D" w:rsidP="00F26A7D">
      <w:pPr>
        <w:pStyle w:val="Equation"/>
        <w:tabs>
          <w:tab w:val="clear" w:pos="4820"/>
          <w:tab w:val="clear" w:pos="9639"/>
          <w:tab w:val="left" w:pos="1191"/>
          <w:tab w:val="left" w:pos="1588"/>
          <w:tab w:val="left" w:pos="1985"/>
        </w:tabs>
        <w:rPr>
          <w:rFonts w:ascii="Palatino Linotype" w:hAnsi="Palatino Linotype"/>
          <w:lang w:val="es-ES_tradnl"/>
        </w:rPr>
        <w:sectPr w:rsidR="00F26A7D" w:rsidRPr="0026666F">
          <w:headerReference w:type="even" r:id="rId6"/>
          <w:headerReference w:type="default" r:id="rId7"/>
          <w:pgSz w:w="11907" w:h="16840" w:code="9"/>
          <w:pgMar w:top="1089" w:right="1089" w:bottom="284" w:left="1089" w:header="567" w:footer="284" w:gutter="0"/>
          <w:pgNumType w:start="1"/>
          <w:cols w:space="720"/>
        </w:sectPr>
      </w:pPr>
    </w:p>
    <w:p w:rsidR="00F26A7D" w:rsidRPr="006C718C" w:rsidRDefault="00F26A7D" w:rsidP="00F26A7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F26A7D" w:rsidRPr="006C718C" w:rsidRDefault="00F26A7D" w:rsidP="00F26A7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26A7D" w:rsidRPr="006C718C" w:rsidRDefault="00F26A7D" w:rsidP="00F26A7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26A7D" w:rsidRPr="00021E8A" w:rsidRDefault="00F26A7D" w:rsidP="00F26A7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26A7D" w:rsidRPr="00021E8A" w:rsidRDefault="00F26A7D" w:rsidP="00F26A7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26A7D" w:rsidRPr="007C36CA" w:rsidRDefault="00F26A7D" w:rsidP="00F26A7D">
      <w:pPr>
        <w:spacing w:before="0"/>
        <w:jc w:val="center"/>
        <w:rPr>
          <w:sz w:val="22"/>
          <w:lang w:val="es-ES_tradnl"/>
        </w:rPr>
      </w:pPr>
    </w:p>
    <w:p w:rsidR="00F26A7D" w:rsidRPr="007C36CA" w:rsidRDefault="00F26A7D" w:rsidP="00F26A7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26A7D" w:rsidRPr="000F7261" w:rsidTr="00447EAB">
        <w:tc>
          <w:tcPr>
            <w:tcW w:w="9360" w:type="dxa"/>
            <w:gridSpan w:val="2"/>
          </w:tcPr>
          <w:p w:rsidR="00F26A7D" w:rsidRPr="00021E8A" w:rsidRDefault="00F26A7D" w:rsidP="00447EA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26A7D" w:rsidRPr="00763D08" w:rsidRDefault="00F26A7D"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26A7D" w:rsidRPr="00036EE3" w:rsidTr="00447EAB">
        <w:tc>
          <w:tcPr>
            <w:tcW w:w="1140" w:type="dxa"/>
            <w:tcBorders>
              <w:bottom w:val="nil"/>
            </w:tcBorders>
          </w:tcPr>
          <w:p w:rsidR="00F26A7D" w:rsidRPr="00036EE3" w:rsidRDefault="00F26A7D" w:rsidP="00447EAB">
            <w:pPr>
              <w:spacing w:before="180" w:after="100"/>
              <w:ind w:left="57"/>
              <w:rPr>
                <w:b/>
                <w:bCs/>
                <w:sz w:val="20"/>
                <w:lang w:val="en-US"/>
              </w:rPr>
            </w:pPr>
            <w:r w:rsidRPr="00036EE3">
              <w:rPr>
                <w:b/>
                <w:bCs/>
                <w:sz w:val="20"/>
                <w:lang w:val="en-US"/>
              </w:rPr>
              <w:t>Series</w:t>
            </w:r>
          </w:p>
        </w:tc>
        <w:tc>
          <w:tcPr>
            <w:tcW w:w="8220" w:type="dxa"/>
            <w:tcBorders>
              <w:bottom w:val="nil"/>
            </w:tcBorders>
          </w:tcPr>
          <w:p w:rsidR="00F26A7D" w:rsidRPr="00036EE3" w:rsidRDefault="00F26A7D"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F26A7D" w:rsidRPr="006B22C3" w:rsidTr="00447EAB">
        <w:tc>
          <w:tcPr>
            <w:tcW w:w="1140" w:type="dxa"/>
            <w:tcBorders>
              <w:top w:val="nil"/>
              <w:bottom w:val="nil"/>
            </w:tcBorders>
            <w:shd w:val="clear" w:color="auto" w:fill="F3F3F3"/>
          </w:tcPr>
          <w:p w:rsidR="00F26A7D" w:rsidRPr="006B22C3" w:rsidRDefault="00F26A7D" w:rsidP="00447EAB">
            <w:pPr>
              <w:spacing w:before="30" w:after="30"/>
              <w:ind w:left="57"/>
              <w:jc w:val="left"/>
              <w:rPr>
                <w:b/>
                <w:bCs/>
                <w:color w:val="000080"/>
                <w:sz w:val="20"/>
                <w:lang w:val="en-US"/>
              </w:rPr>
            </w:pPr>
            <w:r w:rsidRPr="006B22C3">
              <w:rPr>
                <w:b/>
                <w:bCs/>
                <w:color w:val="000080"/>
                <w:sz w:val="20"/>
                <w:lang w:val="en-US"/>
              </w:rPr>
              <w:t>BO</w:t>
            </w:r>
          </w:p>
        </w:tc>
        <w:tc>
          <w:tcPr>
            <w:tcW w:w="8220" w:type="dxa"/>
            <w:tcBorders>
              <w:top w:val="nil"/>
              <w:bottom w:val="nil"/>
            </w:tcBorders>
            <w:shd w:val="clear" w:color="auto" w:fill="F3F3F3"/>
          </w:tcPr>
          <w:p w:rsidR="00F26A7D" w:rsidRPr="006B22C3" w:rsidRDefault="00F26A7D"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proofErr w:type="spellStart"/>
            <w:r w:rsidRPr="006B22C3">
              <w:rPr>
                <w:bCs/>
                <w:color w:val="000080"/>
                <w:sz w:val="20"/>
              </w:rPr>
              <w:t>Distribución</w:t>
            </w:r>
            <w:proofErr w:type="spellEnd"/>
            <w:r w:rsidRPr="006B22C3">
              <w:rPr>
                <w:bCs/>
                <w:color w:val="000080"/>
                <w:sz w:val="20"/>
              </w:rPr>
              <w:t xml:space="preserve"> </w:t>
            </w:r>
            <w:proofErr w:type="spellStart"/>
            <w:r w:rsidRPr="006B22C3">
              <w:rPr>
                <w:bCs/>
                <w:color w:val="000080"/>
                <w:sz w:val="20"/>
              </w:rPr>
              <w:t>por</w:t>
            </w:r>
            <w:proofErr w:type="spellEnd"/>
            <w:r w:rsidRPr="006B22C3">
              <w:rPr>
                <w:bCs/>
                <w:color w:val="000080"/>
                <w:sz w:val="20"/>
              </w:rPr>
              <w:t xml:space="preserve"> </w:t>
            </w:r>
            <w:proofErr w:type="spellStart"/>
            <w:r w:rsidRPr="006B22C3">
              <w:rPr>
                <w:bCs/>
                <w:color w:val="000080"/>
                <w:sz w:val="20"/>
              </w:rPr>
              <w:t>satélite</w:t>
            </w:r>
            <w:proofErr w:type="spellEnd"/>
          </w:p>
        </w:tc>
      </w:tr>
      <w:tr w:rsidR="00F26A7D" w:rsidRPr="000F7261" w:rsidTr="00447EAB">
        <w:tc>
          <w:tcPr>
            <w:tcW w:w="1140" w:type="dxa"/>
            <w:tcBorders>
              <w:top w:val="nil"/>
              <w:bottom w:val="nil"/>
            </w:tcBorders>
            <w:shd w:val="clear" w:color="auto" w:fill="auto"/>
          </w:tcPr>
          <w:p w:rsidR="00F26A7D" w:rsidRPr="006B22C3" w:rsidRDefault="00F26A7D" w:rsidP="00447EA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26A7D" w:rsidRPr="006B22C3" w:rsidRDefault="00F26A7D"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26A7D" w:rsidRPr="00036EE3" w:rsidTr="00447EAB">
        <w:tc>
          <w:tcPr>
            <w:tcW w:w="1140" w:type="dxa"/>
            <w:tcBorders>
              <w:top w:val="nil"/>
            </w:tcBorders>
          </w:tcPr>
          <w:p w:rsidR="00F26A7D" w:rsidRPr="00036EE3" w:rsidRDefault="00F26A7D" w:rsidP="00447EAB">
            <w:pPr>
              <w:spacing w:before="30" w:after="30"/>
              <w:ind w:left="57"/>
              <w:jc w:val="left"/>
              <w:rPr>
                <w:b/>
                <w:bCs/>
                <w:sz w:val="20"/>
                <w:lang w:val="en-US"/>
              </w:rPr>
            </w:pPr>
            <w:r w:rsidRPr="00036EE3">
              <w:rPr>
                <w:b/>
                <w:bCs/>
                <w:sz w:val="20"/>
                <w:lang w:val="en-US"/>
              </w:rPr>
              <w:t>BS</w:t>
            </w:r>
          </w:p>
        </w:tc>
        <w:tc>
          <w:tcPr>
            <w:tcW w:w="8220" w:type="dxa"/>
            <w:tcBorders>
              <w:top w:val="nil"/>
            </w:tcBorders>
          </w:tcPr>
          <w:p w:rsidR="00F26A7D" w:rsidRPr="00021E8A" w:rsidRDefault="00F26A7D"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F26A7D" w:rsidRPr="00ED2695" w:rsidTr="00447EAB">
        <w:tc>
          <w:tcPr>
            <w:tcW w:w="1140" w:type="dxa"/>
            <w:shd w:val="clear" w:color="auto" w:fill="auto"/>
          </w:tcPr>
          <w:p w:rsidR="00F26A7D" w:rsidRPr="00ED2695" w:rsidRDefault="00F26A7D" w:rsidP="00447EAB">
            <w:pPr>
              <w:spacing w:before="30" w:after="30"/>
              <w:ind w:left="57"/>
              <w:jc w:val="left"/>
              <w:rPr>
                <w:b/>
                <w:bCs/>
                <w:sz w:val="20"/>
                <w:lang w:val="en-US"/>
              </w:rPr>
            </w:pPr>
            <w:r w:rsidRPr="00ED2695">
              <w:rPr>
                <w:b/>
                <w:bCs/>
                <w:sz w:val="20"/>
                <w:lang w:val="en-US"/>
              </w:rPr>
              <w:t>BT</w:t>
            </w:r>
          </w:p>
        </w:tc>
        <w:tc>
          <w:tcPr>
            <w:tcW w:w="8220" w:type="dxa"/>
            <w:shd w:val="clear" w:color="auto" w:fill="auto"/>
          </w:tcPr>
          <w:p w:rsidR="00F26A7D" w:rsidRPr="00021E8A" w:rsidRDefault="00F26A7D"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F26A7D" w:rsidRPr="00036EE3" w:rsidTr="00447EAB">
        <w:tc>
          <w:tcPr>
            <w:tcW w:w="1140" w:type="dxa"/>
            <w:tcBorders>
              <w:bottom w:val="nil"/>
            </w:tcBorders>
            <w:shd w:val="clear" w:color="auto" w:fill="auto"/>
          </w:tcPr>
          <w:p w:rsidR="00F26A7D" w:rsidRPr="00036EE3" w:rsidRDefault="00F26A7D" w:rsidP="00447EAB">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F26A7D" w:rsidRPr="00021E8A" w:rsidRDefault="00F26A7D" w:rsidP="00447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F26A7D" w:rsidRPr="000F7261" w:rsidTr="00447EAB">
        <w:tc>
          <w:tcPr>
            <w:tcW w:w="1140" w:type="dxa"/>
            <w:tcBorders>
              <w:top w:val="nil"/>
              <w:bottom w:val="nil"/>
            </w:tcBorders>
            <w:shd w:val="clear" w:color="auto" w:fill="auto"/>
          </w:tcPr>
          <w:p w:rsidR="00F26A7D" w:rsidRPr="0010336F" w:rsidRDefault="00F26A7D" w:rsidP="00447EA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26A7D" w:rsidRPr="0010336F" w:rsidRDefault="00F26A7D" w:rsidP="00447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 xml:space="preserve">viles, de </w:t>
            </w:r>
            <w:proofErr w:type="spellStart"/>
            <w:r w:rsidRPr="0010336F">
              <w:rPr>
                <w:rFonts w:hAnsi="Times New Roman Bold"/>
                <w:b w:val="0"/>
                <w:sz w:val="20"/>
                <w:lang w:val="es-ES_tradnl"/>
              </w:rPr>
              <w:t>radiodeterminaci</w:t>
            </w:r>
            <w:r w:rsidRPr="0010336F">
              <w:rPr>
                <w:rFonts w:hAnsi="Times New Roman Bold"/>
                <w:b w:val="0"/>
                <w:sz w:val="20"/>
                <w:lang w:val="es-ES_tradnl"/>
              </w:rPr>
              <w:t>ó</w:t>
            </w:r>
            <w:r w:rsidRPr="0010336F">
              <w:rPr>
                <w:rFonts w:hAnsi="Times New Roman Bold"/>
                <w:b w:val="0"/>
                <w:sz w:val="20"/>
                <w:lang w:val="es-ES_tradnl"/>
              </w:rPr>
              <w:t>n</w:t>
            </w:r>
            <w:proofErr w:type="spellEnd"/>
            <w:r w:rsidRPr="0010336F">
              <w:rPr>
                <w:rFonts w:hAnsi="Times New Roman Bold"/>
                <w:b w:val="0"/>
                <w:sz w:val="20"/>
                <w:lang w:val="es-ES_tradnl"/>
              </w:rPr>
              <w:t>,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26A7D" w:rsidRPr="000F7261" w:rsidTr="00447EAB">
        <w:tc>
          <w:tcPr>
            <w:tcW w:w="1140" w:type="dxa"/>
            <w:tcBorders>
              <w:top w:val="nil"/>
            </w:tcBorders>
          </w:tcPr>
          <w:p w:rsidR="00F26A7D" w:rsidRPr="00036EE3" w:rsidRDefault="00F26A7D" w:rsidP="00447EAB">
            <w:pPr>
              <w:spacing w:before="30" w:after="30"/>
              <w:ind w:left="57"/>
              <w:jc w:val="left"/>
              <w:rPr>
                <w:b/>
                <w:bCs/>
                <w:sz w:val="20"/>
                <w:lang w:val="fr-CH"/>
              </w:rPr>
            </w:pPr>
            <w:r w:rsidRPr="00036EE3">
              <w:rPr>
                <w:b/>
                <w:bCs/>
                <w:sz w:val="20"/>
                <w:lang w:val="fr-CH"/>
              </w:rPr>
              <w:t>P</w:t>
            </w:r>
          </w:p>
        </w:tc>
        <w:tc>
          <w:tcPr>
            <w:tcW w:w="8220" w:type="dxa"/>
            <w:tcBorders>
              <w:top w:val="nil"/>
            </w:tcBorders>
          </w:tcPr>
          <w:p w:rsidR="00F26A7D" w:rsidRPr="00021E8A" w:rsidRDefault="00F26A7D" w:rsidP="00447EAB">
            <w:pPr>
              <w:spacing w:before="30" w:after="30"/>
              <w:jc w:val="left"/>
              <w:rPr>
                <w:bCs/>
                <w:sz w:val="20"/>
                <w:lang w:val="es-ES_tradnl"/>
              </w:rPr>
            </w:pPr>
            <w:r w:rsidRPr="00021E8A">
              <w:rPr>
                <w:bCs/>
                <w:sz w:val="20"/>
                <w:lang w:val="es-ES_tradnl"/>
              </w:rPr>
              <w:t>Propagación de las ondas radioeléctricas</w:t>
            </w:r>
          </w:p>
        </w:tc>
      </w:tr>
      <w:tr w:rsidR="00F26A7D" w:rsidRPr="00036EE3" w:rsidTr="00447EAB">
        <w:tc>
          <w:tcPr>
            <w:tcW w:w="1140" w:type="dxa"/>
          </w:tcPr>
          <w:p w:rsidR="00F26A7D" w:rsidRPr="00036EE3" w:rsidRDefault="00F26A7D" w:rsidP="00447EAB">
            <w:pPr>
              <w:spacing w:before="30" w:after="30"/>
              <w:ind w:left="57"/>
              <w:jc w:val="left"/>
              <w:rPr>
                <w:b/>
                <w:bCs/>
                <w:sz w:val="20"/>
                <w:lang w:val="en-US"/>
              </w:rPr>
            </w:pPr>
            <w:r w:rsidRPr="00036EE3">
              <w:rPr>
                <w:b/>
                <w:bCs/>
                <w:sz w:val="20"/>
                <w:lang w:val="en-US"/>
              </w:rPr>
              <w:t>RA</w:t>
            </w:r>
          </w:p>
        </w:tc>
        <w:tc>
          <w:tcPr>
            <w:tcW w:w="8220" w:type="dxa"/>
          </w:tcPr>
          <w:p w:rsidR="00F26A7D" w:rsidRPr="00021E8A" w:rsidRDefault="00F26A7D" w:rsidP="006D559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F26A7D" w:rsidRPr="000F7261" w:rsidTr="00447EAB">
        <w:tc>
          <w:tcPr>
            <w:tcW w:w="1140" w:type="dxa"/>
          </w:tcPr>
          <w:p w:rsidR="00F26A7D" w:rsidRPr="00036EE3" w:rsidRDefault="00F26A7D" w:rsidP="00447EAB">
            <w:pPr>
              <w:spacing w:before="30" w:after="30"/>
              <w:ind w:left="57"/>
              <w:jc w:val="left"/>
              <w:rPr>
                <w:b/>
                <w:bCs/>
                <w:sz w:val="20"/>
                <w:lang w:val="en-US"/>
              </w:rPr>
            </w:pPr>
            <w:r w:rsidRPr="00036EE3">
              <w:rPr>
                <w:b/>
                <w:bCs/>
                <w:sz w:val="20"/>
                <w:lang w:val="en-US"/>
              </w:rPr>
              <w:t>RS</w:t>
            </w:r>
          </w:p>
        </w:tc>
        <w:tc>
          <w:tcPr>
            <w:tcW w:w="8220" w:type="dxa"/>
          </w:tcPr>
          <w:p w:rsidR="00F26A7D" w:rsidRPr="00021E8A" w:rsidRDefault="00F26A7D" w:rsidP="00447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26A7D" w:rsidRPr="00036EE3" w:rsidTr="00447EAB">
        <w:tc>
          <w:tcPr>
            <w:tcW w:w="1140" w:type="dxa"/>
          </w:tcPr>
          <w:p w:rsidR="00F26A7D" w:rsidRPr="00036EE3" w:rsidRDefault="00F26A7D" w:rsidP="00447EAB">
            <w:pPr>
              <w:spacing w:before="30" w:after="30"/>
              <w:ind w:left="57"/>
              <w:jc w:val="left"/>
              <w:rPr>
                <w:b/>
                <w:bCs/>
                <w:sz w:val="20"/>
                <w:lang w:val="en-US"/>
              </w:rPr>
            </w:pPr>
            <w:r w:rsidRPr="00036EE3">
              <w:rPr>
                <w:b/>
                <w:bCs/>
                <w:sz w:val="20"/>
                <w:lang w:val="en-US"/>
              </w:rPr>
              <w:t>S</w:t>
            </w:r>
          </w:p>
        </w:tc>
        <w:tc>
          <w:tcPr>
            <w:tcW w:w="8220" w:type="dxa"/>
          </w:tcPr>
          <w:p w:rsidR="00F26A7D" w:rsidRPr="00021E8A" w:rsidRDefault="00F26A7D" w:rsidP="00447EAB">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F26A7D" w:rsidRPr="00036EE3" w:rsidTr="00447EAB">
        <w:tc>
          <w:tcPr>
            <w:tcW w:w="1140" w:type="dxa"/>
          </w:tcPr>
          <w:p w:rsidR="00F26A7D" w:rsidRPr="00036EE3" w:rsidRDefault="00F26A7D" w:rsidP="00447EAB">
            <w:pPr>
              <w:spacing w:before="30" w:after="30"/>
              <w:ind w:left="57"/>
              <w:jc w:val="left"/>
              <w:rPr>
                <w:b/>
                <w:bCs/>
                <w:sz w:val="20"/>
                <w:lang w:val="en-US"/>
              </w:rPr>
            </w:pPr>
            <w:r w:rsidRPr="00036EE3">
              <w:rPr>
                <w:b/>
                <w:bCs/>
                <w:sz w:val="20"/>
                <w:lang w:val="en-US"/>
              </w:rPr>
              <w:t>SA</w:t>
            </w:r>
          </w:p>
        </w:tc>
        <w:tc>
          <w:tcPr>
            <w:tcW w:w="8220" w:type="dxa"/>
          </w:tcPr>
          <w:p w:rsidR="00F26A7D" w:rsidRPr="00021E8A" w:rsidRDefault="00F26A7D" w:rsidP="00447EAB">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F26A7D" w:rsidRPr="000F7261" w:rsidTr="00447EAB">
        <w:tc>
          <w:tcPr>
            <w:tcW w:w="1140" w:type="dxa"/>
          </w:tcPr>
          <w:p w:rsidR="00F26A7D" w:rsidRPr="00036EE3" w:rsidRDefault="00F26A7D" w:rsidP="00447EAB">
            <w:pPr>
              <w:spacing w:before="30" w:after="30"/>
              <w:ind w:left="57"/>
              <w:jc w:val="left"/>
              <w:rPr>
                <w:b/>
                <w:bCs/>
                <w:sz w:val="20"/>
                <w:lang w:val="en-US"/>
              </w:rPr>
            </w:pPr>
            <w:r w:rsidRPr="00036EE3">
              <w:rPr>
                <w:b/>
                <w:bCs/>
                <w:sz w:val="20"/>
                <w:lang w:val="en-US"/>
              </w:rPr>
              <w:t>SF</w:t>
            </w:r>
          </w:p>
        </w:tc>
        <w:tc>
          <w:tcPr>
            <w:tcW w:w="8220" w:type="dxa"/>
          </w:tcPr>
          <w:p w:rsidR="00F26A7D" w:rsidRPr="00021E8A" w:rsidRDefault="00F26A7D" w:rsidP="00447EA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26A7D" w:rsidRPr="00036EE3" w:rsidTr="00447EAB">
        <w:tc>
          <w:tcPr>
            <w:tcW w:w="1140" w:type="dxa"/>
            <w:shd w:val="clear" w:color="auto" w:fill="auto"/>
          </w:tcPr>
          <w:p w:rsidR="00F26A7D" w:rsidRPr="001240BC" w:rsidRDefault="00F26A7D" w:rsidP="00447EAB">
            <w:pPr>
              <w:spacing w:before="30" w:after="30"/>
              <w:ind w:left="57"/>
              <w:jc w:val="left"/>
              <w:rPr>
                <w:b/>
                <w:bCs/>
                <w:sz w:val="20"/>
                <w:lang w:val="en-US"/>
              </w:rPr>
            </w:pPr>
            <w:r w:rsidRPr="001240BC">
              <w:rPr>
                <w:b/>
                <w:bCs/>
                <w:sz w:val="20"/>
                <w:lang w:val="en-US"/>
              </w:rPr>
              <w:t>SM</w:t>
            </w:r>
          </w:p>
        </w:tc>
        <w:tc>
          <w:tcPr>
            <w:tcW w:w="8220" w:type="dxa"/>
            <w:shd w:val="clear" w:color="auto" w:fill="auto"/>
          </w:tcPr>
          <w:p w:rsidR="00F26A7D" w:rsidRPr="001240BC" w:rsidRDefault="00F26A7D" w:rsidP="00447EAB">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F26A7D" w:rsidRPr="00036EE3" w:rsidTr="00447EAB">
        <w:tc>
          <w:tcPr>
            <w:tcW w:w="1140" w:type="dxa"/>
          </w:tcPr>
          <w:p w:rsidR="00F26A7D" w:rsidRPr="00036EE3" w:rsidRDefault="00F26A7D" w:rsidP="00447EAB">
            <w:pPr>
              <w:spacing w:before="30" w:after="30"/>
              <w:ind w:left="57"/>
              <w:jc w:val="left"/>
              <w:rPr>
                <w:b/>
                <w:bCs/>
                <w:sz w:val="20"/>
                <w:lang w:val="en-US"/>
              </w:rPr>
            </w:pPr>
            <w:r w:rsidRPr="00036EE3">
              <w:rPr>
                <w:b/>
                <w:bCs/>
                <w:sz w:val="20"/>
                <w:lang w:val="en-US"/>
              </w:rPr>
              <w:t>SNG</w:t>
            </w:r>
          </w:p>
        </w:tc>
        <w:tc>
          <w:tcPr>
            <w:tcW w:w="8220" w:type="dxa"/>
          </w:tcPr>
          <w:p w:rsidR="00F26A7D" w:rsidRPr="00021E8A" w:rsidRDefault="00F26A7D" w:rsidP="00447EAB">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F26A7D" w:rsidRPr="000F7261" w:rsidTr="00447EAB">
        <w:tc>
          <w:tcPr>
            <w:tcW w:w="1140" w:type="dxa"/>
          </w:tcPr>
          <w:p w:rsidR="00F26A7D" w:rsidRPr="00036EE3" w:rsidRDefault="00F26A7D" w:rsidP="00447EAB">
            <w:pPr>
              <w:spacing w:before="30" w:after="30"/>
              <w:ind w:left="57"/>
              <w:jc w:val="left"/>
              <w:rPr>
                <w:b/>
                <w:bCs/>
                <w:sz w:val="20"/>
                <w:lang w:val="en-US"/>
              </w:rPr>
            </w:pPr>
            <w:r w:rsidRPr="00036EE3">
              <w:rPr>
                <w:b/>
                <w:bCs/>
                <w:sz w:val="20"/>
                <w:lang w:val="en-US"/>
              </w:rPr>
              <w:t>TF</w:t>
            </w:r>
          </w:p>
        </w:tc>
        <w:tc>
          <w:tcPr>
            <w:tcW w:w="8220" w:type="dxa"/>
          </w:tcPr>
          <w:p w:rsidR="00F26A7D" w:rsidRPr="00021E8A" w:rsidRDefault="00F26A7D" w:rsidP="00447EAB">
            <w:pPr>
              <w:spacing w:before="30" w:after="30"/>
              <w:jc w:val="left"/>
              <w:rPr>
                <w:bCs/>
                <w:sz w:val="20"/>
                <w:lang w:val="es-ES_tradnl"/>
              </w:rPr>
            </w:pPr>
            <w:r w:rsidRPr="00021E8A">
              <w:rPr>
                <w:bCs/>
                <w:sz w:val="20"/>
                <w:lang w:val="es-ES_tradnl"/>
              </w:rPr>
              <w:t>Emisiones de frecuencias patrón y señales horarias</w:t>
            </w:r>
          </w:p>
        </w:tc>
      </w:tr>
      <w:tr w:rsidR="00F26A7D" w:rsidRPr="00036EE3" w:rsidTr="00447EAB">
        <w:tc>
          <w:tcPr>
            <w:tcW w:w="1140" w:type="dxa"/>
          </w:tcPr>
          <w:p w:rsidR="00F26A7D" w:rsidRPr="00036EE3" w:rsidRDefault="00F26A7D" w:rsidP="00447EAB">
            <w:pPr>
              <w:spacing w:before="30" w:after="30"/>
              <w:ind w:left="57"/>
              <w:jc w:val="left"/>
              <w:rPr>
                <w:b/>
                <w:bCs/>
                <w:sz w:val="20"/>
                <w:lang w:val="en-US"/>
              </w:rPr>
            </w:pPr>
            <w:r w:rsidRPr="00036EE3">
              <w:rPr>
                <w:b/>
                <w:bCs/>
                <w:sz w:val="20"/>
                <w:lang w:val="en-US"/>
              </w:rPr>
              <w:t>V</w:t>
            </w:r>
          </w:p>
        </w:tc>
        <w:tc>
          <w:tcPr>
            <w:tcW w:w="8220" w:type="dxa"/>
          </w:tcPr>
          <w:p w:rsidR="00F26A7D" w:rsidRPr="00021E8A" w:rsidRDefault="00F26A7D" w:rsidP="00447EAB">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F26A7D" w:rsidRPr="00036EE3" w:rsidRDefault="00F26A7D" w:rsidP="00F26A7D">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26A7D" w:rsidTr="00447EAB">
        <w:tc>
          <w:tcPr>
            <w:tcW w:w="720" w:type="dxa"/>
          </w:tcPr>
          <w:p w:rsidR="00F26A7D" w:rsidRDefault="00F26A7D" w:rsidP="00447EAB">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F26A7D" w:rsidRPr="000F7261" w:rsidTr="00447EAB">
        <w:tc>
          <w:tcPr>
            <w:tcW w:w="9360" w:type="dxa"/>
          </w:tcPr>
          <w:p w:rsidR="00F26A7D" w:rsidRPr="00763D08" w:rsidRDefault="00F26A7D" w:rsidP="00447EA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F26A7D" w:rsidRPr="00763D08" w:rsidRDefault="00F26A7D" w:rsidP="00F26A7D">
      <w:pPr>
        <w:spacing w:before="0"/>
        <w:jc w:val="center"/>
        <w:rPr>
          <w:sz w:val="22"/>
          <w:lang w:val="es-ES_tradnl"/>
        </w:rPr>
      </w:pPr>
    </w:p>
    <w:p w:rsidR="00F26A7D" w:rsidRPr="00763D08" w:rsidRDefault="00F26A7D" w:rsidP="00F26A7D">
      <w:pPr>
        <w:spacing w:before="60"/>
        <w:jc w:val="right"/>
        <w:rPr>
          <w:i/>
          <w:iCs/>
          <w:sz w:val="20"/>
          <w:lang w:val="es-ES_tradnl"/>
        </w:rPr>
      </w:pPr>
      <w:r w:rsidRPr="00763D08">
        <w:rPr>
          <w:i/>
          <w:iCs/>
          <w:sz w:val="20"/>
          <w:lang w:val="es-ES_tradnl"/>
        </w:rPr>
        <w:t>Publicación electrónica</w:t>
      </w:r>
    </w:p>
    <w:p w:rsidR="00F26A7D" w:rsidRPr="00763D08" w:rsidRDefault="00F26A7D" w:rsidP="00F26A7D">
      <w:pPr>
        <w:spacing w:before="0" w:after="40"/>
        <w:jc w:val="right"/>
        <w:rPr>
          <w:sz w:val="20"/>
          <w:lang w:val="es-ES_tradnl"/>
        </w:rPr>
      </w:pPr>
      <w:r w:rsidRPr="00763D08">
        <w:rPr>
          <w:sz w:val="20"/>
          <w:lang w:val="es-ES_tradnl"/>
        </w:rPr>
        <w:t>Ginebra, 20</w:t>
      </w:r>
      <w:r>
        <w:rPr>
          <w:sz w:val="20"/>
          <w:lang w:val="es-ES_tradnl"/>
        </w:rPr>
        <w:t>15</w:t>
      </w:r>
    </w:p>
    <w:p w:rsidR="00F26A7D" w:rsidRPr="00763D08" w:rsidRDefault="00F26A7D" w:rsidP="00F26A7D">
      <w:pPr>
        <w:spacing w:before="0"/>
        <w:jc w:val="center"/>
        <w:rPr>
          <w:sz w:val="22"/>
          <w:lang w:val="es-ES_tradnl"/>
        </w:rPr>
      </w:pPr>
    </w:p>
    <w:p w:rsidR="00F26A7D" w:rsidRPr="00763D08" w:rsidRDefault="00F26A7D" w:rsidP="00F26A7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15</w:t>
      </w:r>
    </w:p>
    <w:p w:rsidR="00F26A7D" w:rsidRPr="006C718C" w:rsidRDefault="00F26A7D" w:rsidP="00F26A7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26A7D" w:rsidRPr="006C718C" w:rsidRDefault="00F26A7D" w:rsidP="00F26A7D">
      <w:pPr>
        <w:spacing w:before="160"/>
        <w:rPr>
          <w:i/>
          <w:sz w:val="20"/>
          <w:highlight w:val="yellow"/>
          <w:lang w:val="es-ES_tradnl"/>
        </w:rPr>
        <w:sectPr w:rsidR="00F26A7D"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F26A7D" w:rsidRPr="0010336F" w:rsidRDefault="00F26A7D" w:rsidP="00F26A7D">
      <w:pPr>
        <w:pStyle w:val="RecNo"/>
        <w:spacing w:before="0"/>
        <w:rPr>
          <w:lang w:val="es-ES_tradnl"/>
        </w:rPr>
      </w:pPr>
      <w:bookmarkStart w:id="4" w:name="irecnoe"/>
      <w:bookmarkEnd w:id="4"/>
      <w:r w:rsidRPr="00763D08">
        <w:rPr>
          <w:lang w:val="es-ES_tradnl"/>
        </w:rPr>
        <w:t xml:space="preserve">RECOMENDACIÓN  </w:t>
      </w:r>
      <w:r w:rsidRPr="0010336F">
        <w:rPr>
          <w:rStyle w:val="href"/>
          <w:lang w:val="es-ES_tradnl"/>
        </w:rPr>
        <w:t>UIT-R  B</w:t>
      </w:r>
      <w:r>
        <w:rPr>
          <w:rStyle w:val="href"/>
          <w:lang w:val="es-ES_tradnl"/>
        </w:rPr>
        <w:t>O</w:t>
      </w:r>
      <w:r w:rsidRPr="0010336F">
        <w:rPr>
          <w:rStyle w:val="href"/>
          <w:lang w:val="es-ES_tradnl"/>
        </w:rPr>
        <w:t>.</w:t>
      </w:r>
      <w:r>
        <w:rPr>
          <w:rStyle w:val="href"/>
          <w:lang w:val="es-ES_tradnl"/>
        </w:rPr>
        <w:t>2063-0</w:t>
      </w:r>
    </w:p>
    <w:p w:rsidR="00F26A7D" w:rsidRPr="00250668" w:rsidRDefault="00F26A7D" w:rsidP="00F26A7D">
      <w:pPr>
        <w:pStyle w:val="Rectitle"/>
        <w:rPr>
          <w:lang w:val="es-ES_tradnl"/>
        </w:rPr>
      </w:pPr>
      <w:r w:rsidRPr="00250668">
        <w:rPr>
          <w:lang w:val="es-ES_tradnl"/>
        </w:rPr>
        <w:t xml:space="preserve">Diagrama alternativo de radiación de antena de estación terrena </w:t>
      </w:r>
      <w:r w:rsidRPr="00250668">
        <w:rPr>
          <w:lang w:val="es-ES_tradnl"/>
        </w:rPr>
        <w:br/>
        <w:t xml:space="preserve">del SRS para bandas de 12 GHz con aberturas </w:t>
      </w:r>
      <w:r w:rsidRPr="00250668">
        <w:rPr>
          <w:lang w:val="es-ES_tradnl"/>
        </w:rPr>
        <w:br/>
        <w:t>efectivas entre 55 y 75 cm</w:t>
      </w:r>
    </w:p>
    <w:p w:rsidR="00F26A7D" w:rsidRPr="00250668" w:rsidRDefault="00F26A7D" w:rsidP="00F26A7D">
      <w:pPr>
        <w:pStyle w:val="Recdate"/>
        <w:rPr>
          <w:lang w:val="es-ES_tradnl"/>
        </w:rPr>
      </w:pPr>
      <w:bookmarkStart w:id="5" w:name="Revision_history"/>
      <w:r w:rsidRPr="00250668">
        <w:rPr>
          <w:lang w:val="es-ES_tradnl"/>
        </w:rPr>
        <w:t>(2014)</w:t>
      </w:r>
      <w:bookmarkEnd w:id="5"/>
    </w:p>
    <w:p w:rsidR="00F26A7D" w:rsidRPr="00250668" w:rsidRDefault="00F26A7D" w:rsidP="00F26A7D">
      <w:pPr>
        <w:pStyle w:val="HeadingSum"/>
      </w:pPr>
      <w:r w:rsidRPr="00250668">
        <w:t>Cometido</w:t>
      </w:r>
    </w:p>
    <w:p w:rsidR="00F26A7D" w:rsidRPr="00250668" w:rsidRDefault="00F26A7D" w:rsidP="006D5593">
      <w:pPr>
        <w:pStyle w:val="Summary"/>
        <w:rPr>
          <w:lang w:eastAsia="zh-CN"/>
        </w:rPr>
      </w:pPr>
      <w:r w:rsidRPr="00250668">
        <w:rPr>
          <w:lang w:eastAsia="zh-CN"/>
        </w:rPr>
        <w:t xml:space="preserve">El objeto de esta Recomendación es proporcionar un diagrama de radiación alternativo de antena para las estaciones terrenas receptoras del servicio de radiodifusión por satélite (SRS) con aberturas efectivas entre 55 y 75 cm. Este diagrama alternativo se basa en la ganancia relativa (dB) y cuenta con una supresión del lóbulo lateral </w:t>
      </w:r>
      <w:proofErr w:type="spellStart"/>
      <w:r w:rsidRPr="00250668">
        <w:rPr>
          <w:lang w:eastAsia="zh-CN"/>
        </w:rPr>
        <w:t>copolar</w:t>
      </w:r>
      <w:proofErr w:type="spellEnd"/>
      <w:r w:rsidRPr="00250668">
        <w:rPr>
          <w:lang w:eastAsia="zh-CN"/>
        </w:rPr>
        <w:t xml:space="preserve"> mejorada (especialmente en la gama angular fuera del eje 2,5</w:t>
      </w:r>
      <w:r w:rsidR="006D5593">
        <w:rPr>
          <w:lang w:eastAsia="zh-CN"/>
        </w:rPr>
        <w:t>°</w:t>
      </w:r>
      <w:r w:rsidRPr="00250668">
        <w:rPr>
          <w:lang w:eastAsia="zh-CN"/>
        </w:rPr>
        <w:t>-9</w:t>
      </w:r>
      <w:r w:rsidR="006D5593">
        <w:rPr>
          <w:lang w:eastAsia="zh-CN"/>
        </w:rPr>
        <w:t>°</w:t>
      </w:r>
      <w:r w:rsidRPr="00250668">
        <w:rPr>
          <w:lang w:eastAsia="zh-CN"/>
        </w:rPr>
        <w:t xml:space="preserve">) y una mejor discriminación </w:t>
      </w:r>
      <w:proofErr w:type="spellStart"/>
      <w:r w:rsidRPr="00250668">
        <w:rPr>
          <w:lang w:eastAsia="zh-CN"/>
        </w:rPr>
        <w:t>contrapolar</w:t>
      </w:r>
      <w:proofErr w:type="spellEnd"/>
      <w:r w:rsidRPr="00250668">
        <w:rPr>
          <w:lang w:eastAsia="zh-CN"/>
        </w:rPr>
        <w:t xml:space="preserve"> en comparación con el actual diagrama de antena de referencia de la Recomendación UIT-R BO.1213, que se basa en la ganancia absoluta. El diagrama alternativo puede utilizarse para las negociaciones bilaterales y multilaterales de asignaciones nuevas o modificadas en el Plan de la Región 1 o en la Lista de usos adicionales de las Regiones 1 y 3.</w:t>
      </w:r>
    </w:p>
    <w:p w:rsidR="00F26A7D" w:rsidRPr="00250668" w:rsidRDefault="00F26A7D" w:rsidP="00F26A7D">
      <w:pPr>
        <w:pStyle w:val="Headingb"/>
        <w:rPr>
          <w:lang w:val="es-ES_tradnl" w:eastAsia="zh-CN"/>
        </w:rPr>
      </w:pPr>
      <w:r w:rsidRPr="00250668">
        <w:rPr>
          <w:lang w:val="es-ES_tradnl" w:eastAsia="zh-CN"/>
        </w:rPr>
        <w:t>Palabras clave</w:t>
      </w:r>
    </w:p>
    <w:p w:rsidR="00F26A7D" w:rsidRPr="00250668" w:rsidRDefault="00F26A7D" w:rsidP="00F26A7D">
      <w:pPr>
        <w:rPr>
          <w:lang w:val="es-ES_tradnl" w:eastAsia="zh-CN"/>
        </w:rPr>
      </w:pPr>
      <w:r w:rsidRPr="00250668">
        <w:rPr>
          <w:lang w:val="es-ES_tradnl" w:eastAsia="zh-CN"/>
        </w:rPr>
        <w:t>SRS; estación terrena; diagrama de antena; 12 GHz.</w:t>
      </w:r>
    </w:p>
    <w:p w:rsidR="00F26A7D" w:rsidRPr="00250668" w:rsidRDefault="00F26A7D" w:rsidP="00F26A7D">
      <w:pPr>
        <w:pStyle w:val="Headingb"/>
        <w:rPr>
          <w:lang w:val="es-ES_tradnl" w:eastAsia="zh-CN"/>
        </w:rPr>
      </w:pPr>
      <w:r w:rsidRPr="00250668">
        <w:rPr>
          <w:lang w:val="es-ES_tradnl" w:eastAsia="zh-CN"/>
        </w:rPr>
        <w:t>Recomendaciones e Informes de la UIT conexos</w:t>
      </w:r>
    </w:p>
    <w:p w:rsidR="00F26A7D" w:rsidRPr="00250668" w:rsidRDefault="00F26A7D" w:rsidP="00DE782C">
      <w:pPr>
        <w:tabs>
          <w:tab w:val="left" w:pos="3572"/>
        </w:tabs>
        <w:ind w:left="3600" w:hanging="3600"/>
        <w:rPr>
          <w:lang w:val="es-ES_tradnl" w:eastAsia="zh-CN"/>
        </w:rPr>
      </w:pPr>
      <w:r w:rsidRPr="00250668">
        <w:rPr>
          <w:lang w:val="es-ES_tradnl" w:eastAsia="zh-CN"/>
        </w:rPr>
        <w:t>Recomendación UIT-R BO.652-1</w:t>
      </w:r>
      <w:r w:rsidRPr="00250668">
        <w:rPr>
          <w:lang w:val="es-ES_tradnl" w:eastAsia="zh-CN"/>
        </w:rPr>
        <w:tab/>
        <w:t>Diagramas de radiación de referencia de las antenas de estación terrena y de satélite para el servicio de radiodifusión por satélite en la banda de 12</w:t>
      </w:r>
      <w:r>
        <w:rPr>
          <w:lang w:val="es-ES_tradnl" w:eastAsia="zh-CN"/>
        </w:rPr>
        <w:t> </w:t>
      </w:r>
      <w:r w:rsidRPr="00250668">
        <w:rPr>
          <w:lang w:val="es-ES_tradnl" w:eastAsia="zh-CN"/>
        </w:rPr>
        <w:t>GHz y para los enlaces de conexió</w:t>
      </w:r>
      <w:r>
        <w:rPr>
          <w:lang w:val="es-ES_tradnl" w:eastAsia="zh-CN"/>
        </w:rPr>
        <w:t>n asociados en las bandas de 14 GHz y 17 </w:t>
      </w:r>
      <w:r w:rsidRPr="00250668">
        <w:rPr>
          <w:lang w:val="es-ES_tradnl" w:eastAsia="zh-CN"/>
        </w:rPr>
        <w:t>GHz</w:t>
      </w:r>
      <w:r w:rsidR="006D5593">
        <w:rPr>
          <w:lang w:val="es-ES_tradnl" w:eastAsia="zh-CN"/>
        </w:rPr>
        <w:t>.</w:t>
      </w:r>
    </w:p>
    <w:p w:rsidR="00F26A7D" w:rsidRPr="00250668" w:rsidRDefault="00F26A7D" w:rsidP="00DE782C">
      <w:pPr>
        <w:tabs>
          <w:tab w:val="left" w:pos="3572"/>
        </w:tabs>
        <w:ind w:left="3600" w:hanging="3600"/>
        <w:rPr>
          <w:lang w:val="es-ES_tradnl" w:eastAsia="zh-CN"/>
        </w:rPr>
      </w:pPr>
      <w:r w:rsidRPr="00250668">
        <w:rPr>
          <w:lang w:val="es-ES_tradnl" w:eastAsia="zh-CN"/>
        </w:rPr>
        <w:t>Recomendación UIT-R BO.1213-1</w:t>
      </w:r>
      <w:r w:rsidRPr="00250668">
        <w:rPr>
          <w:lang w:val="es-ES_tradnl" w:eastAsia="zh-CN"/>
        </w:rPr>
        <w:tab/>
        <w:t>Diagramas de referencia de antena de la estación terrena receptora que deben de utilizarse para el servicio de radiodifusión por satélite en la banda de 11,7-</w:t>
      </w:r>
      <w:r>
        <w:rPr>
          <w:lang w:val="es-ES_tradnl" w:eastAsia="zh-CN"/>
        </w:rPr>
        <w:t>12,75 </w:t>
      </w:r>
      <w:r w:rsidRPr="00250668">
        <w:rPr>
          <w:lang w:val="es-ES_tradnl" w:eastAsia="zh-CN"/>
        </w:rPr>
        <w:t>GHz</w:t>
      </w:r>
      <w:r w:rsidR="006D5593">
        <w:rPr>
          <w:lang w:val="es-ES_tradnl" w:eastAsia="zh-CN"/>
        </w:rPr>
        <w:t>.</w:t>
      </w:r>
    </w:p>
    <w:p w:rsidR="00F26A7D" w:rsidRDefault="00F26A7D" w:rsidP="00DE782C">
      <w:pPr>
        <w:tabs>
          <w:tab w:val="left" w:pos="3572"/>
        </w:tabs>
        <w:ind w:left="3600" w:hanging="3600"/>
        <w:rPr>
          <w:lang w:val="es-ES_tradnl" w:eastAsia="zh-CN"/>
        </w:rPr>
      </w:pPr>
      <w:r w:rsidRPr="00250668">
        <w:rPr>
          <w:lang w:val="es-ES_tradnl" w:eastAsia="zh-CN"/>
        </w:rPr>
        <w:t>Recomendación UIT-R S.1717-0</w:t>
      </w:r>
      <w:r w:rsidRPr="00250668">
        <w:rPr>
          <w:lang w:val="es-ES_tradnl" w:eastAsia="zh-CN"/>
        </w:rPr>
        <w:tab/>
        <w:t>Formato de fichero de datos electrónico para los diagramas de antena de estación terrena</w:t>
      </w:r>
      <w:r w:rsidR="006D5593">
        <w:rPr>
          <w:lang w:val="es-ES_tradnl" w:eastAsia="zh-CN"/>
        </w:rPr>
        <w:t>.</w:t>
      </w:r>
    </w:p>
    <w:p w:rsidR="00F26A7D" w:rsidRPr="00250668" w:rsidRDefault="00F26A7D" w:rsidP="00F26A7D">
      <w:pPr>
        <w:pStyle w:val="Normalaftertitle"/>
        <w:spacing w:before="240"/>
        <w:rPr>
          <w:lang w:val="es-ES_tradnl" w:eastAsia="zh-CN"/>
        </w:rPr>
      </w:pPr>
      <w:r w:rsidRPr="00250668">
        <w:rPr>
          <w:lang w:val="es-ES_tradnl" w:eastAsia="zh-CN"/>
        </w:rPr>
        <w:t>La Asamblea de Radiocomunicaciones de la UIT,</w:t>
      </w:r>
    </w:p>
    <w:p w:rsidR="00F26A7D" w:rsidRPr="00250668" w:rsidRDefault="00F26A7D" w:rsidP="00F26A7D">
      <w:pPr>
        <w:pStyle w:val="Call"/>
        <w:rPr>
          <w:lang w:val="es-ES_tradnl"/>
        </w:rPr>
      </w:pPr>
      <w:r w:rsidRPr="00250668">
        <w:rPr>
          <w:lang w:val="es-ES_tradnl"/>
        </w:rPr>
        <w:t>considerando</w:t>
      </w:r>
    </w:p>
    <w:p w:rsidR="00F26A7D" w:rsidRPr="00250668" w:rsidRDefault="00F26A7D" w:rsidP="00F26A7D">
      <w:pPr>
        <w:textAlignment w:val="auto"/>
        <w:rPr>
          <w:lang w:val="es-ES_tradnl"/>
        </w:rPr>
      </w:pPr>
      <w:r w:rsidRPr="00250668">
        <w:rPr>
          <w:i/>
          <w:iCs/>
          <w:lang w:val="es-ES_tradnl"/>
        </w:rPr>
        <w:t>a)</w:t>
      </w:r>
      <w:r w:rsidRPr="00250668">
        <w:rPr>
          <w:lang w:val="es-ES_tradnl"/>
        </w:rPr>
        <w:tab/>
        <w:t xml:space="preserve">que en la Resolución </w:t>
      </w:r>
      <w:r>
        <w:rPr>
          <w:b/>
          <w:bCs/>
          <w:lang w:val="es-ES_tradnl"/>
        </w:rPr>
        <w:t>86 (Rev.</w:t>
      </w:r>
      <w:r w:rsidRPr="00250668">
        <w:rPr>
          <w:b/>
          <w:bCs/>
          <w:lang w:val="es-ES_tradnl"/>
        </w:rPr>
        <w:t>CMR-07)</w:t>
      </w:r>
      <w:r w:rsidRPr="00250668">
        <w:rPr>
          <w:lang w:val="es-ES_tradnl"/>
        </w:rPr>
        <w:t xml:space="preserve"> de la Conferencia Mundial de Radiocomunicaciones (Ginebra, 2007) </w:t>
      </w:r>
      <w:r>
        <w:rPr>
          <w:lang w:val="es-ES_tradnl"/>
        </w:rPr>
        <w:t>se invita al UIT</w:t>
      </w:r>
      <w:r>
        <w:rPr>
          <w:lang w:val="es-ES_tradnl"/>
        </w:rPr>
        <w:noBreakHyphen/>
      </w:r>
      <w:r w:rsidRPr="00250668">
        <w:rPr>
          <w:lang w:val="es-ES_tradnl"/>
        </w:rPr>
        <w:t>R y a las administraciones a estudiar las posibilidades de facilitar la utilización racional, eficaz y económica de las frecuencias radioeléctricas y toda órbita asociada, incluida la órbita de los satélites geoestacionarios, y los apéndices conexos del Reglamento de Radiocomunicaciones a fin de reflejar, en la medida de lo posible, las últimas tecnologías;</w:t>
      </w:r>
    </w:p>
    <w:p w:rsidR="00F26A7D" w:rsidRPr="00250668" w:rsidRDefault="00F26A7D" w:rsidP="00DE782C">
      <w:pPr>
        <w:textAlignment w:val="auto"/>
        <w:rPr>
          <w:lang w:val="es-ES_tradnl"/>
        </w:rPr>
      </w:pPr>
      <w:r w:rsidRPr="00250668">
        <w:rPr>
          <w:i/>
          <w:iCs/>
          <w:lang w:val="es-ES_tradnl"/>
        </w:rPr>
        <w:t>b)</w:t>
      </w:r>
      <w:r w:rsidRPr="00250668">
        <w:rPr>
          <w:lang w:val="es-ES_tradnl"/>
        </w:rPr>
        <w:tab/>
        <w:t xml:space="preserve">que la planificación del servicio de radiodifusión por satélite (SRS) en la banda </w:t>
      </w:r>
      <w:r>
        <w:rPr>
          <w:rFonts w:ascii="Times New (W1)" w:hAnsi="Times New (W1)" w:cs="Times New (W1)"/>
          <w:lang w:val="es-ES_tradnl"/>
        </w:rPr>
        <w:t>11,7-12,</w:t>
      </w:r>
      <w:r w:rsidRPr="00250668">
        <w:rPr>
          <w:rFonts w:ascii="Times New (W1)" w:hAnsi="Times New (W1)" w:cs="Times New (W1)"/>
          <w:lang w:val="es-ES_tradnl"/>
        </w:rPr>
        <w:t>5</w:t>
      </w:r>
      <w:r>
        <w:rPr>
          <w:rFonts w:ascii="Times New (W1)" w:hAnsi="Times New (W1)" w:cs="Times New (W1)"/>
          <w:lang w:val="es-ES_tradnl"/>
        </w:rPr>
        <w:t> </w:t>
      </w:r>
      <w:r w:rsidRPr="00250668">
        <w:rPr>
          <w:rFonts w:ascii="Times New (W1)" w:hAnsi="Times New (W1)" w:cs="Times New (W1)"/>
          <w:lang w:val="es-ES_tradnl"/>
        </w:rPr>
        <w:t>GHz para la</w:t>
      </w:r>
      <w:r w:rsidRPr="00250668">
        <w:rPr>
          <w:lang w:val="es-ES_tradnl"/>
        </w:rPr>
        <w:t xml:space="preserve"> Región 1 y en la banda 11</w:t>
      </w:r>
      <w:r>
        <w:rPr>
          <w:lang w:val="es-ES_tradnl"/>
        </w:rPr>
        <w:t>,</w:t>
      </w:r>
      <w:r w:rsidRPr="00250668">
        <w:rPr>
          <w:lang w:val="es-ES_tradnl"/>
        </w:rPr>
        <w:t>7-12</w:t>
      </w:r>
      <w:r>
        <w:rPr>
          <w:lang w:val="es-ES_tradnl"/>
        </w:rPr>
        <w:t>,2 </w:t>
      </w:r>
      <w:r w:rsidRPr="00250668">
        <w:rPr>
          <w:lang w:val="es-ES_tradnl"/>
        </w:rPr>
        <w:t xml:space="preserve">GHz para la Región 3 se basa en el diagrama de radiación de una antena receptora de </w:t>
      </w:r>
      <w:r w:rsidRPr="00250668">
        <w:rPr>
          <w:rFonts w:ascii="Times New (W1)" w:hAnsi="Times New (W1)" w:cs="Times New (W1)"/>
          <w:lang w:val="es-ES_tradnl"/>
        </w:rPr>
        <w:t>60</w:t>
      </w:r>
      <w:r w:rsidR="00DE782C">
        <w:rPr>
          <w:rFonts w:ascii="Times New (W1)" w:hAnsi="Times New (W1)" w:cs="Times New (W1)"/>
          <w:lang w:val="es-ES_tradnl"/>
        </w:rPr>
        <w:t> </w:t>
      </w:r>
      <w:r w:rsidRPr="00250668">
        <w:rPr>
          <w:rFonts w:ascii="Times New (W1)" w:hAnsi="Times New (W1)" w:cs="Times New (W1)"/>
          <w:lang w:val="es-ES_tradnl"/>
        </w:rPr>
        <w:t>cm (CMR-2000) con polarización circular que puede utilizarse a efectos de la coordinación intrarregional e interregional de los sistemas del SRS y otros servicios utilizando la polarización lineal;</w:t>
      </w:r>
    </w:p>
    <w:p w:rsidR="00F26A7D" w:rsidRPr="00250668" w:rsidRDefault="00F26A7D" w:rsidP="00F26A7D">
      <w:pPr>
        <w:textAlignment w:val="auto"/>
        <w:rPr>
          <w:lang w:val="es-ES_tradnl"/>
        </w:rPr>
      </w:pPr>
      <w:r w:rsidRPr="00250668">
        <w:rPr>
          <w:i/>
          <w:iCs/>
          <w:lang w:val="es-ES_tradnl"/>
        </w:rPr>
        <w:t>c)</w:t>
      </w:r>
      <w:r w:rsidRPr="00250668">
        <w:rPr>
          <w:lang w:val="es-ES_tradnl"/>
        </w:rPr>
        <w:tab/>
        <w:t>que el uso de un diagrama de radiación con una mejor discriminación para las antenas de estación terrena del SRS contribuirá a disponer de más espacio en la OSG para nuevas asignaciones en la Lista de usos adicionales de las Regiones 1 y 3;</w:t>
      </w:r>
    </w:p>
    <w:p w:rsidR="00F26A7D" w:rsidRPr="00250668" w:rsidRDefault="00F26A7D" w:rsidP="00F26A7D">
      <w:pPr>
        <w:textAlignment w:val="auto"/>
        <w:rPr>
          <w:lang w:val="es-ES_tradnl"/>
        </w:rPr>
      </w:pPr>
      <w:r w:rsidRPr="00250668">
        <w:rPr>
          <w:i/>
          <w:iCs/>
          <w:lang w:val="es-ES_tradnl"/>
        </w:rPr>
        <w:t>d)</w:t>
      </w:r>
      <w:r w:rsidRPr="00250668">
        <w:rPr>
          <w:lang w:val="es-ES_tradnl"/>
        </w:rPr>
        <w:tab/>
        <w:t>que el Plan del SRS de la Región 2 se basa en una estación terrena de 1 metro de diámetro, con una ganancia relativa del diagrama de radiación de referencia para las antenas receptoras de las estaciones terrenas con una anchura de haz a media potencia comparativamente más estrecha y pendientes más pronunciadas, lo cual permite una ubicación más próxima de las posiciones de la OSG y la utilización de varias opciones de diseño de antena;</w:t>
      </w:r>
    </w:p>
    <w:p w:rsidR="00F26A7D" w:rsidRPr="00250668" w:rsidRDefault="00F26A7D" w:rsidP="00BF2C11">
      <w:pPr>
        <w:rPr>
          <w:lang w:val="es-ES_tradnl"/>
        </w:rPr>
      </w:pPr>
      <w:r w:rsidRPr="00250668">
        <w:rPr>
          <w:i/>
          <w:iCs/>
          <w:lang w:val="es-ES_tradnl"/>
        </w:rPr>
        <w:t>e)</w:t>
      </w:r>
      <w:r w:rsidRPr="00250668">
        <w:rPr>
          <w:lang w:val="es-ES_tradnl"/>
        </w:rPr>
        <w:tab/>
        <w:t>que los diagramas de radiación medidos disponibles de an</w:t>
      </w:r>
      <w:r>
        <w:rPr>
          <w:lang w:val="es-ES_tradnl"/>
        </w:rPr>
        <w:t>tena elíptica de la banda de 12 </w:t>
      </w:r>
      <w:r w:rsidRPr="00250668">
        <w:rPr>
          <w:lang w:val="es-ES_tradnl"/>
        </w:rPr>
        <w:t xml:space="preserve">GHz con longitud del eje mayor de la antena de 70 cm en el plano paralelo a la órbita de satélites geoestacionarios y longitud del eje menor de la antena de 50 cm en el plano perpendicular a la OSG demuestran una mejora de la discriminación </w:t>
      </w:r>
      <w:proofErr w:type="spellStart"/>
      <w:r w:rsidRPr="00250668">
        <w:rPr>
          <w:lang w:val="es-ES_tradnl"/>
        </w:rPr>
        <w:t>copolar</w:t>
      </w:r>
      <w:proofErr w:type="spellEnd"/>
      <w:r w:rsidRPr="00250668">
        <w:rPr>
          <w:lang w:val="es-ES_tradnl"/>
        </w:rPr>
        <w:t xml:space="preserve"> y de polarización cruzada en comparación con el diagrama de radiación de la recomendac</w:t>
      </w:r>
      <w:r>
        <w:rPr>
          <w:lang w:val="es-ES_tradnl"/>
        </w:rPr>
        <w:t>ión UIT</w:t>
      </w:r>
      <w:r>
        <w:rPr>
          <w:lang w:val="es-ES_tradnl"/>
        </w:rPr>
        <w:noBreakHyphen/>
        <w:t>R </w:t>
      </w:r>
      <w:r w:rsidRPr="00250668">
        <w:rPr>
          <w:lang w:val="es-ES_tradnl"/>
        </w:rPr>
        <w:t>BO.1213 para una antena circular de</w:t>
      </w:r>
      <w:r w:rsidR="00DE782C">
        <w:rPr>
          <w:lang w:val="es-ES_tradnl"/>
        </w:rPr>
        <w:t xml:space="preserve"> </w:t>
      </w:r>
      <w:r w:rsidRPr="00250668">
        <w:rPr>
          <w:lang w:val="es-ES_tradnl"/>
        </w:rPr>
        <w:t>60</w:t>
      </w:r>
      <w:r w:rsidR="00DE782C">
        <w:rPr>
          <w:lang w:val="es-ES_tradnl"/>
        </w:rPr>
        <w:t> </w:t>
      </w:r>
      <w:r w:rsidRPr="00250668">
        <w:rPr>
          <w:lang w:val="es-ES_tradnl"/>
        </w:rPr>
        <w:t>cm, que es consecuencia de la mejora de las tecnologías y los diseños de las antenas;</w:t>
      </w:r>
    </w:p>
    <w:p w:rsidR="00F26A7D" w:rsidRPr="00250668" w:rsidRDefault="00F26A7D" w:rsidP="00F26A7D">
      <w:pPr>
        <w:textAlignment w:val="auto"/>
        <w:rPr>
          <w:lang w:val="es-ES_tradnl"/>
        </w:rPr>
      </w:pPr>
      <w:r w:rsidRPr="00250668">
        <w:rPr>
          <w:i/>
          <w:iCs/>
          <w:lang w:val="es-ES_tradnl"/>
        </w:rPr>
        <w:t>f)</w:t>
      </w:r>
      <w:r w:rsidRPr="00250668">
        <w:rPr>
          <w:lang w:val="es-ES_tradnl"/>
        </w:rPr>
        <w:tab/>
        <w:t>que sería conveniente contar con un diagrama de radiación de antena alternativo para las estaciones terrenas del SRS para la valoración de los efectos en términos de interferencia de asignaciones nuevas o modificadas en el Plan de la Región 2 o en la Lista de usos adicionales de las Regiones 1 y 3;</w:t>
      </w:r>
    </w:p>
    <w:p w:rsidR="00F26A7D" w:rsidRPr="00250668" w:rsidRDefault="00F26A7D" w:rsidP="00F26A7D">
      <w:pPr>
        <w:textAlignment w:val="auto"/>
        <w:rPr>
          <w:lang w:val="es-ES_tradnl"/>
        </w:rPr>
      </w:pPr>
      <w:r w:rsidRPr="00250668">
        <w:rPr>
          <w:i/>
          <w:iCs/>
          <w:lang w:val="es-ES_tradnl"/>
        </w:rPr>
        <w:t>g)</w:t>
      </w:r>
      <w:r w:rsidRPr="00250668">
        <w:rPr>
          <w:lang w:val="es-ES_tradnl"/>
        </w:rPr>
        <w:tab/>
        <w:t>que la utilización de antenas que cumplan con una máscara alternativa con discriminación mejorada podría contribuir al uso eficiente del espectro de radiofrecuencias y de la OSG,</w:t>
      </w:r>
    </w:p>
    <w:p w:rsidR="00F26A7D" w:rsidRPr="00250668" w:rsidRDefault="00F26A7D" w:rsidP="00F26A7D">
      <w:pPr>
        <w:pStyle w:val="Call"/>
        <w:rPr>
          <w:lang w:val="es-ES_tradnl"/>
        </w:rPr>
      </w:pPr>
      <w:r w:rsidRPr="00250668">
        <w:rPr>
          <w:lang w:val="es-ES_tradnl"/>
        </w:rPr>
        <w:t>reconociendo</w:t>
      </w:r>
    </w:p>
    <w:p w:rsidR="00F26A7D" w:rsidRPr="00250668" w:rsidRDefault="00F26A7D" w:rsidP="00F26A7D">
      <w:pPr>
        <w:textAlignment w:val="auto"/>
        <w:rPr>
          <w:lang w:val="es-ES_tradnl"/>
        </w:rPr>
      </w:pPr>
      <w:r w:rsidRPr="00250668">
        <w:rPr>
          <w:i/>
          <w:iCs/>
          <w:lang w:val="es-ES_tradnl"/>
        </w:rPr>
        <w:t>a)</w:t>
      </w:r>
      <w:r w:rsidRPr="00250668">
        <w:rPr>
          <w:lang w:val="es-ES_tradnl"/>
        </w:rPr>
        <w:tab/>
        <w:t>que la adopción de un diagrama de radiación de antena de estación terrena del SRS alternativo con mejor discriminación del lóbulo lateral en compa</w:t>
      </w:r>
      <w:r>
        <w:rPr>
          <w:lang w:val="es-ES_tradnl"/>
        </w:rPr>
        <w:t>ración con la Recomendación UIT</w:t>
      </w:r>
      <w:r>
        <w:rPr>
          <w:lang w:val="es-ES_tradnl"/>
        </w:rPr>
        <w:noBreakHyphen/>
        <w:t>R </w:t>
      </w:r>
      <w:r w:rsidRPr="00250668">
        <w:rPr>
          <w:lang w:val="es-ES_tradnl" w:eastAsia="ja-JP"/>
        </w:rPr>
        <w:t>BO.1213 podría motivar a los fabricantes de antenas a fabricar antenas receptoras del SRS sobre la base de este nuevo diagrama de radiación;</w:t>
      </w:r>
    </w:p>
    <w:p w:rsidR="00F26A7D" w:rsidRPr="00250668" w:rsidRDefault="00F26A7D" w:rsidP="00F26A7D">
      <w:pPr>
        <w:textAlignment w:val="auto"/>
        <w:rPr>
          <w:lang w:val="es-ES_tradnl"/>
        </w:rPr>
      </w:pPr>
      <w:r w:rsidRPr="00250668">
        <w:rPr>
          <w:i/>
          <w:iCs/>
          <w:lang w:val="es-ES_tradnl"/>
        </w:rPr>
        <w:t>b)</w:t>
      </w:r>
      <w:r w:rsidRPr="00250668">
        <w:rPr>
          <w:lang w:val="es-ES_tradnl"/>
        </w:rPr>
        <w:tab/>
        <w:t>que no hay intención de remplazar el actual diagrama de radiación de ref</w:t>
      </w:r>
      <w:r>
        <w:rPr>
          <w:lang w:val="es-ES_tradnl"/>
        </w:rPr>
        <w:t>erencia de la Recomendación UIT</w:t>
      </w:r>
      <w:r>
        <w:rPr>
          <w:lang w:val="es-ES_tradnl"/>
        </w:rPr>
        <w:noBreakHyphen/>
        <w:t>R </w:t>
      </w:r>
      <w:r w:rsidRPr="00250668">
        <w:rPr>
          <w:lang w:val="es-ES_tradnl"/>
        </w:rPr>
        <w:t>BO.1213, que se ha utilizado ampliamente en el Plan y en la Lista, por ningún diagrama de antena de referencia elaborado recientemente;</w:t>
      </w:r>
    </w:p>
    <w:p w:rsidR="00F26A7D" w:rsidRPr="00250668" w:rsidRDefault="00F26A7D" w:rsidP="00F26A7D">
      <w:pPr>
        <w:textAlignment w:val="auto"/>
        <w:rPr>
          <w:lang w:val="es-ES_tradnl"/>
        </w:rPr>
      </w:pPr>
      <w:r w:rsidRPr="00250668">
        <w:rPr>
          <w:i/>
          <w:iCs/>
          <w:lang w:val="es-ES_tradnl"/>
        </w:rPr>
        <w:t>c)</w:t>
      </w:r>
      <w:r w:rsidRPr="00250668">
        <w:rPr>
          <w:lang w:val="es-ES_tradnl"/>
        </w:rPr>
        <w:tab/>
        <w:t>que la adopción de un diagrama de radiación de antena de estación terrena del SRS alternativo de este tipo con mejor discriminación del lóbulo lateral no impide el uso de otros diagramas de antena en las negociaciones entre administraciones de los sistemas del SRS,</w:t>
      </w:r>
    </w:p>
    <w:p w:rsidR="00F26A7D" w:rsidRPr="00250668" w:rsidRDefault="00F26A7D" w:rsidP="00F26A7D">
      <w:pPr>
        <w:pStyle w:val="Call"/>
        <w:rPr>
          <w:lang w:val="es-ES_tradnl"/>
        </w:rPr>
      </w:pPr>
      <w:r w:rsidRPr="00250668">
        <w:rPr>
          <w:lang w:val="es-ES_tradnl"/>
        </w:rPr>
        <w:t>observando</w:t>
      </w:r>
    </w:p>
    <w:p w:rsidR="00F26A7D" w:rsidRPr="00250668" w:rsidRDefault="00F26A7D" w:rsidP="00F26A7D">
      <w:pPr>
        <w:textAlignment w:val="auto"/>
        <w:rPr>
          <w:lang w:val="es-ES_tradnl"/>
        </w:rPr>
      </w:pPr>
      <w:r w:rsidRPr="00250668">
        <w:rPr>
          <w:lang w:val="es-ES_tradnl"/>
        </w:rPr>
        <w:t>que el diagrama de radiación del lóbulo principal de la antena de las estaciones terrenas receptoras del SRS se describe a través de la relación cuadrática de la Recomendación UIT</w:t>
      </w:r>
      <w:r>
        <w:rPr>
          <w:lang w:val="es-ES_tradnl"/>
        </w:rPr>
        <w:noBreakHyphen/>
        <w:t>R </w:t>
      </w:r>
      <w:r w:rsidRPr="00250668">
        <w:rPr>
          <w:lang w:val="es-ES_tradnl"/>
        </w:rPr>
        <w:t>BO.652-1,</w:t>
      </w:r>
    </w:p>
    <w:p w:rsidR="00F26A7D" w:rsidRPr="00250668" w:rsidRDefault="00F26A7D" w:rsidP="00F26A7D">
      <w:pPr>
        <w:pStyle w:val="Call"/>
        <w:rPr>
          <w:lang w:val="es-ES_tradnl"/>
        </w:rPr>
      </w:pPr>
      <w:r w:rsidRPr="00250668">
        <w:rPr>
          <w:lang w:val="es-ES_tradnl"/>
        </w:rPr>
        <w:t>recomienda</w:t>
      </w:r>
    </w:p>
    <w:p w:rsidR="00F26A7D" w:rsidRPr="00250668" w:rsidRDefault="00F26A7D" w:rsidP="00F26A7D">
      <w:pPr>
        <w:textAlignment w:val="auto"/>
        <w:rPr>
          <w:szCs w:val="24"/>
          <w:lang w:val="es-ES_tradnl"/>
        </w:rPr>
      </w:pPr>
      <w:r w:rsidRPr="00250668">
        <w:rPr>
          <w:szCs w:val="24"/>
          <w:lang w:val="es-ES_tradnl"/>
        </w:rPr>
        <w:t xml:space="preserve">que, en determinadas circunstancias, el diagrama de radiación de antena de estación terrena del SRS alternativo del Anexo 1 pueda utilizarse en las negociaciones bilaterales/multilaterales y para la evaluación de los efectos en términos de interferencia de las asignaciones nuevas o modificadas del Plan de la Región 2 o de la Lista de usos adicionales de las Regiones 1 y 3 sin que ello tenga ningún efecto reglamentario en la aplicación de las disposiciones pertinentes del Apéndice </w:t>
      </w:r>
      <w:r w:rsidRPr="00250668">
        <w:rPr>
          <w:b/>
          <w:bCs/>
          <w:szCs w:val="24"/>
          <w:lang w:val="es-ES_tradnl"/>
        </w:rPr>
        <w:t>30</w:t>
      </w:r>
      <w:r w:rsidRPr="00250668">
        <w:rPr>
          <w:szCs w:val="24"/>
          <w:lang w:val="es-ES_tradnl"/>
        </w:rPr>
        <w:t xml:space="preserve"> del RR, según se destaca en el </w:t>
      </w:r>
      <w:r w:rsidRPr="00250668">
        <w:rPr>
          <w:i/>
          <w:iCs/>
          <w:szCs w:val="24"/>
          <w:lang w:val="es-ES_tradnl"/>
        </w:rPr>
        <w:t>reconociendo</w:t>
      </w:r>
      <w:r w:rsidRPr="00250668">
        <w:rPr>
          <w:szCs w:val="24"/>
          <w:lang w:val="es-ES_tradnl"/>
        </w:rPr>
        <w:t xml:space="preserve"> </w:t>
      </w:r>
      <w:r w:rsidRPr="00F84EE8">
        <w:rPr>
          <w:i/>
          <w:iCs/>
          <w:szCs w:val="24"/>
          <w:lang w:val="es-ES_tradnl"/>
        </w:rPr>
        <w:t>b)</w:t>
      </w:r>
      <w:r w:rsidRPr="00250668">
        <w:rPr>
          <w:szCs w:val="24"/>
          <w:lang w:val="es-ES_tradnl"/>
        </w:rPr>
        <w:t xml:space="preserve"> anterior.</w:t>
      </w:r>
    </w:p>
    <w:p w:rsidR="00B03E9B" w:rsidRDefault="00F26A7D" w:rsidP="0088636A">
      <w:pPr>
        <w:rPr>
          <w:lang w:val="es-ES_tradnl"/>
        </w:rPr>
      </w:pPr>
      <w:r w:rsidRPr="00250668">
        <w:rPr>
          <w:lang w:val="es-ES_tradnl"/>
        </w:rPr>
        <w:t>NOTA</w:t>
      </w:r>
      <w:r w:rsidR="0088636A">
        <w:rPr>
          <w:lang w:val="es-ES_tradnl"/>
        </w:rPr>
        <w:t> </w:t>
      </w:r>
      <w:r w:rsidRPr="00250668">
        <w:rPr>
          <w:lang w:val="es-ES_tradnl"/>
        </w:rPr>
        <w:t>–</w:t>
      </w:r>
      <w:r w:rsidR="0088636A">
        <w:rPr>
          <w:lang w:val="es-ES_tradnl"/>
        </w:rPr>
        <w:t> </w:t>
      </w:r>
      <w:r w:rsidRPr="00250668">
        <w:rPr>
          <w:lang w:val="es-ES_tradnl"/>
        </w:rPr>
        <w:t>Esta Recomendación se aplica a las antenas con una apertura efectiva de entre 55</w:t>
      </w:r>
      <w:r w:rsidR="00B03E9B">
        <w:rPr>
          <w:lang w:val="es-ES_tradnl"/>
        </w:rPr>
        <w:t> </w:t>
      </w:r>
      <w:r w:rsidRPr="00250668">
        <w:rPr>
          <w:lang w:val="es-ES_tradnl"/>
        </w:rPr>
        <w:t>cm y</w:t>
      </w:r>
      <w:r w:rsidR="0088636A">
        <w:rPr>
          <w:lang w:val="es-ES_tradnl"/>
        </w:rPr>
        <w:t xml:space="preserve"> </w:t>
      </w:r>
      <w:r>
        <w:rPr>
          <w:lang w:val="es-ES_tradnl"/>
        </w:rPr>
        <w:t>75 </w:t>
      </w:r>
      <w:r w:rsidRPr="00250668">
        <w:rPr>
          <w:lang w:val="es-ES_tradnl"/>
        </w:rPr>
        <w:t>cm. (Para las pequeñas ante</w:t>
      </w:r>
      <w:r w:rsidRPr="00D12C1A">
        <w:rPr>
          <w:lang w:val="es-ES_tradnl"/>
        </w:rPr>
        <w:t>n</w:t>
      </w:r>
      <w:r w:rsidRPr="00250668">
        <w:rPr>
          <w:lang w:val="es-ES_tradnl"/>
        </w:rPr>
        <w:t>as de menos de 55 cm resulta difícil obtener una mejora de las características de radiación. En el caso de las grandes antenas mayores de 75 cm, no se requiere un diseño especial para obtener una mejora del diagrama de radiación en comparación con la Recomendación</w:t>
      </w:r>
      <w:r w:rsidR="0088636A">
        <w:rPr>
          <w:lang w:val="es-ES_tradnl"/>
        </w:rPr>
        <w:t xml:space="preserve"> </w:t>
      </w:r>
      <w:r w:rsidRPr="00250668">
        <w:rPr>
          <w:lang w:val="es-ES_tradnl"/>
        </w:rPr>
        <w:t>UIT-R BO.1213).</w:t>
      </w:r>
    </w:p>
    <w:p w:rsidR="00F26A7D" w:rsidRPr="00250668" w:rsidRDefault="00F26A7D" w:rsidP="00F26A7D">
      <w:pPr>
        <w:pStyle w:val="AnnexNoTitle"/>
        <w:rPr>
          <w:lang w:val="es-ES_tradnl"/>
        </w:rPr>
      </w:pPr>
      <w:r w:rsidRPr="00250668">
        <w:rPr>
          <w:lang w:val="es-ES_tradnl"/>
        </w:rPr>
        <w:t>Anexo 1</w:t>
      </w:r>
      <w:r w:rsidRPr="00250668">
        <w:rPr>
          <w:lang w:val="es-ES_tradnl"/>
        </w:rPr>
        <w:br/>
      </w:r>
      <w:r w:rsidRPr="00250668">
        <w:rPr>
          <w:lang w:val="es-ES_tradnl"/>
        </w:rPr>
        <w:br/>
        <w:t xml:space="preserve">Diagrama de radiación de antena de estación terrena </w:t>
      </w:r>
      <w:r w:rsidRPr="00250668">
        <w:rPr>
          <w:lang w:val="es-ES_tradnl"/>
        </w:rPr>
        <w:br/>
        <w:t>receptora del SRS alternativo</w:t>
      </w:r>
    </w:p>
    <w:p w:rsidR="00F26A7D" w:rsidRPr="00250668" w:rsidRDefault="00F26A7D" w:rsidP="00F26A7D">
      <w:pPr>
        <w:pStyle w:val="Headingb"/>
        <w:rPr>
          <w:lang w:val="es-ES_tradnl" w:eastAsia="zh-CN"/>
        </w:rPr>
      </w:pPr>
      <w:r w:rsidRPr="00250668">
        <w:rPr>
          <w:lang w:val="es-ES_tradnl" w:eastAsia="zh-CN"/>
        </w:rPr>
        <w:t>Fórmulas del diagrama de antena:</w:t>
      </w:r>
    </w:p>
    <w:p w:rsidR="00F26A7D" w:rsidRPr="00250668" w:rsidRDefault="00F26A7D" w:rsidP="00AE2704">
      <w:pPr>
        <w:pStyle w:val="enumlev1"/>
        <w:ind w:left="1191" w:hanging="1191"/>
        <w:rPr>
          <w:i/>
          <w:iCs/>
          <w:lang w:val="es-ES_tradnl" w:eastAsia="ja-JP"/>
        </w:rPr>
      </w:pPr>
      <w:r w:rsidRPr="00250668">
        <w:rPr>
          <w:rFonts w:ascii="Lucida Sans Unicode" w:hAnsi="Lucida Sans Unicode" w:cs="Lucida Sans Unicode"/>
          <w:lang w:val="es-ES_tradnl"/>
        </w:rPr>
        <w:tab/>
      </w:r>
      <m:oMath>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r w:rsidRPr="00250668">
        <w:rPr>
          <w:lang w:val="es-ES_tradnl"/>
        </w:rPr>
        <w:t xml:space="preserve"> </w:t>
      </w:r>
      <w:r w:rsidRPr="00250668">
        <w:rPr>
          <w:lang w:val="es-ES_tradnl"/>
        </w:rPr>
        <w:tab/>
        <w:t xml:space="preserve">es el ancho del haz de la antena a media potencia; </w:t>
      </w:r>
      <m:oMath>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r w:rsidRPr="00250668">
        <w:rPr>
          <w:lang w:val="es-ES_tradnl"/>
        </w:rPr>
        <w:t xml:space="preserve"> = 70(</w:t>
      </w:r>
      <w:r w:rsidRPr="00250668">
        <w:rPr>
          <w:lang w:val="es-ES_tradnl"/>
        </w:rPr>
        <w:sym w:font="Symbol" w:char="F06C"/>
      </w:r>
      <w:r w:rsidRPr="00250668">
        <w:rPr>
          <w:lang w:val="es-ES_tradnl"/>
        </w:rPr>
        <w:t>/</w:t>
      </w:r>
      <w:r w:rsidRPr="00250668">
        <w:rPr>
          <w:i/>
          <w:iCs/>
          <w:lang w:val="es-ES_tradnl"/>
        </w:rPr>
        <w:t>D</w:t>
      </w:r>
      <w:r w:rsidRPr="00250668">
        <w:rPr>
          <w:lang w:val="es-ES_tradnl"/>
        </w:rPr>
        <w:t xml:space="preserve">), donde </w:t>
      </w:r>
      <w:r w:rsidRPr="00250668">
        <w:rPr>
          <w:lang w:val="es-ES_tradnl"/>
        </w:rPr>
        <w:sym w:font="Symbol" w:char="F06C"/>
      </w:r>
      <w:r w:rsidRPr="00250668">
        <w:rPr>
          <w:lang w:val="es-ES_tradnl"/>
        </w:rPr>
        <w:t xml:space="preserve"> es la longitud de onda y </w:t>
      </w:r>
      <w:r w:rsidRPr="00250668">
        <w:rPr>
          <w:bCs/>
          <w:i/>
          <w:iCs/>
          <w:lang w:val="es-ES_tradnl"/>
        </w:rPr>
        <w:t xml:space="preserve">D </w:t>
      </w:r>
      <w:r w:rsidRPr="00250668">
        <w:rPr>
          <w:lang w:val="es-ES_tradnl"/>
        </w:rPr>
        <w:t>es la dimensión de la antena en el plano en el que se define el haz (por ejemplo en el arco de la OSG).</w:t>
      </w:r>
    </w:p>
    <w:p w:rsidR="00F26A7D" w:rsidRPr="00250668" w:rsidRDefault="00F26A7D" w:rsidP="00F26A7D">
      <w:pPr>
        <w:pStyle w:val="Headingb"/>
        <w:rPr>
          <w:lang w:val="es-ES_tradnl" w:eastAsia="zh-CN"/>
        </w:rPr>
      </w:pPr>
      <w:r w:rsidRPr="00250668">
        <w:rPr>
          <w:lang w:val="es-ES_tradnl" w:eastAsia="zh-CN"/>
        </w:rPr>
        <w:t xml:space="preserve">Componente </w:t>
      </w:r>
      <w:proofErr w:type="spellStart"/>
      <w:r w:rsidRPr="00250668">
        <w:rPr>
          <w:lang w:val="es-ES_tradnl" w:eastAsia="zh-CN"/>
        </w:rPr>
        <w:t>copolar</w:t>
      </w:r>
      <w:proofErr w:type="spellEnd"/>
      <w:r w:rsidRPr="00250668">
        <w:rPr>
          <w:lang w:val="es-ES_tradnl" w:eastAsia="zh-CN"/>
        </w:rPr>
        <w:t xml:space="preserve"> (dB respecto de la ganancia del haz principal)</w:t>
      </w:r>
    </w:p>
    <w:p w:rsidR="00F26A7D" w:rsidRPr="00250668" w:rsidRDefault="000F7261" w:rsidP="00F26A7D">
      <w:pPr>
        <w:tabs>
          <w:tab w:val="clear" w:pos="1191"/>
          <w:tab w:val="clear" w:pos="1588"/>
          <w:tab w:val="clear" w:pos="1985"/>
          <w:tab w:val="left" w:pos="2977"/>
          <w:tab w:val="left" w:pos="4111"/>
          <w:tab w:val="right" w:pos="9639"/>
        </w:tabs>
        <w:spacing w:before="80"/>
        <w:textAlignment w:val="auto"/>
        <w:rPr>
          <w:sz w:val="20"/>
          <w:lang w:val="es-ES_tradnl"/>
        </w:rPr>
      </w:pPr>
      <m:oMath>
        <m:sSup>
          <m:sSupPr>
            <m:ctrlPr>
              <w:rPr>
                <w:rFonts w:ascii="Cambria Math" w:hAnsi="Cambria Math"/>
                <w:i/>
                <w:color w:val="000000"/>
                <w:lang w:val="es-ES_tradnl"/>
              </w:rPr>
            </m:ctrlPr>
          </m:sSupPr>
          <m:e>
            <m:r>
              <w:rPr>
                <w:rFonts w:ascii="Cambria Math" w:hAnsi="Cambria Math"/>
                <w:sz w:val="20"/>
                <w:lang w:val="es-ES_tradnl"/>
              </w:rPr>
              <m:t xml:space="preserve">-12 </m:t>
            </m:r>
            <m:d>
              <m:dPr>
                <m:ctrlPr>
                  <w:rPr>
                    <w:rFonts w:ascii="Cambria Math" w:hAnsi="Cambria Math"/>
                    <w:color w:val="000000"/>
                    <w:lang w:val="es-ES_tradnl"/>
                  </w:rPr>
                </m:ctrlPr>
              </m:dPr>
              <m:e>
                <m:f>
                  <m:fPr>
                    <m:type m:val="lin"/>
                    <m:ctrlPr>
                      <w:rPr>
                        <w:rFonts w:ascii="Cambria Math" w:hAnsi="Cambria Math"/>
                        <w:iCs/>
                        <w:color w:val="000000"/>
                        <w:lang w:val="es-ES_tradnl"/>
                      </w:rPr>
                    </m:ctrlPr>
                  </m:fPr>
                  <m:num>
                    <m:r>
                      <m:rPr>
                        <m:sty m:val="p"/>
                      </m:rPr>
                      <w:rPr>
                        <w:rFonts w:ascii="Cambria Math" w:hAnsi="Cambria Math"/>
                        <w:color w:val="000000"/>
                        <w:sz w:val="20"/>
                        <w:lang w:val="es-ES_tradnl"/>
                      </w:rPr>
                      <m:t>∅</m:t>
                    </m:r>
                  </m:num>
                  <m:den>
                    <m:r>
                      <w:rPr>
                        <w:rFonts w:ascii="Cambria Math" w:hAnsi="Cambria Math"/>
                        <w:sz w:val="20"/>
                        <w:lang w:val="es-ES_tradnl"/>
                      </w:rPr>
                      <m:t xml:space="preserve"> </m:t>
                    </m:r>
                    <m:sSub>
                      <m:sSubPr>
                        <m:ctrlPr>
                          <w:rPr>
                            <w:rFonts w:ascii="Cambria Math"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den>
                </m:f>
              </m:e>
            </m:d>
          </m:e>
          <m:sup>
            <m:r>
              <w:rPr>
                <w:rFonts w:ascii="Cambria Math" w:hAnsi="Cambria Math"/>
                <w:color w:val="000000"/>
                <w:sz w:val="20"/>
                <w:lang w:val="es-ES_tradnl"/>
              </w:rPr>
              <m:t>2</m:t>
            </m:r>
          </m:sup>
        </m:sSup>
      </m:oMath>
      <w:r w:rsidR="00F26A7D" w:rsidRPr="00250668">
        <w:rPr>
          <w:color w:val="000000"/>
          <w:sz w:val="20"/>
          <w:lang w:val="es-ES_tradnl"/>
        </w:rPr>
        <w:tab/>
      </w:r>
      <w:r w:rsidR="00F26A7D" w:rsidRPr="00250668">
        <w:rPr>
          <w:szCs w:val="24"/>
          <w:lang w:val="es-ES_tradnl"/>
        </w:rPr>
        <w:t>para</w:t>
      </w:r>
      <w:r w:rsidR="00F26A7D" w:rsidRPr="00250668">
        <w:rPr>
          <w:szCs w:val="24"/>
          <w:lang w:val="es-ES_tradnl"/>
        </w:rPr>
        <w:tab/>
      </w:r>
      <m:oMath>
        <m:r>
          <w:rPr>
            <w:rFonts w:ascii="Cambria Math" w:hAnsi="Cambria Math"/>
            <w:szCs w:val="24"/>
            <w:lang w:val="es-ES_tradnl"/>
          </w:rPr>
          <m:t xml:space="preserve">       </m:t>
        </m:r>
        <m:r>
          <w:rPr>
            <w:rFonts w:ascii="Cambria Math" w:hAnsi="Cambria Math"/>
            <w:sz w:val="20"/>
            <w:lang w:val="es-ES_tradnl"/>
          </w:rPr>
          <m:t xml:space="preserve">0  ≤ </m:t>
        </m:r>
        <m:r>
          <m:rPr>
            <m:sty m:val="p"/>
          </m:rPr>
          <w:rPr>
            <w:rFonts w:ascii="Cambria Math" w:hAnsi="Cambria Math"/>
            <w:sz w:val="20"/>
            <w:lang w:val="es-ES_tradnl"/>
          </w:rPr>
          <m:t>∅</m:t>
        </m:r>
        <m:r>
          <w:rPr>
            <w:rFonts w:ascii="Cambria Math" w:hAnsi="Cambria Math"/>
            <w:sz w:val="20"/>
            <w:lang w:val="es-ES_tradnl"/>
          </w:rPr>
          <m:t xml:space="preserve">≤0,9 </m:t>
        </m:r>
        <m:sSub>
          <m:sSubPr>
            <m:ctrlPr>
              <w:rPr>
                <w:rFonts w:ascii="Cambria Math"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p>
    <w:p w:rsidR="00F26A7D" w:rsidRPr="00250668" w:rsidRDefault="00F26A7D" w:rsidP="00F26A7D">
      <w:pPr>
        <w:tabs>
          <w:tab w:val="clear" w:pos="1191"/>
          <w:tab w:val="clear" w:pos="1588"/>
          <w:tab w:val="clear" w:pos="1985"/>
          <w:tab w:val="left" w:pos="2977"/>
          <w:tab w:val="left" w:pos="4111"/>
          <w:tab w:val="right" w:pos="9639"/>
        </w:tabs>
        <w:spacing w:before="0"/>
        <w:textAlignment w:val="auto"/>
        <w:rPr>
          <w:rFonts w:ascii="Calibri" w:eastAsia="SimSun" w:hAnsi="Calibri" w:cs="Arial"/>
          <w:sz w:val="20"/>
          <w:lang w:val="es-ES_tradnl"/>
        </w:rPr>
      </w:pPr>
      <m:oMath>
        <m:r>
          <w:rPr>
            <w:rFonts w:ascii="Cambria Math" w:eastAsia="SimSun" w:hAnsi="Cambria Math" w:cs="Arial"/>
            <w:sz w:val="20"/>
            <w:lang w:val="es-ES_tradnl"/>
          </w:rPr>
          <m:t>-</m:t>
        </m:r>
        <m:r>
          <m:rPr>
            <m:sty m:val="p"/>
          </m:rPr>
          <w:rPr>
            <w:rFonts w:ascii="Cambria Math" w:eastAsia="SimSun" w:hAnsi="Cambria Math" w:cs="Arial"/>
            <w:sz w:val="20"/>
            <w:lang w:val="es-ES_tradnl"/>
          </w:rPr>
          <m:t>(14+93,5 log (∅/</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m:rPr>
            <m:sty m:val="p"/>
          </m:rPr>
          <w:rPr>
            <w:rFonts w:ascii="Cambria Math" w:eastAsia="SimSun" w:hAnsi="Cambria Math" w:cs="Arial"/>
            <w:sz w:val="20"/>
            <w:lang w:val="es-ES_tradnl"/>
          </w:rPr>
          <m:t>))</m:t>
        </m:r>
      </m:oMath>
      <w:r w:rsidRPr="00250668">
        <w:rPr>
          <w:szCs w:val="24"/>
          <w:lang w:val="es-ES_tradnl"/>
        </w:rPr>
        <w:tab/>
      </w:r>
      <w:r w:rsidRPr="00250668">
        <w:rPr>
          <w:lang w:val="es-ES_tradnl"/>
        </w:rPr>
        <w:t>para</w:t>
      </w:r>
      <w:r w:rsidRPr="00250668">
        <w:rPr>
          <w:szCs w:val="24"/>
          <w:lang w:val="es-ES_tradnl"/>
        </w:rPr>
        <w:tab/>
      </w:r>
      <m:oMath>
        <m:r>
          <m:rPr>
            <m:sty m:val="p"/>
          </m:rPr>
          <w:rPr>
            <w:rFonts w:ascii="Cambria Math" w:eastAsia="SimSun" w:hAnsi="Cambria Math"/>
            <w:sz w:val="20"/>
            <w:lang w:val="es-ES_tradnl"/>
          </w:rPr>
          <m:t>0,9</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m:rPr>
            <m:sty m:val="p"/>
          </m:rPr>
          <w:rPr>
            <w:rFonts w:ascii="Cambria Math" w:eastAsia="SimSun" w:hAnsi="Cambria Math"/>
            <w:sz w:val="20"/>
            <w:lang w:val="es-ES_tradnl"/>
          </w:rPr>
          <m:t xml:space="preserve"> &lt; ∅≤1,23</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p>
    <w:p w:rsidR="00F26A7D" w:rsidRPr="00250668" w:rsidRDefault="00F26A7D" w:rsidP="00F26A7D">
      <w:pPr>
        <w:tabs>
          <w:tab w:val="clear" w:pos="1191"/>
          <w:tab w:val="clear" w:pos="1588"/>
          <w:tab w:val="clear" w:pos="1985"/>
          <w:tab w:val="left" w:pos="2977"/>
          <w:tab w:val="left" w:pos="4111"/>
          <w:tab w:val="right" w:pos="9639"/>
        </w:tabs>
        <w:spacing w:before="0"/>
        <w:textAlignment w:val="auto"/>
        <w:rPr>
          <w:rFonts w:eastAsia="SimSun"/>
          <w:sz w:val="20"/>
          <w:lang w:val="es-ES_tradnl" w:eastAsia="zh-CN"/>
        </w:rPr>
      </w:pPr>
      <w:r w:rsidRPr="00250668">
        <w:rPr>
          <w:rFonts w:ascii="Calibri" w:eastAsia="SimSun" w:hAnsi="Calibri" w:cs="Arial"/>
          <w:sz w:val="20"/>
          <w:lang w:val="es-ES_tradnl"/>
        </w:rPr>
        <w:tab/>
      </w:r>
      <m:oMath>
        <m:r>
          <w:rPr>
            <w:rFonts w:ascii="Cambria Math" w:eastAsia="SimSun" w:hAnsi="Cambria Math" w:cs="Arial"/>
            <w:sz w:val="20"/>
            <w:lang w:val="es-ES_tradnl"/>
          </w:rPr>
          <m:t>-22,5</m:t>
        </m:r>
      </m:oMath>
      <w:r w:rsidRPr="00250668">
        <w:rPr>
          <w:rFonts w:ascii="Calibri" w:eastAsia="SimSun" w:hAnsi="Calibri" w:cs="Arial"/>
          <w:sz w:val="20"/>
          <w:lang w:val="es-ES_tradnl"/>
        </w:rPr>
        <w:tab/>
      </w:r>
      <w:r w:rsidRPr="00250668">
        <w:rPr>
          <w:lang w:val="es-ES_tradnl"/>
        </w:rPr>
        <w:t>para</w:t>
      </w:r>
      <w:r w:rsidRPr="00250668">
        <w:rPr>
          <w:rFonts w:eastAsia="SimSun"/>
          <w:szCs w:val="24"/>
          <w:lang w:val="es-ES_tradnl"/>
        </w:rPr>
        <w:tab/>
      </w:r>
      <m:oMath>
        <m:r>
          <m:rPr>
            <m:sty m:val="p"/>
          </m:rPr>
          <w:rPr>
            <w:rFonts w:ascii="Cambria Math" w:hAnsi="Cambria Math" w:cs="Arial"/>
            <w:color w:val="000000"/>
            <w:sz w:val="20"/>
            <w:lang w:val="es-ES_tradnl"/>
          </w:rPr>
          <m:t>1,23</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m:rPr>
            <m:sty m:val="p"/>
          </m:rPr>
          <w:rPr>
            <w:rFonts w:ascii="Cambria Math" w:hAnsi="Cambria Math" w:cs="Arial"/>
            <w:color w:val="000000"/>
            <w:sz w:val="20"/>
            <w:lang w:val="es-ES_tradnl"/>
          </w:rPr>
          <m:t xml:space="preserve">&lt; ∅ ≤1,32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p>
    <w:p w:rsidR="00F26A7D" w:rsidRPr="00250668" w:rsidRDefault="00F26A7D" w:rsidP="00F26A7D">
      <w:pPr>
        <w:tabs>
          <w:tab w:val="clear" w:pos="1191"/>
          <w:tab w:val="clear" w:pos="1588"/>
          <w:tab w:val="clear" w:pos="1985"/>
          <w:tab w:val="left" w:pos="2977"/>
          <w:tab w:val="left" w:pos="4111"/>
          <w:tab w:val="right" w:pos="9639"/>
        </w:tabs>
        <w:spacing w:before="0"/>
        <w:textAlignment w:val="auto"/>
        <w:rPr>
          <w:rFonts w:ascii="Calibri" w:eastAsia="SimSun" w:hAnsi="Calibri" w:cs="Arial"/>
          <w:sz w:val="20"/>
          <w:lang w:val="es-ES_tradnl"/>
        </w:rPr>
      </w:pPr>
      <m:oMath>
        <m:r>
          <w:rPr>
            <w:rFonts w:ascii="Cambria Math" w:hAnsi="Cambria Math"/>
            <w:lang w:val="es-ES_tradnl"/>
          </w:rPr>
          <m:t>-</m:t>
        </m:r>
        <m:d>
          <m:dPr>
            <m:ctrlPr>
              <w:rPr>
                <w:rFonts w:ascii="Cambria Math" w:hAnsi="Cambria Math"/>
                <w:i/>
                <w:lang w:val="es-ES_tradnl"/>
              </w:rPr>
            </m:ctrlPr>
          </m:dPr>
          <m:e>
            <m:r>
              <m:rPr>
                <m:sty m:val="p"/>
              </m:rPr>
              <w:rPr>
                <w:rFonts w:ascii="Cambria Math" w:hAnsi="Cambria Math" w:cs="Arial"/>
                <w:color w:val="000000"/>
                <w:sz w:val="20"/>
                <w:lang w:val="es-ES_tradnl"/>
              </w:rPr>
              <m:t xml:space="preserve">19,5 + 25 log  </m:t>
            </m:r>
            <m:d>
              <m:dPr>
                <m:ctrlPr>
                  <w:rPr>
                    <w:rFonts w:ascii="Cambria Math" w:hAnsi="Cambria Math" w:cs="Arial"/>
                    <w:color w:val="000000"/>
                    <w:lang w:val="es-ES_tradnl"/>
                  </w:rPr>
                </m:ctrlPr>
              </m:dPr>
              <m:e>
                <m:r>
                  <w:rPr>
                    <w:rFonts w:ascii="Cambria Math" w:hAnsi="Cambria Math" w:cs="Arial"/>
                    <w:color w:val="000000"/>
                    <w:sz w:val="20"/>
                    <w:lang w:val="es-ES_tradnl"/>
                  </w:rPr>
                  <m:t>∅/</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e>
            </m:d>
            <m:ctrlPr>
              <w:rPr>
                <w:rFonts w:ascii="Cambria Math" w:hAnsi="Cambria Math" w:cs="Arial"/>
                <w:i/>
                <w:color w:val="000000"/>
                <w:lang w:val="es-ES_tradnl"/>
              </w:rPr>
            </m:ctrlPr>
          </m:e>
        </m:d>
      </m:oMath>
      <w:r w:rsidRPr="00250668">
        <w:rPr>
          <w:rFonts w:eastAsia="SimSun"/>
          <w:color w:val="000000"/>
          <w:sz w:val="20"/>
          <w:lang w:val="es-ES_tradnl"/>
        </w:rPr>
        <w:tab/>
      </w:r>
      <w:r w:rsidRPr="00250668">
        <w:rPr>
          <w:lang w:val="es-ES_tradnl"/>
        </w:rPr>
        <w:t>para</w:t>
      </w:r>
      <w:r w:rsidRPr="00250668">
        <w:rPr>
          <w:rFonts w:eastAsia="SimSun"/>
          <w:szCs w:val="24"/>
          <w:lang w:val="es-ES_tradnl"/>
        </w:rPr>
        <w:tab/>
      </w:r>
      <m:oMath>
        <m:r>
          <m:rPr>
            <m:sty m:val="p"/>
          </m:rPr>
          <w:rPr>
            <w:rFonts w:ascii="Cambria Math" w:hAnsi="Cambria Math" w:cs="Arial"/>
            <w:color w:val="000000"/>
            <w:sz w:val="20"/>
            <w:lang w:val="es-ES_tradnl"/>
          </w:rPr>
          <m:t>1,32</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m:rPr>
            <m:sty m:val="p"/>
          </m:rPr>
          <w:rPr>
            <w:rFonts w:ascii="Cambria Math" w:hAnsi="Cambria Math" w:cs="Arial"/>
            <w:color w:val="000000"/>
            <w:sz w:val="20"/>
            <w:lang w:val="es-ES_tradnl"/>
          </w:rPr>
          <m:t xml:space="preserve">&lt; ∅ ≤8 </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p>
    <w:p w:rsidR="00F26A7D" w:rsidRPr="00250668" w:rsidRDefault="00F26A7D" w:rsidP="00F26A7D">
      <w:pPr>
        <w:tabs>
          <w:tab w:val="clear" w:pos="1191"/>
          <w:tab w:val="clear" w:pos="1588"/>
          <w:tab w:val="clear" w:pos="1985"/>
          <w:tab w:val="left" w:pos="2977"/>
          <w:tab w:val="left" w:pos="4111"/>
          <w:tab w:val="right" w:pos="9639"/>
        </w:tabs>
        <w:spacing w:before="0"/>
        <w:textAlignment w:val="auto"/>
        <w:rPr>
          <w:rFonts w:ascii="Calibri" w:eastAsia="SimSun" w:hAnsi="Calibri" w:cs="Arial"/>
          <w:sz w:val="20"/>
          <w:lang w:val="es-ES_tradnl"/>
        </w:rPr>
      </w:pPr>
      <w:r w:rsidRPr="00250668">
        <w:rPr>
          <w:rFonts w:ascii="Calibri" w:eastAsia="SimSun" w:hAnsi="Calibri" w:cs="Arial"/>
          <w:sz w:val="20"/>
          <w:lang w:val="es-ES_tradnl"/>
        </w:rPr>
        <w:tab/>
      </w:r>
      <m:oMath>
        <m:r>
          <w:rPr>
            <w:rFonts w:ascii="Cambria Math" w:eastAsia="SimSun" w:hAnsi="Cambria Math" w:cs="Arial"/>
            <w:sz w:val="20"/>
            <w:lang w:val="es-ES_tradnl"/>
          </w:rPr>
          <m:t>-42</m:t>
        </m:r>
      </m:oMath>
      <w:r w:rsidRPr="00250668">
        <w:rPr>
          <w:rFonts w:ascii="Calibri" w:eastAsia="SimSun" w:hAnsi="Calibri" w:cs="Arial"/>
          <w:sz w:val="20"/>
          <w:lang w:val="es-ES_tradnl"/>
        </w:rPr>
        <w:tab/>
      </w:r>
      <w:r w:rsidRPr="00250668">
        <w:rPr>
          <w:lang w:val="es-ES_tradnl"/>
        </w:rPr>
        <w:t>para</w:t>
      </w:r>
      <w:r w:rsidRPr="00250668">
        <w:rPr>
          <w:rFonts w:eastAsia="SimSun"/>
          <w:szCs w:val="24"/>
          <w:lang w:val="es-ES_tradnl"/>
        </w:rPr>
        <w:tab/>
      </w:r>
      <m:oMath>
        <m:r>
          <w:rPr>
            <w:rFonts w:ascii="Cambria Math" w:hAnsi="Cambria Math"/>
            <w:sz w:val="20"/>
            <w:lang w:val="es-ES_tradnl"/>
          </w:rPr>
          <m:t xml:space="preserve">      </m:t>
        </m:r>
        <m:r>
          <m:rPr>
            <m:sty m:val="p"/>
          </m:rPr>
          <w:rPr>
            <w:rFonts w:ascii="Cambria Math" w:hAnsi="Cambria Math"/>
            <w:sz w:val="20"/>
            <w:lang w:val="es-ES_tradnl"/>
          </w:rPr>
          <m:t>8</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w:rPr>
            <w:rFonts w:ascii="Cambria Math" w:hAnsi="Cambria Math"/>
            <w:sz w:val="20"/>
            <w:lang w:val="es-ES_tradnl"/>
          </w:rPr>
          <m:t>&lt; ∅</m:t>
        </m:r>
      </m:oMath>
    </w:p>
    <w:p w:rsidR="00F26A7D" w:rsidRPr="00250668" w:rsidRDefault="00F26A7D" w:rsidP="00F26A7D">
      <w:pPr>
        <w:pStyle w:val="Headingb"/>
        <w:rPr>
          <w:lang w:val="es-ES_tradnl" w:eastAsia="zh-CN"/>
        </w:rPr>
      </w:pPr>
      <w:r w:rsidRPr="00250668">
        <w:rPr>
          <w:lang w:val="es-ES_tradnl" w:eastAsia="zh-CN"/>
        </w:rPr>
        <w:t>Componente de polarización cruzada (dB respecto de la ganancia del haz principal)</w:t>
      </w:r>
    </w:p>
    <w:p w:rsidR="00F26A7D" w:rsidRPr="00250668" w:rsidRDefault="00F26A7D" w:rsidP="00F26A7D">
      <w:pPr>
        <w:tabs>
          <w:tab w:val="clear" w:pos="1191"/>
          <w:tab w:val="clear" w:pos="1588"/>
          <w:tab w:val="clear" w:pos="1985"/>
          <w:tab w:val="left" w:pos="2977"/>
          <w:tab w:val="left" w:pos="4111"/>
          <w:tab w:val="right" w:pos="9639"/>
        </w:tabs>
        <w:spacing w:before="80"/>
        <w:textAlignment w:val="auto"/>
        <w:rPr>
          <w:rFonts w:eastAsia="SimSun"/>
          <w:sz w:val="20"/>
          <w:lang w:val="es-ES_tradnl"/>
        </w:rPr>
      </w:pPr>
      <w:r w:rsidRPr="00250668">
        <w:rPr>
          <w:rFonts w:ascii="Calibri" w:eastAsia="SimSun" w:hAnsi="Calibri" w:cs="Arial"/>
          <w:iCs/>
          <w:sz w:val="20"/>
          <w:lang w:val="es-ES_tradnl"/>
        </w:rPr>
        <w:tab/>
      </w:r>
      <m:oMath>
        <m:r>
          <m:rPr>
            <m:sty m:val="p"/>
          </m:rPr>
          <w:rPr>
            <w:rFonts w:ascii="Cambria Math" w:eastAsia="SimSun" w:hAnsi="Cambria Math" w:cs="Arial"/>
            <w:sz w:val="20"/>
            <w:lang w:val="es-ES_tradnl"/>
          </w:rPr>
          <m:t>-26</m:t>
        </m:r>
      </m:oMath>
      <w:r w:rsidRPr="00250668">
        <w:rPr>
          <w:rFonts w:ascii="Calibri" w:eastAsia="SimSun" w:hAnsi="Calibri" w:cs="Arial"/>
          <w:iCs/>
          <w:sz w:val="20"/>
          <w:lang w:val="es-ES_tradnl"/>
        </w:rPr>
        <w:tab/>
      </w:r>
      <w:r w:rsidRPr="00250668">
        <w:rPr>
          <w:lang w:val="es-ES_tradnl"/>
        </w:rPr>
        <w:t>para</w:t>
      </w:r>
      <w:r w:rsidRPr="00250668">
        <w:rPr>
          <w:rFonts w:eastAsia="SimSun"/>
          <w:iCs/>
          <w:szCs w:val="24"/>
          <w:lang w:val="es-ES_tradnl"/>
        </w:rPr>
        <w:tab/>
      </w:r>
      <m:oMath>
        <m:r>
          <w:rPr>
            <w:rFonts w:ascii="Cambria Math" w:eastAsia="SimSun" w:hAnsi="Cambria Math"/>
            <w:szCs w:val="24"/>
            <w:lang w:val="es-ES_tradnl"/>
          </w:rPr>
          <m:t xml:space="preserve">        </m:t>
        </m:r>
        <m:r>
          <m:rPr>
            <m:sty m:val="p"/>
          </m:rPr>
          <w:rPr>
            <w:rFonts w:ascii="Cambria Math" w:eastAsia="SimSun" w:hAnsi="Cambria Math"/>
            <w:sz w:val="20"/>
            <w:lang w:val="es-ES_tradnl"/>
          </w:rPr>
          <m:t xml:space="preserve">0  </m:t>
        </m:r>
        <m:r>
          <w:rPr>
            <w:rFonts w:ascii="Cambria Math" w:eastAsia="SimSun" w:hAnsi="Cambria Math"/>
            <w:sz w:val="20"/>
            <w:lang w:val="es-ES_tradnl"/>
          </w:rPr>
          <m:t>≤</m:t>
        </m:r>
        <m:r>
          <m:rPr>
            <m:sty m:val="p"/>
          </m:rPr>
          <w:rPr>
            <w:rFonts w:ascii="Cambria Math" w:eastAsia="SimSun" w:hAnsi="Cambria Math"/>
            <w:sz w:val="20"/>
            <w:lang w:val="es-ES_tradnl"/>
          </w:rPr>
          <m:t>∅ ≤0,25</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p>
    <w:p w:rsidR="00F26A7D" w:rsidRPr="00250668" w:rsidRDefault="00F26A7D" w:rsidP="00F26A7D">
      <w:pPr>
        <w:tabs>
          <w:tab w:val="clear" w:pos="1191"/>
          <w:tab w:val="clear" w:pos="1588"/>
          <w:tab w:val="clear" w:pos="1985"/>
          <w:tab w:val="left" w:pos="2977"/>
          <w:tab w:val="left" w:pos="4111"/>
          <w:tab w:val="right" w:pos="9639"/>
        </w:tabs>
        <w:spacing w:before="0"/>
        <w:textAlignment w:val="auto"/>
        <w:rPr>
          <w:rFonts w:ascii="Calibri" w:eastAsia="SimSun" w:hAnsi="Calibri" w:cs="Arial"/>
          <w:sz w:val="20"/>
          <w:lang w:val="es-ES_tradnl"/>
        </w:rPr>
      </w:pPr>
      <m:oMath>
        <m:r>
          <w:rPr>
            <w:rFonts w:ascii="Cambria Math" w:eastAsia="SimSun" w:hAnsi="Cambria Math" w:cs="Arial"/>
            <w:sz w:val="20"/>
            <w:lang w:val="es-ES_tradnl"/>
          </w:rPr>
          <m:t>-</m:t>
        </m:r>
        <m:r>
          <m:rPr>
            <m:sty m:val="p"/>
          </m:rPr>
          <w:rPr>
            <w:rFonts w:ascii="Cambria Math" w:eastAsia="SimSun" w:hAnsi="Cambria Math" w:cs="Arial"/>
            <w:sz w:val="20"/>
            <w:lang w:val="es-ES_tradnl"/>
          </w:rPr>
          <m:t>(16,6-15,6 log (∅/</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m:rPr>
            <m:sty m:val="p"/>
          </m:rPr>
          <w:rPr>
            <w:rFonts w:ascii="Cambria Math" w:eastAsia="SimSun" w:hAnsi="Cambria Math" w:cs="Arial"/>
            <w:sz w:val="20"/>
            <w:lang w:val="es-ES_tradnl"/>
          </w:rPr>
          <m:t>))</m:t>
        </m:r>
      </m:oMath>
      <w:r w:rsidRPr="00250668">
        <w:rPr>
          <w:rFonts w:ascii="Calibri" w:eastAsia="SimSun" w:hAnsi="Calibri" w:cs="Arial"/>
          <w:iCs/>
          <w:sz w:val="20"/>
          <w:lang w:val="es-ES_tradnl"/>
        </w:rPr>
        <w:tab/>
      </w:r>
      <w:r w:rsidRPr="00250668">
        <w:rPr>
          <w:lang w:val="es-ES_tradnl"/>
        </w:rPr>
        <w:t>para</w:t>
      </w:r>
      <w:r w:rsidRPr="00250668">
        <w:rPr>
          <w:rFonts w:eastAsia="SimSun"/>
          <w:iCs/>
          <w:szCs w:val="24"/>
          <w:lang w:val="es-ES_tradnl"/>
        </w:rPr>
        <w:tab/>
      </w:r>
      <m:oMath>
        <m:r>
          <m:rPr>
            <m:sty m:val="p"/>
          </m:rPr>
          <w:rPr>
            <w:rFonts w:ascii="Cambria Math" w:eastAsia="SimSun" w:hAnsi="Cambria Math"/>
            <w:sz w:val="20"/>
            <w:lang w:val="es-ES_tradnl"/>
          </w:rPr>
          <m:t>0,25</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m:rPr>
            <m:sty m:val="p"/>
          </m:rPr>
          <w:rPr>
            <w:rFonts w:ascii="Cambria Math" w:eastAsia="SimSun" w:hAnsi="Cambria Math"/>
            <w:sz w:val="20"/>
            <w:lang w:val="es-ES_tradnl"/>
          </w:rPr>
          <m:t>&lt;∅≤0,45</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p>
    <w:p w:rsidR="00F26A7D" w:rsidRPr="00250668" w:rsidRDefault="00F26A7D" w:rsidP="00F26A7D">
      <w:pPr>
        <w:tabs>
          <w:tab w:val="clear" w:pos="1191"/>
          <w:tab w:val="clear" w:pos="1588"/>
          <w:tab w:val="clear" w:pos="1985"/>
          <w:tab w:val="left" w:pos="2977"/>
          <w:tab w:val="left" w:pos="4111"/>
          <w:tab w:val="right" w:pos="9639"/>
        </w:tabs>
        <w:spacing w:before="0"/>
        <w:textAlignment w:val="auto"/>
        <w:rPr>
          <w:rFonts w:ascii="Arial" w:eastAsia="SimSun" w:hAnsi="Arial"/>
          <w:lang w:val="es-ES_tradnl"/>
        </w:rPr>
      </w:pPr>
      <w:r w:rsidRPr="00250668">
        <w:rPr>
          <w:rFonts w:ascii="Calibri" w:eastAsia="SimSun" w:hAnsi="Calibri" w:cs="Arial"/>
          <w:sz w:val="20"/>
          <w:lang w:val="es-ES_tradnl"/>
        </w:rPr>
        <w:tab/>
      </w:r>
      <m:oMath>
        <m:r>
          <w:rPr>
            <w:rFonts w:ascii="Cambria Math" w:eastAsia="SimSun" w:hAnsi="Cambria Math" w:cs="Arial"/>
            <w:sz w:val="20"/>
            <w:lang w:val="es-ES_tradnl"/>
          </w:rPr>
          <m:t>-22</m:t>
        </m:r>
      </m:oMath>
      <w:r w:rsidRPr="00250668">
        <w:rPr>
          <w:rFonts w:ascii="Arial" w:hAnsi="Arial"/>
          <w:lang w:val="es-ES_tradnl"/>
        </w:rPr>
        <w:tab/>
      </w:r>
      <w:r w:rsidRPr="00250668">
        <w:rPr>
          <w:lang w:val="es-ES_tradnl"/>
        </w:rPr>
        <w:t>para</w:t>
      </w:r>
      <w:r w:rsidRPr="00250668">
        <w:rPr>
          <w:rFonts w:ascii="Arial" w:hAnsi="Arial"/>
          <w:lang w:val="es-ES_tradnl"/>
        </w:rPr>
        <w:tab/>
      </w:r>
      <m:oMath>
        <m:r>
          <m:rPr>
            <m:sty m:val="p"/>
          </m:rPr>
          <w:rPr>
            <w:rFonts w:ascii="Cambria Math" w:hAnsi="Cambria Math"/>
            <w:sz w:val="20"/>
            <w:lang w:val="es-ES_tradnl"/>
          </w:rPr>
          <m:t>0,45</m:t>
        </m:r>
        <m:sSub>
          <m:sSubPr>
            <m:ctrlPr>
              <w:rPr>
                <w:rFonts w:ascii="Cambria Math" w:eastAsia="SimSun" w:hAnsi="Cambria Math"/>
                <w:i/>
                <w:lang w:val="es-ES_tradnl"/>
              </w:rPr>
            </m:ctrlPr>
          </m:sSubPr>
          <m:e>
            <m:r>
              <w:rPr>
                <w:rFonts w:ascii="Cambria Math" w:hAnsi="Cambria Math"/>
                <w:sz w:val="20"/>
                <w:lang w:val="es-ES_tradnl"/>
              </w:rPr>
              <m:t xml:space="preserve"> ∅</m:t>
            </m:r>
          </m:e>
          <m:sub>
            <m:r>
              <w:rPr>
                <w:rFonts w:ascii="Cambria Math" w:hAnsi="Cambria Math"/>
                <w:sz w:val="20"/>
                <w:lang w:val="es-ES_tradnl"/>
              </w:rPr>
              <m:t>0</m:t>
            </m:r>
          </m:sub>
        </m:sSub>
        <m:r>
          <m:rPr>
            <m:sty m:val="p"/>
          </m:rPr>
          <w:rPr>
            <w:rFonts w:ascii="Cambria Math" w:hAnsi="Cambria Math"/>
            <w:sz w:val="20"/>
            <w:lang w:val="es-ES_tradnl"/>
          </w:rPr>
          <m:t xml:space="preserve">&lt;∅ ≤0,9 </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m:rPr>
            <m:sty m:val="p"/>
          </m:rPr>
          <w:rPr>
            <w:rFonts w:ascii="Cambria Math" w:hAnsi="Cambria Math"/>
            <w:sz w:val="20"/>
            <w:lang w:val="es-ES_tradnl"/>
          </w:rPr>
          <m:t xml:space="preserve"> </m:t>
        </m:r>
      </m:oMath>
    </w:p>
    <w:p w:rsidR="00F26A7D" w:rsidRPr="00250668" w:rsidRDefault="00F26A7D" w:rsidP="00F26A7D">
      <w:pPr>
        <w:tabs>
          <w:tab w:val="clear" w:pos="1191"/>
          <w:tab w:val="clear" w:pos="1588"/>
          <w:tab w:val="clear" w:pos="1985"/>
          <w:tab w:val="left" w:pos="2977"/>
          <w:tab w:val="left" w:pos="4111"/>
          <w:tab w:val="right" w:pos="9639"/>
        </w:tabs>
        <w:spacing w:before="0"/>
        <w:textAlignment w:val="auto"/>
        <w:rPr>
          <w:lang w:val="es-ES_tradnl"/>
        </w:rPr>
      </w:pPr>
      <m:oMath>
        <m:r>
          <w:rPr>
            <w:rFonts w:ascii="Cambria Math" w:hAnsi="Cambria Math"/>
            <w:lang w:val="es-ES_tradnl"/>
          </w:rPr>
          <m:t>-</m:t>
        </m:r>
        <m:d>
          <m:dPr>
            <m:ctrlPr>
              <w:rPr>
                <w:rFonts w:ascii="Cambria Math" w:hAnsi="Cambria Math"/>
                <w:i/>
                <w:lang w:val="es-ES_tradnl"/>
              </w:rPr>
            </m:ctrlPr>
          </m:dPr>
          <m:e>
            <m:r>
              <m:rPr>
                <m:sty m:val="p"/>
              </m:rPr>
              <w:rPr>
                <w:rFonts w:ascii="Cambria Math" w:hAnsi="Cambria Math" w:cs="Arial"/>
                <w:color w:val="000000"/>
                <w:sz w:val="20"/>
                <w:lang w:val="es-ES_tradnl"/>
              </w:rPr>
              <m:t xml:space="preserve">24,65 + 57,7 log  </m:t>
            </m:r>
            <m:d>
              <m:dPr>
                <m:ctrlPr>
                  <w:rPr>
                    <w:rFonts w:ascii="Cambria Math" w:hAnsi="Cambria Math" w:cs="Arial"/>
                    <w:color w:val="000000"/>
                    <w:lang w:val="es-ES_tradnl"/>
                  </w:rPr>
                </m:ctrlPr>
              </m:dPr>
              <m:e>
                <m:r>
                  <w:rPr>
                    <w:rFonts w:ascii="Cambria Math" w:hAnsi="Cambria Math" w:cs="Arial"/>
                    <w:color w:val="000000"/>
                    <w:sz w:val="20"/>
                    <w:lang w:val="es-ES_tradnl"/>
                  </w:rPr>
                  <m:t>∅/</m:t>
                </m:r>
                <m:r>
                  <w:rPr>
                    <w:rFonts w:ascii="Cambria Math" w:hAnsi="Cambria Math"/>
                    <w:sz w:val="20"/>
                    <w:lang w:val="es-ES_tradnl"/>
                  </w:rPr>
                  <m:t xml:space="preserve">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e>
            </m:d>
            <m:ctrlPr>
              <w:rPr>
                <w:rFonts w:ascii="Cambria Math" w:hAnsi="Cambria Math" w:cs="Arial"/>
                <w:i/>
                <w:color w:val="000000"/>
                <w:lang w:val="es-ES_tradnl"/>
              </w:rPr>
            </m:ctrlPr>
          </m:e>
        </m:d>
      </m:oMath>
      <w:r w:rsidRPr="00250668">
        <w:rPr>
          <w:lang w:val="es-ES_tradnl"/>
        </w:rPr>
        <w:tab/>
        <w:t>para</w:t>
      </w:r>
      <w:r w:rsidRPr="00250668">
        <w:rPr>
          <w:lang w:val="es-ES_tradnl"/>
        </w:rPr>
        <w:tab/>
      </w:r>
      <m:oMath>
        <m:r>
          <m:rPr>
            <m:sty m:val="p"/>
          </m:rPr>
          <w:rPr>
            <w:rFonts w:ascii="Cambria Math" w:hAnsi="Cambria Math" w:cs="Arial"/>
            <w:color w:val="000000"/>
            <w:sz w:val="20"/>
            <w:lang w:val="es-ES_tradnl"/>
          </w:rPr>
          <m:t xml:space="preserve">0,9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r>
          <m:rPr>
            <m:sty m:val="p"/>
          </m:rPr>
          <w:rPr>
            <w:rFonts w:ascii="Cambria Math" w:hAnsi="Cambria Math" w:cs="Arial"/>
            <w:color w:val="000000"/>
            <w:sz w:val="20"/>
            <w:lang w:val="es-ES_tradnl"/>
          </w:rPr>
          <m:t xml:space="preserve"> &lt;∅ ≤1,23 </m:t>
        </m:r>
        <m:sSub>
          <m:sSubPr>
            <m:ctrlPr>
              <w:rPr>
                <w:rFonts w:ascii="Cambria Math" w:eastAsia="SimSun"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p>
    <w:p w:rsidR="00F26A7D" w:rsidRPr="00250668" w:rsidRDefault="00F26A7D" w:rsidP="00F26A7D">
      <w:pPr>
        <w:tabs>
          <w:tab w:val="left" w:pos="2977"/>
          <w:tab w:val="left" w:pos="4111"/>
        </w:tabs>
        <w:spacing w:before="0"/>
        <w:textAlignment w:val="auto"/>
        <w:rPr>
          <w:lang w:val="es-ES_tradnl"/>
        </w:rPr>
      </w:pPr>
      <m:oMath>
        <m:r>
          <w:rPr>
            <w:rFonts w:ascii="Cambria Math" w:hAnsi="Cambria Math"/>
            <w:lang w:val="es-ES_tradnl"/>
          </w:rPr>
          <m:t>-</m:t>
        </m:r>
        <m:d>
          <m:dPr>
            <m:ctrlPr>
              <w:rPr>
                <w:rFonts w:ascii="Cambria Math" w:hAnsi="Cambria Math"/>
                <w:i/>
                <w:lang w:val="es-ES_tradnl"/>
              </w:rPr>
            </m:ctrlPr>
          </m:dPr>
          <m:e>
            <m:r>
              <m:rPr>
                <m:sty m:val="p"/>
              </m:rPr>
              <w:rPr>
                <w:rFonts w:ascii="Cambria Math" w:hAnsi="Cambria Math" w:cs="Arial"/>
                <w:color w:val="000000"/>
                <w:sz w:val="20"/>
                <w:lang w:val="es-ES_tradnl"/>
              </w:rPr>
              <m:t xml:space="preserve">27,7 + 23,75 log  </m:t>
            </m:r>
            <m:d>
              <m:dPr>
                <m:ctrlPr>
                  <w:rPr>
                    <w:rFonts w:ascii="Cambria Math" w:hAnsi="Cambria Math" w:cs="Arial"/>
                    <w:color w:val="000000"/>
                    <w:lang w:val="es-ES_tradnl"/>
                  </w:rPr>
                </m:ctrlPr>
              </m:dPr>
              <m:e>
                <m:r>
                  <w:rPr>
                    <w:rFonts w:ascii="Cambria Math" w:hAnsi="Cambria Math" w:cs="Arial"/>
                    <w:color w:val="000000"/>
                    <w:sz w:val="20"/>
                    <w:lang w:val="es-ES_tradnl"/>
                  </w:rPr>
                  <m:t>∅/</m:t>
                </m:r>
                <m:r>
                  <w:rPr>
                    <w:rFonts w:ascii="Cambria Math" w:hAnsi="Cambria Math"/>
                    <w:sz w:val="20"/>
                    <w:lang w:val="es-ES_tradnl"/>
                  </w:rPr>
                  <m:t xml:space="preserve"> </m:t>
                </m:r>
                <m:sSub>
                  <m:sSubPr>
                    <m:ctrlPr>
                      <w:rPr>
                        <w:rFonts w:ascii="Cambria Math"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e>
            </m:d>
            <m:ctrlPr>
              <w:rPr>
                <w:rFonts w:ascii="Cambria Math" w:hAnsi="Cambria Math" w:cs="Arial"/>
                <w:i/>
                <w:color w:val="000000"/>
                <w:lang w:val="es-ES_tradnl"/>
              </w:rPr>
            </m:ctrlPr>
          </m:e>
        </m:d>
      </m:oMath>
      <w:r w:rsidRPr="00250668">
        <w:rPr>
          <w:lang w:val="es-ES_tradnl"/>
        </w:rPr>
        <w:tab/>
        <w:t>para</w:t>
      </w:r>
      <w:r w:rsidRPr="00250668">
        <w:rPr>
          <w:lang w:val="es-ES_tradnl"/>
        </w:rPr>
        <w:tab/>
      </w:r>
      <m:oMath>
        <m:r>
          <m:rPr>
            <m:sty m:val="p"/>
          </m:rPr>
          <w:rPr>
            <w:rFonts w:ascii="Cambria Math" w:hAnsi="Cambria Math" w:cs="Arial"/>
            <w:color w:val="000000"/>
            <w:sz w:val="20"/>
            <w:lang w:val="es-ES_tradnl"/>
          </w:rPr>
          <m:t>1,23</m:t>
        </m:r>
        <m:sSub>
          <m:sSubPr>
            <m:ctrlPr>
              <w:rPr>
                <w:rFonts w:ascii="Cambria Math" w:hAnsi="Cambria Math"/>
                <w:i/>
                <w:lang w:val="es-ES_tradnl"/>
              </w:rPr>
            </m:ctrlPr>
          </m:sSubPr>
          <m:e>
            <m:r>
              <w:rPr>
                <w:rFonts w:ascii="Cambria Math" w:hAnsi="Cambria Math"/>
                <w:sz w:val="20"/>
                <w:lang w:val="es-ES_tradnl"/>
              </w:rPr>
              <m:t xml:space="preserve"> ∅</m:t>
            </m:r>
          </m:e>
          <m:sub>
            <m:r>
              <w:rPr>
                <w:rFonts w:ascii="Cambria Math" w:hAnsi="Cambria Math"/>
                <w:sz w:val="20"/>
                <w:lang w:val="es-ES_tradnl"/>
              </w:rPr>
              <m:t>0</m:t>
            </m:r>
          </m:sub>
        </m:sSub>
        <m:r>
          <m:rPr>
            <m:sty m:val="p"/>
          </m:rPr>
          <w:rPr>
            <w:rFonts w:ascii="Cambria Math" w:hAnsi="Cambria Math" w:cs="Arial"/>
            <w:color w:val="000000"/>
            <w:sz w:val="20"/>
            <w:lang w:val="es-ES_tradnl"/>
          </w:rPr>
          <m:t xml:space="preserve">&lt;∅ ≤4 </m:t>
        </m:r>
        <m:r>
          <w:rPr>
            <w:rFonts w:ascii="Cambria Math" w:hAnsi="Cambria Math"/>
            <w:sz w:val="20"/>
            <w:lang w:val="es-ES_tradnl"/>
          </w:rPr>
          <m:t xml:space="preserve"> </m:t>
        </m:r>
        <m:sSub>
          <m:sSubPr>
            <m:ctrlPr>
              <w:rPr>
                <w:rFonts w:ascii="Cambria Math" w:hAnsi="Cambria Math"/>
                <w:i/>
                <w:lang w:val="es-ES_tradnl"/>
              </w:rPr>
            </m:ctrlPr>
          </m:sSubPr>
          <m:e>
            <m:r>
              <w:rPr>
                <w:rFonts w:ascii="Cambria Math" w:hAnsi="Cambria Math"/>
                <w:sz w:val="20"/>
                <w:lang w:val="es-ES_tradnl"/>
              </w:rPr>
              <m:t>∅</m:t>
            </m:r>
          </m:e>
          <m:sub>
            <m:r>
              <w:rPr>
                <w:rFonts w:ascii="Cambria Math" w:hAnsi="Cambria Math"/>
                <w:sz w:val="20"/>
                <w:lang w:val="es-ES_tradnl"/>
              </w:rPr>
              <m:t>0</m:t>
            </m:r>
          </m:sub>
        </m:sSub>
      </m:oMath>
    </w:p>
    <w:p w:rsidR="00F26A7D" w:rsidRPr="00250668" w:rsidRDefault="00F26A7D" w:rsidP="00F26A7D">
      <w:pPr>
        <w:tabs>
          <w:tab w:val="clear" w:pos="1191"/>
          <w:tab w:val="clear" w:pos="1588"/>
          <w:tab w:val="clear" w:pos="1985"/>
          <w:tab w:val="left" w:pos="851"/>
          <w:tab w:val="left" w:pos="2977"/>
          <w:tab w:val="left" w:pos="3544"/>
          <w:tab w:val="left" w:pos="4111"/>
          <w:tab w:val="right" w:pos="9639"/>
        </w:tabs>
        <w:spacing w:before="0"/>
        <w:textAlignment w:val="auto"/>
        <w:rPr>
          <w:lang w:val="es-ES_tradnl"/>
        </w:rPr>
      </w:pPr>
      <w:r w:rsidRPr="00250668">
        <w:rPr>
          <w:iCs/>
          <w:sz w:val="20"/>
          <w:lang w:val="es-ES_tradnl"/>
        </w:rPr>
        <w:tab/>
      </w:r>
      <m:oMath>
        <m:r>
          <m:rPr>
            <m:sty m:val="p"/>
          </m:rPr>
          <w:rPr>
            <w:rFonts w:ascii="Cambria Math" w:hAnsi="Cambria Math"/>
            <w:sz w:val="20"/>
            <w:lang w:val="es-ES_tradnl"/>
          </w:rPr>
          <m:t>-42</m:t>
        </m:r>
      </m:oMath>
      <w:r w:rsidRPr="00250668">
        <w:rPr>
          <w:lang w:val="es-ES_tradnl"/>
        </w:rPr>
        <w:tab/>
        <w:t>para</w:t>
      </w:r>
      <w:r w:rsidRPr="00250668">
        <w:rPr>
          <w:lang w:val="es-ES_tradnl"/>
        </w:rPr>
        <w:tab/>
      </w:r>
      <w:r w:rsidRPr="00250668">
        <w:rPr>
          <w:lang w:val="es-ES_tradnl"/>
        </w:rPr>
        <w:tab/>
      </w:r>
      <m:oMath>
        <m:r>
          <w:rPr>
            <w:rFonts w:ascii="Cambria Math" w:hAnsi="Cambria Math"/>
            <w:lang w:val="es-ES_tradnl"/>
          </w:rPr>
          <m:t xml:space="preserve">    </m:t>
        </m:r>
        <m:r>
          <w:rPr>
            <w:rFonts w:ascii="Cambria Math" w:hAnsi="Cambria Math"/>
            <w:sz w:val="20"/>
            <w:lang w:val="es-ES_tradnl"/>
          </w:rPr>
          <m:t>4</m:t>
        </m:r>
        <m:sSub>
          <m:sSubPr>
            <m:ctrlPr>
              <w:rPr>
                <w:rFonts w:ascii="Cambria Math" w:hAnsi="Cambria Math"/>
                <w:i/>
                <w:lang w:val="es-ES_tradnl"/>
              </w:rPr>
            </m:ctrlPr>
          </m:sSubPr>
          <m:e>
            <m:r>
              <w:rPr>
                <w:rFonts w:ascii="Cambria Math" w:hAnsi="Cambria Math"/>
                <w:sz w:val="20"/>
                <w:lang w:val="es-ES_tradnl"/>
              </w:rPr>
              <m:t xml:space="preserve">  ∅</m:t>
            </m:r>
          </m:e>
          <m:sub>
            <m:r>
              <w:rPr>
                <w:rFonts w:ascii="Cambria Math" w:hAnsi="Cambria Math"/>
                <w:sz w:val="20"/>
                <w:lang w:val="es-ES_tradnl"/>
              </w:rPr>
              <m:t>0</m:t>
            </m:r>
          </m:sub>
        </m:sSub>
        <m:r>
          <w:rPr>
            <w:rFonts w:ascii="Cambria Math" w:hAnsi="Cambria Math"/>
            <w:sz w:val="20"/>
            <w:lang w:val="es-ES_tradnl"/>
          </w:rPr>
          <m:t>&lt;∅</m:t>
        </m:r>
      </m:oMath>
    </w:p>
    <w:p w:rsidR="00F26A7D" w:rsidRPr="00250668" w:rsidRDefault="00F26A7D" w:rsidP="00F26A7D">
      <w:pPr>
        <w:textAlignment w:val="auto"/>
        <w:rPr>
          <w:lang w:val="es-ES_tradnl" w:eastAsia="ja-JP"/>
        </w:rPr>
      </w:pPr>
      <w:r w:rsidRPr="00250668">
        <w:rPr>
          <w:lang w:val="es-ES_tradnl" w:eastAsia="ja-JP"/>
        </w:rPr>
        <w:t>Ejemplo:</w:t>
      </w:r>
    </w:p>
    <w:p w:rsidR="00F26A7D" w:rsidRPr="00250668" w:rsidRDefault="00B03E9B" w:rsidP="00CC74AC">
      <w:pPr>
        <w:textAlignment w:val="auto"/>
        <w:rPr>
          <w:lang w:val="es-ES_tradnl" w:eastAsia="ja-JP"/>
        </w:rPr>
      </w:pPr>
      <w:r>
        <w:rPr>
          <w:lang w:val="es-ES_tradnl" w:eastAsia="ja-JP"/>
        </w:rPr>
        <w:t>En la Fig.</w:t>
      </w:r>
      <w:r w:rsidR="00F26A7D" w:rsidRPr="00250668">
        <w:rPr>
          <w:lang w:val="es-ES_tradnl" w:eastAsia="ja-JP"/>
        </w:rPr>
        <w:t xml:space="preserve"> 1 se presenta el diagrama de radiación de antena de estación terrena receptora del SRS alternativo con </w:t>
      </w:r>
      <w:r w:rsidR="00F26A7D" w:rsidRPr="00250668">
        <w:rPr>
          <w:i/>
          <w:iCs/>
          <w:lang w:val="es-ES_tradnl" w:eastAsia="ja-JP"/>
        </w:rPr>
        <w:t>D</w:t>
      </w:r>
      <w:r w:rsidR="00F26A7D" w:rsidRPr="00250668">
        <w:rPr>
          <w:lang w:val="es-ES_tradnl" w:eastAsia="ja-JP"/>
        </w:rPr>
        <w:t xml:space="preserve"> = 0</w:t>
      </w:r>
      <w:r w:rsidR="00F26A7D">
        <w:rPr>
          <w:lang w:val="es-ES_tradnl" w:eastAsia="ja-JP"/>
        </w:rPr>
        <w:t>,</w:t>
      </w:r>
      <w:r w:rsidR="00F26A7D" w:rsidRPr="00250668">
        <w:rPr>
          <w:lang w:val="es-ES_tradnl" w:eastAsia="ja-JP"/>
        </w:rPr>
        <w:t>7 m.</w:t>
      </w:r>
    </w:p>
    <w:p w:rsidR="00F26A7D" w:rsidRPr="00250668" w:rsidRDefault="00F26A7D" w:rsidP="00F26A7D">
      <w:pPr>
        <w:pStyle w:val="FigureNo"/>
        <w:rPr>
          <w:lang w:val="es-ES_tradnl"/>
        </w:rPr>
      </w:pPr>
      <w:r w:rsidRPr="00250668">
        <w:rPr>
          <w:lang w:val="es-ES_tradnl"/>
        </w:rPr>
        <w:t>FIGURA 1</w:t>
      </w:r>
    </w:p>
    <w:p w:rsidR="00F26A7D" w:rsidRPr="00250668" w:rsidRDefault="00CC74AC" w:rsidP="00F26A7D">
      <w:pPr>
        <w:keepLines/>
        <w:spacing w:before="0" w:after="240"/>
        <w:jc w:val="center"/>
        <w:textAlignment w:val="auto"/>
        <w:rPr>
          <w:caps/>
          <w:sz w:val="18"/>
          <w:lang w:val="es-ES_tradnl"/>
        </w:rPr>
      </w:pPr>
      <w:r w:rsidRPr="00250668">
        <w:rPr>
          <w:caps/>
          <w:noProof/>
          <w:sz w:val="18"/>
          <w:lang w:val="es-ES_tradnl" w:eastAsia="zh-CN"/>
        </w:rPr>
        <w:object w:dxaOrig="4049" w:dyaOrig="30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2pt;height:250.2pt" o:ole="">
            <v:imagedata r:id="rId12" o:title=""/>
          </v:shape>
          <o:OLEObject Type="Embed" ProgID="CorelDRAW.Graphic.14" ShapeID="_x0000_i1025" DrawAspect="Content" ObjectID="_1498993676" r:id="rId13"/>
        </w:object>
      </w:r>
    </w:p>
    <w:p w:rsidR="00F26A7D" w:rsidRDefault="00F26A7D">
      <w:pPr>
        <w:jc w:val="center"/>
      </w:pPr>
      <w:r>
        <w:t>______________</w:t>
      </w:r>
    </w:p>
    <w:sectPr w:rsidR="00F26A7D" w:rsidSect="00F26A7D">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6A7D" w:rsidRDefault="00F26A7D">
      <w:r>
        <w:separator/>
      </w:r>
    </w:p>
  </w:endnote>
  <w:endnote w:type="continuationSeparator" w:id="0">
    <w:p w:rsidR="00F26A7D" w:rsidRDefault="00F26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6A7D" w:rsidRDefault="00F26A7D">
      <w:r>
        <w:separator/>
      </w:r>
    </w:p>
  </w:footnote>
  <w:footnote w:type="continuationSeparator" w:id="0">
    <w:p w:rsidR="00F26A7D" w:rsidRDefault="00F26A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7D" w:rsidRDefault="00F26A7D">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7D" w:rsidRDefault="00F26A7D" w:rsidP="00D62884">
    <w:pPr>
      <w:pStyle w:val="Header"/>
      <w:ind w:right="360" w:firstLine="360"/>
    </w:pPr>
    <w:r>
      <w:rPr>
        <w:noProof/>
        <w:lang w:val="es-ES_tradnl" w:eastAsia="zh-CN"/>
      </w:rPr>
      <w:drawing>
        <wp:anchor distT="0" distB="0" distL="114300" distR="114300" simplePos="0" relativeHeight="251660288" behindDoc="0" locked="0" layoutInCell="1" allowOverlap="1" wp14:anchorId="056444A5" wp14:editId="72AA33FF">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s-ES_tradnl" w:eastAsia="zh-CN"/>
      </w:rPr>
      <w:drawing>
        <wp:anchor distT="0" distB="0" distL="114300" distR="114300" simplePos="0" relativeHeight="251659264" behindDoc="1" locked="0" layoutInCell="1" allowOverlap="1" wp14:anchorId="0699B779" wp14:editId="52205DEB">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7D" w:rsidRDefault="00F26A7D"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F7261">
      <w:rPr>
        <w:rStyle w:val="PageNumber"/>
        <w:b/>
        <w:bCs/>
        <w:noProof/>
      </w:rPr>
      <w:t>ii</w:t>
    </w:r>
    <w:r>
      <w:rPr>
        <w:rStyle w:val="PageNumber"/>
        <w:b/>
        <w:bCs/>
      </w:rPr>
      <w:fldChar w:fldCharType="end"/>
    </w:r>
    <w:r>
      <w:tab/>
    </w:r>
    <w:r w:rsidR="000F7261">
      <w:fldChar w:fldCharType="begin"/>
    </w:r>
    <w:r w:rsidR="000F7261">
      <w:instrText xml:space="preserve"> DOCPROPERTY "Header" \* MERGEFORMAT </w:instrText>
    </w:r>
    <w:r w:rsidR="000F7261">
      <w:fldChar w:fldCharType="separate"/>
    </w:r>
    <w:r w:rsidRPr="00F26A7D">
      <w:rPr>
        <w:b/>
        <w:bCs/>
        <w:lang w:val="fr-CH"/>
      </w:rPr>
      <w:t xml:space="preserve">Rec. </w:t>
    </w:r>
    <w:r w:rsidR="000F7261">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0F7261">
      <w:rPr>
        <w:b/>
        <w:bCs/>
        <w:noProof/>
      </w:rPr>
      <w:t>UIT-R  BO.2063-0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6A7D" w:rsidRDefault="00F26A7D">
    <w:pPr>
      <w:pStyle w:val="Header"/>
    </w:pPr>
    <w:r>
      <w:tab/>
    </w:r>
    <w:r w:rsidR="000F7261">
      <w:fldChar w:fldCharType="begin"/>
    </w:r>
    <w:r w:rsidR="000F7261">
      <w:instrText xml:space="preserve"> DOCPROPERTY "Header" \* MERGEFORMAT </w:instrText>
    </w:r>
    <w:r w:rsidR="000F7261">
      <w:fldChar w:fldCharType="separate"/>
    </w:r>
    <w:r w:rsidRPr="00F26A7D">
      <w:rPr>
        <w:lang w:val="en-US"/>
      </w:rPr>
      <w:t xml:space="preserve">Rec. </w:t>
    </w:r>
    <w:r w:rsidR="000F7261">
      <w:rPr>
        <w:lang w:val="en-US"/>
      </w:rPr>
      <w:fldChar w:fldCharType="end"/>
    </w:r>
    <w:r>
      <w:rPr>
        <w:b/>
        <w:bCs/>
      </w:rPr>
      <w:t xml:space="preserve">  </w:t>
    </w:r>
    <w:r>
      <w:rPr>
        <w:b/>
        <w:bCs/>
      </w:rPr>
      <w:fldChar w:fldCharType="begin"/>
    </w:r>
    <w:r>
      <w:rPr>
        <w:b/>
        <w:bCs/>
      </w:rPr>
      <w:instrText>styleref href</w:instrText>
    </w:r>
    <w:r>
      <w:rPr>
        <w:b/>
        <w:bCs/>
      </w:rPr>
      <w:fldChar w:fldCharType="separate"/>
    </w:r>
    <w:r>
      <w:rPr>
        <w:b/>
        <w:bCs/>
        <w:noProof/>
      </w:rPr>
      <w:t>UIT-R  BO.2063-0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7261">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26A7D" w:rsidRPr="00F26A7D">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F7261">
      <w:rPr>
        <w:b/>
        <w:bCs/>
        <w:noProof/>
      </w:rPr>
      <w:t>UIT-R  BO.2063-0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0F7261">
      <w:fldChar w:fldCharType="begin"/>
    </w:r>
    <w:r w:rsidR="000F7261">
      <w:instrText xml:space="preserve"> DOCPROPERTY "Header" \* MERGEFORMAT </w:instrText>
    </w:r>
    <w:r w:rsidR="000F7261">
      <w:fldChar w:fldCharType="separate"/>
    </w:r>
    <w:r w:rsidR="00F26A7D" w:rsidRPr="00F26A7D">
      <w:rPr>
        <w:b/>
        <w:bCs/>
      </w:rPr>
      <w:t xml:space="preserve">Rec. </w:t>
    </w:r>
    <w:r w:rsidR="000F7261">
      <w:rPr>
        <w:b/>
        <w:bCs/>
      </w:rPr>
      <w:fldChar w:fldCharType="end"/>
    </w:r>
    <w:r>
      <w:rPr>
        <w:b/>
        <w:bCs/>
      </w:rPr>
      <w:t xml:space="preserve"> </w:t>
    </w:r>
    <w:r>
      <w:rPr>
        <w:b/>
        <w:bCs/>
      </w:rPr>
      <w:fldChar w:fldCharType="begin"/>
    </w:r>
    <w:r>
      <w:rPr>
        <w:b/>
        <w:bCs/>
      </w:rPr>
      <w:instrText>styleref href</w:instrText>
    </w:r>
    <w:r>
      <w:rPr>
        <w:b/>
        <w:bCs/>
      </w:rPr>
      <w:fldChar w:fldCharType="separate"/>
    </w:r>
    <w:r w:rsidR="000F7261">
      <w:rPr>
        <w:b/>
        <w:bCs/>
        <w:noProof/>
      </w:rPr>
      <w:t>UIT-R  BO.2063-0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7261">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A7D"/>
    <w:rsid w:val="000F7261"/>
    <w:rsid w:val="00125672"/>
    <w:rsid w:val="00217EBF"/>
    <w:rsid w:val="00242AEE"/>
    <w:rsid w:val="002D76C4"/>
    <w:rsid w:val="004F065E"/>
    <w:rsid w:val="0052529D"/>
    <w:rsid w:val="00607D68"/>
    <w:rsid w:val="006D5593"/>
    <w:rsid w:val="007468DA"/>
    <w:rsid w:val="007B3149"/>
    <w:rsid w:val="0088636A"/>
    <w:rsid w:val="00962BEA"/>
    <w:rsid w:val="009E00A8"/>
    <w:rsid w:val="00A6617B"/>
    <w:rsid w:val="00AB0DC8"/>
    <w:rsid w:val="00AE2704"/>
    <w:rsid w:val="00B03E9B"/>
    <w:rsid w:val="00B44E24"/>
    <w:rsid w:val="00BF2C11"/>
    <w:rsid w:val="00CC74AC"/>
    <w:rsid w:val="00D12C1A"/>
    <w:rsid w:val="00DE782C"/>
    <w:rsid w:val="00DF4176"/>
    <w:rsid w:val="00F26A7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933C9AF3-49CC-4551-AF42-D7EA8C4C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A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26A7D"/>
    <w:rPr>
      <w:color w:val="0000FF"/>
      <w:u w:val="single"/>
    </w:rPr>
  </w:style>
  <w:style w:type="table" w:styleId="TableGrid">
    <w:name w:val="Table Grid"/>
    <w:basedOn w:val="TableNormal"/>
    <w:rsid w:val="00F26A7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titleChar">
    <w:name w:val="Rec_title Char"/>
    <w:basedOn w:val="DefaultParagraphFont"/>
    <w:link w:val="Rectitle"/>
    <w:locked/>
    <w:rsid w:val="00F26A7D"/>
    <w:rPr>
      <w:b/>
      <w:sz w:val="28"/>
      <w:lang w:val="fr-FR" w:eastAsia="en-US"/>
    </w:rPr>
  </w:style>
  <w:style w:type="character" w:customStyle="1" w:styleId="NormalaftertitleChar">
    <w:name w:val="Normal_after_title Char"/>
    <w:link w:val="Normalaftertitle"/>
    <w:locked/>
    <w:rsid w:val="00F26A7D"/>
    <w:rPr>
      <w:sz w:val="24"/>
      <w:lang w:val="fr-FR" w:eastAsia="en-US"/>
    </w:rPr>
  </w:style>
  <w:style w:type="character" w:customStyle="1" w:styleId="CallChar">
    <w:name w:val="Call Char"/>
    <w:link w:val="Call"/>
    <w:rsid w:val="00F26A7D"/>
    <w:rPr>
      <w:i/>
      <w:sz w:val="24"/>
      <w:lang w:val="fr-FR" w:eastAsia="en-US"/>
    </w:rPr>
  </w:style>
  <w:style w:type="paragraph" w:customStyle="1" w:styleId="Reasons">
    <w:name w:val="Reasons"/>
    <w:basedOn w:val="Normal"/>
    <w:qFormat/>
    <w:rsid w:val="00F26A7D"/>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3FEF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50</TotalTime>
  <Pages>5</Pages>
  <Words>1504</Words>
  <Characters>8878</Characters>
  <Application>Microsoft Office Word</Application>
  <DocSecurity>0</DocSecurity>
  <Lines>341</Lines>
  <Paragraphs>157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Política sobre Derechos de Propiedad Intelectual (IPR)</vt:lpstr>
    </vt:vector>
  </TitlesOfParts>
  <Manager/>
  <Company>ITU</Company>
  <LinksUpToDate>false</LinksUpToDate>
  <CharactersWithSpaces>10225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BO.2063-0 - Diagrama alternativo de radiación de antena de estación terrena  del SRS para bandas de 12 GHz con aberturas  efectivas entre 55 y 75 cm</dc:title>
  <dc:subject>Serie BO = Servicio de radiodifusión por satélite (radiofonía y televisión)</dc:subject>
  <dc:creator>Oficina de Radiocomunicaciones del UIT (BR)</dc:creator>
  <cp:keywords>BO,2063-0</cp:keywords>
  <dc:description>Martiner, 21.07.2015, ITU51007786</dc:description>
  <cp:lastModifiedBy>Martinez Romera, Angel</cp:lastModifiedBy>
  <cp:revision>12</cp:revision>
  <cp:lastPrinted>2005-02-10T15:54:00Z</cp:lastPrinted>
  <dcterms:created xsi:type="dcterms:W3CDTF">2015-07-21T09:20:00Z</dcterms:created>
  <dcterms:modified xsi:type="dcterms:W3CDTF">2015-07-21T12:16:00Z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Martiner</vt:lpwstr>
  </property>
  <property fmtid="{D5CDD505-2E9C-101B-9397-08002B2CF9AE}" pid="11" name="Date completed">
    <vt:lpwstr>mardi 21 juillet 2015</vt:lpwstr>
  </property>
</Properties>
</file>