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A94A71" w:rsidRDefault="00FE79FE">
      <w:pPr>
        <w:rPr>
          <w:lang w:val="en-GB"/>
        </w:rPr>
      </w:pPr>
    </w:p>
    <w:p w:rsidR="00FE79FE" w:rsidRPr="00A94A71" w:rsidRDefault="00FE79FE">
      <w:pPr>
        <w:rPr>
          <w:lang w:val="en-GB"/>
        </w:rPr>
      </w:pPr>
    </w:p>
    <w:p w:rsidR="00FE79FE" w:rsidRPr="00A94A71" w:rsidRDefault="00FE79FE">
      <w:pPr>
        <w:rPr>
          <w:lang w:val="en-GB"/>
        </w:rPr>
      </w:pPr>
    </w:p>
    <w:p w:rsidR="00FE79FE" w:rsidRPr="00A94A71" w:rsidRDefault="00FE79FE">
      <w:pPr>
        <w:rPr>
          <w:lang w:val="en-GB"/>
        </w:rPr>
      </w:pPr>
    </w:p>
    <w:p w:rsidR="00FE79FE" w:rsidRPr="00A94A71" w:rsidRDefault="00FE79FE">
      <w:pPr>
        <w:rPr>
          <w:lang w:val="en-GB"/>
        </w:rPr>
      </w:pPr>
    </w:p>
    <w:p w:rsidR="00013002" w:rsidRPr="00A94A71" w:rsidRDefault="00013002">
      <w:pPr>
        <w:rPr>
          <w:lang w:val="en-GB"/>
        </w:rPr>
      </w:pPr>
    </w:p>
    <w:p w:rsidR="00013002" w:rsidRPr="00A94A71" w:rsidRDefault="00013002">
      <w:pPr>
        <w:rPr>
          <w:lang w:val="en-GB"/>
        </w:rPr>
      </w:pPr>
    </w:p>
    <w:p w:rsidR="00013002" w:rsidRPr="00A94A71" w:rsidRDefault="00013002">
      <w:pPr>
        <w:rPr>
          <w:lang w:val="en-GB"/>
        </w:rPr>
      </w:pPr>
    </w:p>
    <w:p w:rsidR="00FE79FE" w:rsidRPr="00A94A71" w:rsidRDefault="00FE79FE">
      <w:pPr>
        <w:rPr>
          <w:lang w:val="en-GB"/>
        </w:rPr>
      </w:pPr>
    </w:p>
    <w:p w:rsidR="00FE79FE" w:rsidRPr="00A94A71" w:rsidRDefault="00FE79FE">
      <w:pPr>
        <w:rPr>
          <w:lang w:val="en-GB"/>
        </w:rPr>
      </w:pPr>
    </w:p>
    <w:p w:rsidR="00FE79FE" w:rsidRPr="00A94A71" w:rsidRDefault="00FE79FE">
      <w:pPr>
        <w:rPr>
          <w:lang w:val="en-GB"/>
        </w:rPr>
      </w:pPr>
    </w:p>
    <w:p w:rsidR="00FE79FE" w:rsidRPr="00A94A71" w:rsidRDefault="00FE79FE">
      <w:pPr>
        <w:rPr>
          <w:lang w:val="en-GB"/>
        </w:rPr>
      </w:pPr>
    </w:p>
    <w:tbl>
      <w:tblPr>
        <w:tblW w:w="10089" w:type="dxa"/>
        <w:tblLook w:val="01E0" w:firstRow="1" w:lastRow="1" w:firstColumn="1" w:lastColumn="1" w:noHBand="0" w:noVBand="0"/>
      </w:tblPr>
      <w:tblGrid>
        <w:gridCol w:w="10089"/>
      </w:tblGrid>
      <w:tr w:rsidR="00FE79FE" w:rsidRPr="00A94A71">
        <w:tc>
          <w:tcPr>
            <w:tcW w:w="10089" w:type="dxa"/>
          </w:tcPr>
          <w:p w:rsidR="00276D21" w:rsidRPr="00A94A71" w:rsidRDefault="00276D21" w:rsidP="00013002">
            <w:pPr>
              <w:spacing w:before="380" w:line="280" w:lineRule="exact"/>
              <w:jc w:val="right"/>
              <w:rPr>
                <w:rFonts w:ascii="Tahoma" w:hAnsi="Tahoma" w:cs="Tahoma"/>
                <w:b/>
                <w:bCs/>
                <w:iCs/>
                <w:color w:val="243285"/>
                <w:sz w:val="32"/>
                <w:szCs w:val="32"/>
                <w:lang w:val="en-GB"/>
              </w:rPr>
            </w:pPr>
          </w:p>
          <w:p w:rsidR="00FE79FE" w:rsidRPr="00A94A71" w:rsidRDefault="00FE79FE" w:rsidP="00451E0C">
            <w:pPr>
              <w:spacing w:before="380" w:line="280" w:lineRule="exact"/>
              <w:jc w:val="right"/>
              <w:rPr>
                <w:rFonts w:ascii="Tahoma" w:hAnsi="Tahoma" w:cs="Tahoma"/>
                <w:b/>
                <w:bCs/>
                <w:iCs/>
                <w:color w:val="243285"/>
                <w:sz w:val="36"/>
                <w:szCs w:val="36"/>
                <w:lang w:val="en-GB"/>
              </w:rPr>
            </w:pPr>
            <w:r w:rsidRPr="00A94A71">
              <w:rPr>
                <w:rFonts w:ascii="Tahoma" w:hAnsi="Tahoma" w:cs="Tahoma"/>
                <w:b/>
                <w:bCs/>
                <w:iCs/>
                <w:color w:val="243285"/>
                <w:sz w:val="36"/>
                <w:szCs w:val="36"/>
                <w:lang w:val="en-GB"/>
              </w:rPr>
              <w:t xml:space="preserve">Recommendation  ITU-R  </w:t>
            </w:r>
            <w:r w:rsidR="001B164E" w:rsidRPr="00A94A71">
              <w:rPr>
                <w:rFonts w:ascii="Tahoma" w:hAnsi="Tahoma" w:cs="Tahoma"/>
                <w:b/>
                <w:bCs/>
                <w:iCs/>
                <w:color w:val="243285"/>
                <w:sz w:val="36"/>
                <w:szCs w:val="36"/>
                <w:lang w:val="en-GB"/>
              </w:rPr>
              <w:t>BO</w:t>
            </w:r>
            <w:r w:rsidRPr="00A94A71">
              <w:rPr>
                <w:rFonts w:ascii="Tahoma" w:hAnsi="Tahoma" w:cs="Tahoma"/>
                <w:b/>
                <w:bCs/>
                <w:iCs/>
                <w:color w:val="243285"/>
                <w:sz w:val="36"/>
                <w:szCs w:val="36"/>
                <w:lang w:val="en-GB"/>
              </w:rPr>
              <w:t>.</w:t>
            </w:r>
            <w:r w:rsidR="00451E0C" w:rsidRPr="00A94A71">
              <w:rPr>
                <w:rFonts w:ascii="Tahoma" w:hAnsi="Tahoma" w:cs="Tahoma"/>
                <w:b/>
                <w:bCs/>
                <w:iCs/>
                <w:color w:val="243285"/>
                <w:sz w:val="36"/>
                <w:szCs w:val="36"/>
                <w:lang w:val="en-GB"/>
              </w:rPr>
              <w:t>2063-0</w:t>
            </w:r>
          </w:p>
          <w:p w:rsidR="00FE79FE" w:rsidRPr="00A94A71" w:rsidRDefault="00FE79FE" w:rsidP="00000AB1">
            <w:pPr>
              <w:spacing w:before="80" w:line="280" w:lineRule="exact"/>
              <w:jc w:val="right"/>
              <w:rPr>
                <w:rFonts w:ascii="Tahoma" w:hAnsi="Tahoma" w:cs="Tahoma"/>
                <w:b/>
                <w:bCs/>
                <w:iCs/>
                <w:color w:val="243285"/>
                <w:szCs w:val="24"/>
                <w:lang w:val="en-GB"/>
              </w:rPr>
            </w:pPr>
            <w:r w:rsidRPr="00A94A71">
              <w:rPr>
                <w:rFonts w:ascii="Tahoma" w:hAnsi="Tahoma" w:cs="Tahoma"/>
                <w:b/>
                <w:bCs/>
                <w:iCs/>
                <w:color w:val="243285"/>
                <w:szCs w:val="24"/>
                <w:lang w:val="en-GB"/>
              </w:rPr>
              <w:t>(</w:t>
            </w:r>
            <w:r w:rsidR="00451E0C" w:rsidRPr="00A94A71">
              <w:rPr>
                <w:rFonts w:ascii="Tahoma" w:hAnsi="Tahoma" w:cs="Tahoma"/>
                <w:b/>
                <w:bCs/>
                <w:iCs/>
                <w:color w:val="243285"/>
                <w:szCs w:val="24"/>
                <w:lang w:val="en-GB"/>
              </w:rPr>
              <w:t>0</w:t>
            </w:r>
            <w:r w:rsidR="00000AB1">
              <w:rPr>
                <w:rFonts w:ascii="Tahoma" w:hAnsi="Tahoma" w:cs="Tahoma"/>
                <w:b/>
                <w:bCs/>
                <w:iCs/>
                <w:color w:val="243285"/>
                <w:szCs w:val="24"/>
                <w:lang w:val="en-GB"/>
              </w:rPr>
              <w:t>9</w:t>
            </w:r>
            <w:r w:rsidRPr="00A94A71">
              <w:rPr>
                <w:rFonts w:ascii="Tahoma" w:hAnsi="Tahoma" w:cs="Tahoma"/>
                <w:b/>
                <w:bCs/>
                <w:iCs/>
                <w:color w:val="243285"/>
                <w:szCs w:val="24"/>
                <w:lang w:val="en-GB"/>
              </w:rPr>
              <w:t>/</w:t>
            </w:r>
            <w:r w:rsidR="00451E0C" w:rsidRPr="00A94A71">
              <w:rPr>
                <w:rFonts w:ascii="Tahoma" w:hAnsi="Tahoma" w:cs="Tahoma"/>
                <w:b/>
                <w:bCs/>
                <w:iCs/>
                <w:color w:val="243285"/>
                <w:szCs w:val="24"/>
                <w:lang w:val="en-GB"/>
              </w:rPr>
              <w:t>2014</w:t>
            </w:r>
            <w:r w:rsidRPr="00A94A71">
              <w:rPr>
                <w:rFonts w:ascii="Tahoma" w:hAnsi="Tahoma" w:cs="Tahoma"/>
                <w:b/>
                <w:bCs/>
                <w:iCs/>
                <w:color w:val="243285"/>
                <w:szCs w:val="24"/>
                <w:lang w:val="en-GB"/>
              </w:rPr>
              <w:t>)</w:t>
            </w:r>
          </w:p>
        </w:tc>
      </w:tr>
      <w:tr w:rsidR="00FE79FE" w:rsidRPr="00D56F5A">
        <w:tc>
          <w:tcPr>
            <w:tcW w:w="10089" w:type="dxa"/>
          </w:tcPr>
          <w:p w:rsidR="00013002" w:rsidRPr="00A94A71" w:rsidRDefault="00013002" w:rsidP="00FE79FE">
            <w:pPr>
              <w:spacing w:before="80" w:line="500" w:lineRule="exact"/>
              <w:jc w:val="right"/>
              <w:rPr>
                <w:rFonts w:ascii="Tahoma" w:hAnsi="Tahoma" w:cs="Tahoma"/>
                <w:b/>
                <w:bCs/>
                <w:iCs/>
                <w:color w:val="243285"/>
                <w:sz w:val="44"/>
                <w:szCs w:val="44"/>
                <w:lang w:val="en-GB"/>
              </w:rPr>
            </w:pPr>
          </w:p>
          <w:p w:rsidR="00FE79FE" w:rsidRPr="00A94A71" w:rsidRDefault="00D16F88" w:rsidP="00D16F88">
            <w:pPr>
              <w:spacing w:before="80" w:line="500" w:lineRule="exact"/>
              <w:jc w:val="right"/>
              <w:rPr>
                <w:rFonts w:ascii="Tahoma" w:hAnsi="Tahoma" w:cs="Tahoma"/>
                <w:b/>
                <w:bCs/>
                <w:iCs/>
                <w:color w:val="243285"/>
                <w:sz w:val="44"/>
                <w:szCs w:val="44"/>
                <w:lang w:val="en-GB"/>
              </w:rPr>
            </w:pPr>
            <w:r w:rsidRPr="00A94A71">
              <w:rPr>
                <w:rFonts w:ascii="Tahoma" w:hAnsi="Tahoma" w:cs="Tahoma"/>
                <w:b/>
                <w:bCs/>
                <w:iCs/>
                <w:color w:val="243285"/>
                <w:sz w:val="44"/>
                <w:szCs w:val="44"/>
                <w:lang w:val="en-GB"/>
              </w:rPr>
              <w:t>Alternative BSS earth station antenna radiation pattern for 12 GHz BSS bands</w:t>
            </w:r>
            <w:r w:rsidRPr="00A94A71">
              <w:rPr>
                <w:rFonts w:ascii="Tahoma" w:hAnsi="Tahoma" w:cs="Tahoma"/>
                <w:b/>
                <w:bCs/>
                <w:iCs/>
                <w:color w:val="243285"/>
                <w:sz w:val="44"/>
                <w:szCs w:val="44"/>
                <w:lang w:val="en-GB"/>
              </w:rPr>
              <w:br/>
              <w:t xml:space="preserve">with effective apertures </w:t>
            </w:r>
            <w:r w:rsidR="004F6713" w:rsidRPr="00A94A71">
              <w:rPr>
                <w:rFonts w:ascii="Tahoma" w:hAnsi="Tahoma" w:cs="Tahoma"/>
                <w:b/>
                <w:bCs/>
                <w:iCs/>
                <w:color w:val="243285"/>
                <w:sz w:val="44"/>
                <w:szCs w:val="44"/>
                <w:lang w:val="en-GB"/>
              </w:rPr>
              <w:br/>
            </w:r>
            <w:r w:rsidRPr="00A94A71">
              <w:rPr>
                <w:rFonts w:ascii="Tahoma" w:hAnsi="Tahoma" w:cs="Tahoma"/>
                <w:b/>
                <w:bCs/>
                <w:iCs/>
                <w:color w:val="243285"/>
                <w:sz w:val="44"/>
                <w:szCs w:val="44"/>
                <w:lang w:val="en-GB"/>
              </w:rPr>
              <w:t>in the range 55-75 cm</w:t>
            </w:r>
          </w:p>
          <w:p w:rsidR="00A62A14" w:rsidRPr="00A94A71" w:rsidRDefault="00A62A14" w:rsidP="00FE79FE">
            <w:pPr>
              <w:spacing w:before="80" w:line="500" w:lineRule="exact"/>
              <w:jc w:val="right"/>
              <w:rPr>
                <w:rFonts w:ascii="Tahoma" w:hAnsi="Tahoma" w:cs="Tahoma"/>
                <w:b/>
                <w:bCs/>
                <w:iCs/>
                <w:color w:val="243285"/>
                <w:sz w:val="40"/>
                <w:szCs w:val="40"/>
                <w:lang w:val="en-GB"/>
              </w:rPr>
            </w:pPr>
          </w:p>
        </w:tc>
      </w:tr>
      <w:tr w:rsidR="00FE79FE" w:rsidRPr="00A94A71">
        <w:tc>
          <w:tcPr>
            <w:tcW w:w="10089" w:type="dxa"/>
          </w:tcPr>
          <w:p w:rsidR="001F38BB" w:rsidRPr="00A94A71" w:rsidRDefault="001F38BB" w:rsidP="001F38BB">
            <w:pPr>
              <w:spacing w:before="80" w:line="280" w:lineRule="exact"/>
              <w:ind w:right="640"/>
              <w:rPr>
                <w:rFonts w:ascii="Tahoma" w:hAnsi="Tahoma" w:cs="Tahoma"/>
                <w:b/>
                <w:bCs/>
                <w:iCs/>
                <w:color w:val="243285"/>
                <w:sz w:val="32"/>
                <w:szCs w:val="32"/>
                <w:lang w:val="en-GB"/>
              </w:rPr>
            </w:pPr>
          </w:p>
          <w:p w:rsidR="001F38BB" w:rsidRPr="00A94A71" w:rsidRDefault="001F38BB" w:rsidP="001F38BB">
            <w:pPr>
              <w:spacing w:before="80" w:line="280" w:lineRule="exact"/>
              <w:ind w:right="640"/>
              <w:rPr>
                <w:rFonts w:ascii="Tahoma" w:hAnsi="Tahoma" w:cs="Tahoma"/>
                <w:b/>
                <w:bCs/>
                <w:iCs/>
                <w:color w:val="243285"/>
                <w:sz w:val="32"/>
                <w:szCs w:val="32"/>
                <w:lang w:val="en-GB"/>
              </w:rPr>
            </w:pPr>
          </w:p>
          <w:p w:rsidR="001F38BB" w:rsidRPr="00A94A71" w:rsidRDefault="001F38BB" w:rsidP="001F38BB">
            <w:pPr>
              <w:spacing w:before="80" w:after="180" w:line="360" w:lineRule="exact"/>
              <w:ind w:right="720"/>
              <w:rPr>
                <w:rFonts w:ascii="Tahoma" w:hAnsi="Tahoma" w:cs="Tahoma"/>
                <w:b/>
                <w:bCs/>
                <w:iCs/>
                <w:color w:val="243285"/>
                <w:sz w:val="36"/>
                <w:szCs w:val="36"/>
                <w:lang w:val="en-GB"/>
              </w:rPr>
            </w:pPr>
          </w:p>
          <w:p w:rsidR="00013002" w:rsidRPr="00A94A71" w:rsidRDefault="001B164E" w:rsidP="00013002">
            <w:pPr>
              <w:spacing w:before="80" w:after="180" w:line="360" w:lineRule="exact"/>
              <w:jc w:val="right"/>
              <w:rPr>
                <w:rFonts w:ascii="Tahoma" w:hAnsi="Tahoma" w:cs="Tahoma"/>
                <w:b/>
                <w:bCs/>
                <w:iCs/>
                <w:color w:val="243285"/>
                <w:sz w:val="36"/>
                <w:szCs w:val="36"/>
                <w:lang w:val="en-GB"/>
              </w:rPr>
            </w:pPr>
            <w:r w:rsidRPr="00A94A71">
              <w:rPr>
                <w:rFonts w:ascii="Tahoma" w:hAnsi="Tahoma" w:cs="Tahoma"/>
                <w:b/>
                <w:bCs/>
                <w:iCs/>
                <w:color w:val="243285"/>
                <w:sz w:val="36"/>
                <w:szCs w:val="36"/>
                <w:lang w:val="en-GB"/>
              </w:rPr>
              <w:t>BO</w:t>
            </w:r>
            <w:r w:rsidR="00FE79FE" w:rsidRPr="00A94A71">
              <w:rPr>
                <w:rFonts w:ascii="Tahoma" w:hAnsi="Tahoma" w:cs="Tahoma"/>
                <w:b/>
                <w:bCs/>
                <w:iCs/>
                <w:color w:val="243285"/>
                <w:sz w:val="36"/>
                <w:szCs w:val="36"/>
                <w:lang w:val="en-GB"/>
              </w:rPr>
              <w:t xml:space="preserve"> Series</w:t>
            </w:r>
          </w:p>
          <w:p w:rsidR="00FE79FE" w:rsidRPr="00A94A71" w:rsidRDefault="001B164E" w:rsidP="00FE79FE">
            <w:pPr>
              <w:spacing w:before="80" w:line="360" w:lineRule="exact"/>
              <w:jc w:val="right"/>
              <w:rPr>
                <w:rFonts w:ascii="Tahoma" w:hAnsi="Tahoma" w:cs="Tahoma"/>
                <w:b/>
                <w:bCs/>
                <w:iCs/>
                <w:color w:val="243285"/>
                <w:sz w:val="36"/>
                <w:szCs w:val="36"/>
                <w:lang w:val="en-GB"/>
              </w:rPr>
            </w:pPr>
            <w:r w:rsidRPr="00A94A71">
              <w:rPr>
                <w:rFonts w:ascii="Tahoma" w:hAnsi="Tahoma" w:cs="Tahoma"/>
                <w:b/>
                <w:bCs/>
                <w:iCs/>
                <w:color w:val="243285"/>
                <w:sz w:val="36"/>
                <w:szCs w:val="36"/>
                <w:lang w:val="en-GB"/>
              </w:rPr>
              <w:t>Satellite delivery</w:t>
            </w:r>
          </w:p>
          <w:p w:rsidR="00FE79FE" w:rsidRPr="00A94A71" w:rsidRDefault="00FE79FE" w:rsidP="00FE79FE">
            <w:pPr>
              <w:spacing w:before="80" w:line="360" w:lineRule="exact"/>
              <w:jc w:val="right"/>
              <w:rPr>
                <w:rFonts w:ascii="Tahoma" w:hAnsi="Tahoma" w:cs="Tahoma"/>
                <w:b/>
                <w:bCs/>
                <w:iCs/>
                <w:color w:val="243285"/>
                <w:sz w:val="32"/>
                <w:szCs w:val="32"/>
                <w:lang w:val="en-GB"/>
              </w:rPr>
            </w:pPr>
          </w:p>
        </w:tc>
      </w:tr>
    </w:tbl>
    <w:p w:rsidR="00A71FE5" w:rsidRPr="00A94A71" w:rsidRDefault="00A71FE5" w:rsidP="00CD659B">
      <w:pPr>
        <w:spacing w:before="80"/>
        <w:rPr>
          <w:i/>
          <w:sz w:val="22"/>
          <w:lang w:val="en-GB"/>
        </w:rPr>
      </w:pPr>
    </w:p>
    <w:p w:rsidR="00FE79FE" w:rsidRPr="00A94A71" w:rsidRDefault="00FE79FE" w:rsidP="00CD659B">
      <w:pPr>
        <w:spacing w:before="80"/>
        <w:rPr>
          <w:i/>
          <w:sz w:val="22"/>
          <w:lang w:val="en-GB"/>
        </w:rPr>
      </w:pPr>
    </w:p>
    <w:p w:rsidR="00A71FE5" w:rsidRPr="00A94A71" w:rsidRDefault="00A71FE5" w:rsidP="00CD659B">
      <w:pPr>
        <w:spacing w:before="80"/>
        <w:rPr>
          <w:i/>
          <w:sz w:val="22"/>
          <w:lang w:val="en-GB"/>
        </w:rPr>
      </w:pPr>
    </w:p>
    <w:p w:rsidR="00CD659B" w:rsidRPr="00A94A71" w:rsidRDefault="00CD659B" w:rsidP="00CD659B">
      <w:pPr>
        <w:pStyle w:val="Equation"/>
        <w:tabs>
          <w:tab w:val="clear" w:pos="4820"/>
          <w:tab w:val="clear" w:pos="9639"/>
          <w:tab w:val="left" w:pos="1191"/>
          <w:tab w:val="left" w:pos="1588"/>
          <w:tab w:val="left" w:pos="1985"/>
        </w:tabs>
        <w:rPr>
          <w:rFonts w:ascii="Palatino Linotype" w:hAnsi="Palatino Linotype"/>
          <w:lang w:val="en-GB"/>
        </w:rPr>
        <w:sectPr w:rsidR="00CD659B" w:rsidRPr="00A94A71">
          <w:headerReference w:type="even" r:id="rId7"/>
          <w:headerReference w:type="default" r:id="rId8"/>
          <w:pgSz w:w="11907" w:h="16840" w:code="9"/>
          <w:pgMar w:top="1089" w:right="1089" w:bottom="284" w:left="1089" w:header="567" w:footer="284" w:gutter="0"/>
          <w:pgNumType w:start="1"/>
          <w:cols w:space="720"/>
        </w:sectPr>
      </w:pPr>
    </w:p>
    <w:p w:rsidR="00586EF8" w:rsidRPr="00A94A71"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0" w:name="c2tope"/>
      <w:bookmarkEnd w:id="0"/>
      <w:r w:rsidRPr="00A94A71">
        <w:rPr>
          <w:bCs/>
          <w:sz w:val="24"/>
          <w:szCs w:val="24"/>
          <w:lang w:val="en-GB"/>
        </w:rPr>
        <w:lastRenderedPageBreak/>
        <w:t>Foreword</w:t>
      </w:r>
    </w:p>
    <w:p w:rsidR="00586EF8" w:rsidRPr="00A94A71" w:rsidRDefault="00586EF8" w:rsidP="00586EF8">
      <w:pPr>
        <w:spacing w:before="240"/>
        <w:rPr>
          <w:sz w:val="20"/>
          <w:lang w:val="en-GB"/>
        </w:rPr>
      </w:pPr>
      <w:r w:rsidRPr="00A94A71">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Pr="00A94A71" w:rsidRDefault="00586EF8" w:rsidP="00586EF8">
      <w:pPr>
        <w:rPr>
          <w:sz w:val="20"/>
          <w:lang w:val="en-GB"/>
        </w:rPr>
      </w:pPr>
      <w:r w:rsidRPr="00A94A71">
        <w:rPr>
          <w:sz w:val="20"/>
          <w:lang w:val="en-GB"/>
        </w:rPr>
        <w:t>The regulatory and policy functions of the Radiocommunication Sector are performed by World and Regional Radiocommunication Conferences and Radiocommunication Assemblies supported by Study Groups.</w:t>
      </w:r>
    </w:p>
    <w:p w:rsidR="00B714F3" w:rsidRPr="00A94A71" w:rsidRDefault="00B714F3" w:rsidP="002F5199">
      <w:pPr>
        <w:pStyle w:val="Heading1"/>
        <w:spacing w:before="680"/>
        <w:jc w:val="center"/>
        <w:rPr>
          <w:szCs w:val="24"/>
          <w:lang w:val="en-GB"/>
        </w:rPr>
      </w:pPr>
      <w:r w:rsidRPr="00A94A71">
        <w:rPr>
          <w:szCs w:val="24"/>
          <w:lang w:val="en-GB"/>
        </w:rPr>
        <w:t>Policy on Intellectual Property Right (IPR)</w:t>
      </w:r>
    </w:p>
    <w:p w:rsidR="00B714F3" w:rsidRPr="00A94A71" w:rsidRDefault="00B714F3" w:rsidP="00EE04BA">
      <w:pPr>
        <w:tabs>
          <w:tab w:val="clear" w:pos="794"/>
          <w:tab w:val="clear" w:pos="1191"/>
          <w:tab w:val="clear" w:pos="1588"/>
          <w:tab w:val="clear" w:pos="1985"/>
        </w:tabs>
        <w:spacing w:before="240"/>
        <w:rPr>
          <w:sz w:val="20"/>
          <w:lang w:val="en-GB"/>
        </w:rPr>
      </w:pPr>
      <w:r w:rsidRPr="00A94A71">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sidRPr="00A94A71">
          <w:rPr>
            <w:rStyle w:val="Hyperlink"/>
            <w:sz w:val="20"/>
            <w:lang w:val="en-GB"/>
          </w:rPr>
          <w:t>http://www.itu.int/ITU</w:t>
        </w:r>
        <w:r w:rsidR="00EE04BA" w:rsidRPr="00A94A71">
          <w:rPr>
            <w:rStyle w:val="Hyperlink"/>
            <w:sz w:val="20"/>
            <w:lang w:val="en-GB"/>
          </w:rPr>
          <w:t>-</w:t>
        </w:r>
        <w:r w:rsidRPr="00A94A71">
          <w:rPr>
            <w:rStyle w:val="Hyperlink"/>
            <w:sz w:val="20"/>
            <w:lang w:val="en-GB"/>
          </w:rPr>
          <w:t>R/go/patents/en</w:t>
        </w:r>
      </w:hyperlink>
      <w:r w:rsidRPr="00A94A71">
        <w:rPr>
          <w:sz w:val="20"/>
          <w:lang w:val="en-GB"/>
        </w:rPr>
        <w:t xml:space="preserve"> where the Guidelines for Implementation of the Common Patent Policy for ITU</w:t>
      </w:r>
      <w:r w:rsidRPr="00A94A71">
        <w:rPr>
          <w:sz w:val="20"/>
          <w:lang w:val="en-GB"/>
        </w:rPr>
        <w:noBreakHyphen/>
        <w:t>T/ITU</w:t>
      </w:r>
      <w:r w:rsidRPr="00A94A71">
        <w:rPr>
          <w:sz w:val="20"/>
          <w:lang w:val="en-GB"/>
        </w:rPr>
        <w:noBreakHyphen/>
        <w:t xml:space="preserve">R/ISO/IEC and the ITU-R patent information database can also be found. </w:t>
      </w:r>
    </w:p>
    <w:p w:rsidR="00586EF8" w:rsidRPr="00A94A71" w:rsidRDefault="00586EF8" w:rsidP="00586EF8">
      <w:pPr>
        <w:jc w:val="center"/>
        <w:rPr>
          <w:sz w:val="22"/>
          <w:lang w:val="en-GB"/>
        </w:rPr>
      </w:pPr>
    </w:p>
    <w:p w:rsidR="00A971A1" w:rsidRPr="00A94A71" w:rsidRDefault="00A971A1" w:rsidP="00586EF8">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36EE3" w:rsidRPr="00D56F5A">
        <w:tc>
          <w:tcPr>
            <w:tcW w:w="9360" w:type="dxa"/>
            <w:gridSpan w:val="2"/>
          </w:tcPr>
          <w:p w:rsidR="00036EE3" w:rsidRPr="00A94A71"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GB"/>
              </w:rPr>
            </w:pPr>
            <w:r w:rsidRPr="00A94A71">
              <w:rPr>
                <w:sz w:val="22"/>
                <w:szCs w:val="22"/>
                <w:lang w:val="en-GB"/>
              </w:rPr>
              <w:t xml:space="preserve">Series of ITU-R Recommendations </w:t>
            </w:r>
          </w:p>
          <w:p w:rsidR="00036EE3" w:rsidRPr="00A94A71"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A94A71">
              <w:rPr>
                <w:b w:val="0"/>
                <w:sz w:val="18"/>
                <w:szCs w:val="18"/>
                <w:lang w:val="en-GB"/>
              </w:rPr>
              <w:t xml:space="preserve">(Also available online at </w:t>
            </w:r>
            <w:hyperlink r:id="rId10" w:history="1">
              <w:r w:rsidRPr="00A94A71">
                <w:rPr>
                  <w:rStyle w:val="Hyperlink"/>
                  <w:b w:val="0"/>
                  <w:sz w:val="18"/>
                  <w:szCs w:val="18"/>
                  <w:lang w:val="en-GB"/>
                </w:rPr>
                <w:t>http://www.itu.int/publ/R-REC/en</w:t>
              </w:r>
            </w:hyperlink>
            <w:r w:rsidRPr="00A94A71">
              <w:rPr>
                <w:b w:val="0"/>
                <w:sz w:val="18"/>
                <w:szCs w:val="18"/>
                <w:lang w:val="en-GB"/>
              </w:rPr>
              <w:t>)</w:t>
            </w:r>
          </w:p>
        </w:tc>
      </w:tr>
      <w:tr w:rsidR="00A971A1" w:rsidRPr="00A94A71" w:rsidTr="00F92A40">
        <w:tc>
          <w:tcPr>
            <w:tcW w:w="1140" w:type="dxa"/>
            <w:tcBorders>
              <w:bottom w:val="nil"/>
            </w:tcBorders>
          </w:tcPr>
          <w:p w:rsidR="00A971A1" w:rsidRPr="00A94A71" w:rsidRDefault="00A971A1" w:rsidP="000D0677">
            <w:pPr>
              <w:spacing w:before="200" w:after="100"/>
              <w:ind w:left="57"/>
              <w:rPr>
                <w:b/>
                <w:bCs/>
                <w:sz w:val="20"/>
                <w:lang w:val="en-GB"/>
              </w:rPr>
            </w:pPr>
            <w:r w:rsidRPr="00A94A71">
              <w:rPr>
                <w:b/>
                <w:bCs/>
                <w:sz w:val="20"/>
                <w:lang w:val="en-GB"/>
              </w:rPr>
              <w:t>Series</w:t>
            </w:r>
          </w:p>
        </w:tc>
        <w:tc>
          <w:tcPr>
            <w:tcW w:w="8220" w:type="dxa"/>
            <w:tcBorders>
              <w:bottom w:val="nil"/>
            </w:tcBorders>
          </w:tcPr>
          <w:p w:rsidR="00A971A1" w:rsidRPr="00A94A71"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A94A71">
              <w:rPr>
                <w:bCs/>
                <w:sz w:val="20"/>
                <w:lang w:val="en-GB"/>
              </w:rPr>
              <w:t>Title</w:t>
            </w:r>
          </w:p>
        </w:tc>
      </w:tr>
      <w:tr w:rsidR="00A31928" w:rsidRPr="00A94A71" w:rsidTr="001B164E">
        <w:tc>
          <w:tcPr>
            <w:tcW w:w="1140" w:type="dxa"/>
            <w:tcBorders>
              <w:top w:val="nil"/>
              <w:bottom w:val="nil"/>
            </w:tcBorders>
            <w:shd w:val="clear" w:color="auto" w:fill="F3F3F3"/>
          </w:tcPr>
          <w:p w:rsidR="00A31928" w:rsidRPr="00A94A71" w:rsidRDefault="00A31928" w:rsidP="006B1D2B">
            <w:pPr>
              <w:spacing w:before="30" w:after="30"/>
              <w:ind w:left="57"/>
              <w:jc w:val="left"/>
              <w:rPr>
                <w:rFonts w:hAnsi="Times New Roman Bold"/>
                <w:b/>
                <w:color w:val="000080"/>
                <w:sz w:val="20"/>
                <w:lang w:val="en-GB"/>
              </w:rPr>
            </w:pPr>
            <w:r w:rsidRPr="00A94A71">
              <w:rPr>
                <w:rFonts w:hAnsi="Times New Roman Bold"/>
                <w:b/>
                <w:color w:val="000080"/>
                <w:sz w:val="20"/>
                <w:lang w:val="en-GB"/>
              </w:rPr>
              <w:t>BO</w:t>
            </w:r>
          </w:p>
        </w:tc>
        <w:tc>
          <w:tcPr>
            <w:tcW w:w="8220" w:type="dxa"/>
            <w:tcBorders>
              <w:top w:val="nil"/>
              <w:bottom w:val="nil"/>
            </w:tcBorders>
            <w:shd w:val="clear" w:color="auto" w:fill="F3F3F3"/>
          </w:tcPr>
          <w:p w:rsidR="00A31928" w:rsidRPr="00A94A71"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color w:val="000080"/>
                <w:sz w:val="20"/>
                <w:lang w:val="en-GB"/>
              </w:rPr>
            </w:pPr>
            <w:r w:rsidRPr="00A94A71">
              <w:rPr>
                <w:rFonts w:hAnsi="Times New Roman Bold"/>
                <w:color w:val="000080"/>
                <w:sz w:val="20"/>
                <w:lang w:val="en-GB"/>
              </w:rPr>
              <w:t>Satellite delivery</w:t>
            </w:r>
          </w:p>
        </w:tc>
      </w:tr>
      <w:tr w:rsidR="00A31928" w:rsidRPr="00D56F5A" w:rsidTr="001B164E">
        <w:tc>
          <w:tcPr>
            <w:tcW w:w="1140" w:type="dxa"/>
            <w:tcBorders>
              <w:top w:val="nil"/>
            </w:tcBorders>
          </w:tcPr>
          <w:p w:rsidR="00A31928" w:rsidRPr="00A94A71" w:rsidRDefault="00A31928" w:rsidP="006B1D2B">
            <w:pPr>
              <w:spacing w:before="30" w:after="30"/>
              <w:ind w:left="57"/>
              <w:jc w:val="left"/>
              <w:rPr>
                <w:b/>
                <w:bCs/>
                <w:sz w:val="20"/>
                <w:lang w:val="en-GB"/>
              </w:rPr>
            </w:pPr>
            <w:r w:rsidRPr="00A94A71">
              <w:rPr>
                <w:b/>
                <w:bCs/>
                <w:sz w:val="20"/>
                <w:lang w:val="en-GB"/>
              </w:rPr>
              <w:t>BR</w:t>
            </w:r>
          </w:p>
        </w:tc>
        <w:tc>
          <w:tcPr>
            <w:tcW w:w="8220" w:type="dxa"/>
            <w:tcBorders>
              <w:top w:val="nil"/>
            </w:tcBorders>
          </w:tcPr>
          <w:p w:rsidR="00A31928" w:rsidRPr="00A94A71"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A94A71">
              <w:rPr>
                <w:b w:val="0"/>
                <w:sz w:val="20"/>
                <w:lang w:val="en-GB"/>
              </w:rPr>
              <w:t>Recording for production, archival and play-out; film for television</w:t>
            </w:r>
          </w:p>
        </w:tc>
      </w:tr>
      <w:tr w:rsidR="00A31928" w:rsidRPr="00A94A71">
        <w:tc>
          <w:tcPr>
            <w:tcW w:w="1140" w:type="dxa"/>
          </w:tcPr>
          <w:p w:rsidR="00A31928" w:rsidRPr="00A94A71" w:rsidRDefault="00A31928" w:rsidP="006B1D2B">
            <w:pPr>
              <w:spacing w:before="30" w:after="30"/>
              <w:ind w:left="57"/>
              <w:jc w:val="left"/>
              <w:rPr>
                <w:b/>
                <w:bCs/>
                <w:sz w:val="20"/>
                <w:lang w:val="en-GB"/>
              </w:rPr>
            </w:pPr>
            <w:r w:rsidRPr="00A94A71">
              <w:rPr>
                <w:b/>
                <w:bCs/>
                <w:sz w:val="20"/>
                <w:lang w:val="en-GB"/>
              </w:rPr>
              <w:t>BS</w:t>
            </w:r>
          </w:p>
        </w:tc>
        <w:tc>
          <w:tcPr>
            <w:tcW w:w="8220" w:type="dxa"/>
          </w:tcPr>
          <w:p w:rsidR="00A31928" w:rsidRPr="00A94A71"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A94A71">
              <w:rPr>
                <w:b w:val="0"/>
                <w:sz w:val="20"/>
                <w:lang w:val="en-GB"/>
              </w:rPr>
              <w:t>Broadcasting service (sound)</w:t>
            </w:r>
          </w:p>
        </w:tc>
      </w:tr>
      <w:tr w:rsidR="00A31928" w:rsidRPr="00A94A71">
        <w:tc>
          <w:tcPr>
            <w:tcW w:w="1140" w:type="dxa"/>
            <w:shd w:val="clear" w:color="auto" w:fill="auto"/>
          </w:tcPr>
          <w:p w:rsidR="00A31928" w:rsidRPr="00A94A71" w:rsidRDefault="00A31928" w:rsidP="006B1D2B">
            <w:pPr>
              <w:spacing w:before="30" w:after="30"/>
              <w:ind w:left="57"/>
              <w:jc w:val="left"/>
              <w:rPr>
                <w:b/>
                <w:bCs/>
                <w:sz w:val="20"/>
                <w:lang w:val="en-GB"/>
              </w:rPr>
            </w:pPr>
            <w:r w:rsidRPr="00A94A71">
              <w:rPr>
                <w:b/>
                <w:bCs/>
                <w:sz w:val="20"/>
                <w:lang w:val="en-GB"/>
              </w:rPr>
              <w:t>BT</w:t>
            </w:r>
          </w:p>
        </w:tc>
        <w:tc>
          <w:tcPr>
            <w:tcW w:w="8220" w:type="dxa"/>
            <w:shd w:val="clear" w:color="auto" w:fill="auto"/>
          </w:tcPr>
          <w:p w:rsidR="00A31928" w:rsidRPr="00A94A71"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A94A71">
              <w:rPr>
                <w:b w:val="0"/>
                <w:sz w:val="20"/>
                <w:lang w:val="en-GB"/>
              </w:rPr>
              <w:t>Broadcasting service (television)</w:t>
            </w:r>
          </w:p>
        </w:tc>
      </w:tr>
      <w:tr w:rsidR="00A31928" w:rsidRPr="00A94A71">
        <w:tc>
          <w:tcPr>
            <w:tcW w:w="1140" w:type="dxa"/>
            <w:shd w:val="clear" w:color="auto" w:fill="auto"/>
          </w:tcPr>
          <w:p w:rsidR="00A31928" w:rsidRPr="00A94A71" w:rsidRDefault="00A31928" w:rsidP="006B1D2B">
            <w:pPr>
              <w:spacing w:before="30" w:after="30"/>
              <w:ind w:left="57"/>
              <w:jc w:val="left"/>
              <w:rPr>
                <w:b/>
                <w:bCs/>
                <w:sz w:val="20"/>
                <w:lang w:val="en-GB"/>
              </w:rPr>
            </w:pPr>
            <w:r w:rsidRPr="00A94A71">
              <w:rPr>
                <w:b/>
                <w:bCs/>
                <w:sz w:val="20"/>
                <w:lang w:val="en-GB"/>
              </w:rPr>
              <w:t>F</w:t>
            </w:r>
          </w:p>
        </w:tc>
        <w:tc>
          <w:tcPr>
            <w:tcW w:w="8220" w:type="dxa"/>
            <w:shd w:val="clear" w:color="auto" w:fill="auto"/>
          </w:tcPr>
          <w:p w:rsidR="00A31928" w:rsidRPr="00A94A71"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A94A71">
              <w:rPr>
                <w:sz w:val="20"/>
                <w:lang w:val="en-GB"/>
              </w:rPr>
              <w:t>Fixed service</w:t>
            </w:r>
          </w:p>
        </w:tc>
      </w:tr>
      <w:tr w:rsidR="00A31928" w:rsidRPr="00A94A71">
        <w:tc>
          <w:tcPr>
            <w:tcW w:w="1140" w:type="dxa"/>
            <w:shd w:val="clear" w:color="auto" w:fill="auto"/>
          </w:tcPr>
          <w:p w:rsidR="00A31928" w:rsidRPr="00A94A71" w:rsidRDefault="00A31928" w:rsidP="006B1D2B">
            <w:pPr>
              <w:spacing w:before="30" w:after="30"/>
              <w:ind w:left="57"/>
              <w:jc w:val="left"/>
              <w:rPr>
                <w:b/>
                <w:bCs/>
                <w:sz w:val="20"/>
                <w:lang w:val="en-GB"/>
              </w:rPr>
            </w:pPr>
            <w:r w:rsidRPr="00A94A71">
              <w:rPr>
                <w:b/>
                <w:bCs/>
                <w:sz w:val="20"/>
                <w:lang w:val="en-GB"/>
              </w:rPr>
              <w:t>M</w:t>
            </w:r>
          </w:p>
        </w:tc>
        <w:tc>
          <w:tcPr>
            <w:tcW w:w="8220" w:type="dxa"/>
            <w:shd w:val="clear" w:color="auto" w:fill="auto"/>
          </w:tcPr>
          <w:p w:rsidR="00A31928" w:rsidRPr="00A94A71"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A94A71">
              <w:rPr>
                <w:b w:val="0"/>
                <w:sz w:val="20"/>
                <w:lang w:val="en-GB"/>
              </w:rPr>
              <w:t>Mobile, radiodetermination, amateur and related satellite services</w:t>
            </w:r>
          </w:p>
        </w:tc>
      </w:tr>
      <w:tr w:rsidR="00A31928" w:rsidRPr="00A94A71">
        <w:tc>
          <w:tcPr>
            <w:tcW w:w="1140" w:type="dxa"/>
          </w:tcPr>
          <w:p w:rsidR="00A31928" w:rsidRPr="00A94A71" w:rsidRDefault="00A31928" w:rsidP="006B1D2B">
            <w:pPr>
              <w:spacing w:before="30" w:after="30"/>
              <w:ind w:left="57"/>
              <w:jc w:val="left"/>
              <w:rPr>
                <w:b/>
                <w:bCs/>
                <w:sz w:val="20"/>
                <w:lang w:val="en-GB"/>
              </w:rPr>
            </w:pPr>
            <w:r w:rsidRPr="00A94A71">
              <w:rPr>
                <w:b/>
                <w:bCs/>
                <w:sz w:val="20"/>
                <w:lang w:val="en-GB"/>
              </w:rPr>
              <w:t>P</w:t>
            </w:r>
          </w:p>
        </w:tc>
        <w:tc>
          <w:tcPr>
            <w:tcW w:w="8220" w:type="dxa"/>
          </w:tcPr>
          <w:p w:rsidR="00A31928" w:rsidRPr="00A94A71" w:rsidRDefault="00A31928" w:rsidP="006B1D2B">
            <w:pPr>
              <w:spacing w:before="30" w:after="30"/>
              <w:jc w:val="left"/>
              <w:rPr>
                <w:sz w:val="20"/>
                <w:lang w:val="en-GB"/>
              </w:rPr>
            </w:pPr>
            <w:r w:rsidRPr="00A94A71">
              <w:rPr>
                <w:sz w:val="20"/>
                <w:lang w:val="en-GB"/>
              </w:rPr>
              <w:t>Radiowave propagation</w:t>
            </w:r>
          </w:p>
        </w:tc>
      </w:tr>
      <w:tr w:rsidR="00A31928" w:rsidRPr="00A94A71">
        <w:tc>
          <w:tcPr>
            <w:tcW w:w="1140" w:type="dxa"/>
          </w:tcPr>
          <w:p w:rsidR="00A31928" w:rsidRPr="00A94A71" w:rsidRDefault="00A31928" w:rsidP="006B1D2B">
            <w:pPr>
              <w:spacing w:before="30" w:after="30"/>
              <w:ind w:left="57"/>
              <w:jc w:val="left"/>
              <w:rPr>
                <w:b/>
                <w:bCs/>
                <w:sz w:val="20"/>
                <w:lang w:val="en-GB"/>
              </w:rPr>
            </w:pPr>
            <w:r w:rsidRPr="00A94A71">
              <w:rPr>
                <w:b/>
                <w:bCs/>
                <w:sz w:val="20"/>
                <w:lang w:val="en-GB"/>
              </w:rPr>
              <w:t>RA</w:t>
            </w:r>
          </w:p>
        </w:tc>
        <w:tc>
          <w:tcPr>
            <w:tcW w:w="8220" w:type="dxa"/>
          </w:tcPr>
          <w:p w:rsidR="00A31928" w:rsidRPr="00A94A71"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A94A71">
              <w:rPr>
                <w:sz w:val="20"/>
                <w:lang w:val="en-GB"/>
              </w:rPr>
              <w:t>Radio astronomy</w:t>
            </w:r>
          </w:p>
        </w:tc>
      </w:tr>
      <w:tr w:rsidR="00A31928" w:rsidRPr="00A94A71">
        <w:tc>
          <w:tcPr>
            <w:tcW w:w="1140" w:type="dxa"/>
          </w:tcPr>
          <w:p w:rsidR="00A31928" w:rsidRPr="00A94A71" w:rsidRDefault="00A31928" w:rsidP="006B1D2B">
            <w:pPr>
              <w:spacing w:before="30" w:after="30"/>
              <w:ind w:left="57"/>
              <w:jc w:val="left"/>
              <w:rPr>
                <w:b/>
                <w:bCs/>
                <w:sz w:val="20"/>
                <w:lang w:val="en-GB"/>
              </w:rPr>
            </w:pPr>
            <w:r w:rsidRPr="00A94A71">
              <w:rPr>
                <w:b/>
                <w:bCs/>
                <w:sz w:val="20"/>
                <w:lang w:val="en-GB"/>
              </w:rPr>
              <w:t>RS</w:t>
            </w:r>
          </w:p>
        </w:tc>
        <w:tc>
          <w:tcPr>
            <w:tcW w:w="8220" w:type="dxa"/>
          </w:tcPr>
          <w:p w:rsidR="00A31928" w:rsidRPr="00A94A71"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A94A71">
              <w:rPr>
                <w:sz w:val="20"/>
                <w:lang w:val="en-GB"/>
              </w:rPr>
              <w:t>Remote sensing systems</w:t>
            </w:r>
          </w:p>
        </w:tc>
      </w:tr>
      <w:tr w:rsidR="00A31928" w:rsidRPr="00A94A71">
        <w:tc>
          <w:tcPr>
            <w:tcW w:w="1140" w:type="dxa"/>
          </w:tcPr>
          <w:p w:rsidR="00A31928" w:rsidRPr="00A94A71" w:rsidRDefault="00A31928" w:rsidP="006B1D2B">
            <w:pPr>
              <w:spacing w:before="30" w:after="30"/>
              <w:ind w:left="57"/>
              <w:jc w:val="left"/>
              <w:rPr>
                <w:b/>
                <w:bCs/>
                <w:sz w:val="20"/>
                <w:lang w:val="en-GB"/>
              </w:rPr>
            </w:pPr>
            <w:r w:rsidRPr="00A94A71">
              <w:rPr>
                <w:b/>
                <w:bCs/>
                <w:sz w:val="20"/>
                <w:lang w:val="en-GB"/>
              </w:rPr>
              <w:t>S</w:t>
            </w:r>
          </w:p>
        </w:tc>
        <w:tc>
          <w:tcPr>
            <w:tcW w:w="8220" w:type="dxa"/>
          </w:tcPr>
          <w:p w:rsidR="00A31928" w:rsidRPr="00A94A71" w:rsidRDefault="00A31928" w:rsidP="006B1D2B">
            <w:pPr>
              <w:spacing w:before="30" w:after="30"/>
              <w:jc w:val="left"/>
              <w:rPr>
                <w:sz w:val="20"/>
                <w:lang w:val="en-GB"/>
              </w:rPr>
            </w:pPr>
            <w:r w:rsidRPr="00A94A71">
              <w:rPr>
                <w:sz w:val="20"/>
                <w:lang w:val="en-GB"/>
              </w:rPr>
              <w:t>Fixed-satellite service</w:t>
            </w:r>
          </w:p>
        </w:tc>
      </w:tr>
      <w:tr w:rsidR="00A31928" w:rsidRPr="00A94A71">
        <w:tc>
          <w:tcPr>
            <w:tcW w:w="1140" w:type="dxa"/>
          </w:tcPr>
          <w:p w:rsidR="00A31928" w:rsidRPr="00A94A71" w:rsidRDefault="00A31928" w:rsidP="006B1D2B">
            <w:pPr>
              <w:spacing w:before="30" w:after="30"/>
              <w:ind w:left="57"/>
              <w:jc w:val="left"/>
              <w:rPr>
                <w:b/>
                <w:bCs/>
                <w:sz w:val="20"/>
                <w:lang w:val="en-GB"/>
              </w:rPr>
            </w:pPr>
            <w:r w:rsidRPr="00A94A71">
              <w:rPr>
                <w:b/>
                <w:bCs/>
                <w:sz w:val="20"/>
                <w:lang w:val="en-GB"/>
              </w:rPr>
              <w:t>SA</w:t>
            </w:r>
          </w:p>
        </w:tc>
        <w:tc>
          <w:tcPr>
            <w:tcW w:w="8220" w:type="dxa"/>
          </w:tcPr>
          <w:p w:rsidR="00A31928" w:rsidRPr="00A94A71" w:rsidRDefault="00A31928" w:rsidP="006B1D2B">
            <w:pPr>
              <w:spacing w:before="30" w:after="30"/>
              <w:jc w:val="left"/>
              <w:rPr>
                <w:sz w:val="20"/>
                <w:lang w:val="en-GB"/>
              </w:rPr>
            </w:pPr>
            <w:r w:rsidRPr="00A94A71">
              <w:rPr>
                <w:sz w:val="20"/>
                <w:lang w:val="en-GB"/>
              </w:rPr>
              <w:t>Space applications and meteorology</w:t>
            </w:r>
          </w:p>
        </w:tc>
      </w:tr>
      <w:tr w:rsidR="00A31928" w:rsidRPr="00D56F5A" w:rsidTr="001B164E">
        <w:tc>
          <w:tcPr>
            <w:tcW w:w="1140" w:type="dxa"/>
            <w:tcBorders>
              <w:bottom w:val="nil"/>
            </w:tcBorders>
          </w:tcPr>
          <w:p w:rsidR="00A31928" w:rsidRPr="00A94A71" w:rsidRDefault="00A31928" w:rsidP="006B1D2B">
            <w:pPr>
              <w:spacing w:before="30" w:after="30"/>
              <w:ind w:left="57"/>
              <w:jc w:val="left"/>
              <w:rPr>
                <w:b/>
                <w:bCs/>
                <w:sz w:val="20"/>
                <w:lang w:val="en-GB"/>
              </w:rPr>
            </w:pPr>
            <w:r w:rsidRPr="00A94A71">
              <w:rPr>
                <w:b/>
                <w:bCs/>
                <w:sz w:val="20"/>
                <w:lang w:val="en-GB"/>
              </w:rPr>
              <w:t>SF</w:t>
            </w:r>
          </w:p>
        </w:tc>
        <w:tc>
          <w:tcPr>
            <w:tcW w:w="8220" w:type="dxa"/>
            <w:tcBorders>
              <w:bottom w:val="nil"/>
            </w:tcBorders>
          </w:tcPr>
          <w:p w:rsidR="00A31928" w:rsidRPr="00A94A71" w:rsidRDefault="00A31928" w:rsidP="006B1D2B">
            <w:pPr>
              <w:spacing w:before="30" w:after="30"/>
              <w:jc w:val="left"/>
              <w:rPr>
                <w:sz w:val="20"/>
                <w:lang w:val="en-GB"/>
              </w:rPr>
            </w:pPr>
            <w:r w:rsidRPr="00A94A71">
              <w:rPr>
                <w:sz w:val="20"/>
                <w:lang w:val="en-GB"/>
              </w:rPr>
              <w:t>Frequency sharing and coordination between fixed-satellite and fixed service systems</w:t>
            </w:r>
          </w:p>
        </w:tc>
      </w:tr>
      <w:tr w:rsidR="00A31928" w:rsidRPr="00A94A71" w:rsidTr="001B164E">
        <w:tc>
          <w:tcPr>
            <w:tcW w:w="1140" w:type="dxa"/>
            <w:tcBorders>
              <w:top w:val="nil"/>
              <w:bottom w:val="nil"/>
            </w:tcBorders>
            <w:shd w:val="clear" w:color="auto" w:fill="auto"/>
          </w:tcPr>
          <w:p w:rsidR="00A31928" w:rsidRPr="00A94A71" w:rsidRDefault="00A31928" w:rsidP="006B1D2B">
            <w:pPr>
              <w:spacing w:before="30" w:after="30"/>
              <w:ind w:left="57"/>
              <w:jc w:val="left"/>
              <w:rPr>
                <w:rFonts w:ascii="Times New Roman Bold" w:hAnsi="Times New Roman Bold" w:cs="Times New Roman Bold"/>
                <w:b/>
                <w:bCs/>
                <w:sz w:val="20"/>
                <w:lang w:val="en-GB"/>
              </w:rPr>
            </w:pPr>
            <w:r w:rsidRPr="00A94A71">
              <w:rPr>
                <w:rFonts w:ascii="Times New Roman Bold" w:hAnsi="Times New Roman Bold" w:cs="Times New Roman Bold"/>
                <w:b/>
                <w:bCs/>
                <w:sz w:val="20"/>
                <w:lang w:val="en-GB"/>
              </w:rPr>
              <w:t>SM</w:t>
            </w:r>
          </w:p>
        </w:tc>
        <w:tc>
          <w:tcPr>
            <w:tcW w:w="8220" w:type="dxa"/>
            <w:tcBorders>
              <w:top w:val="nil"/>
              <w:bottom w:val="nil"/>
            </w:tcBorders>
            <w:shd w:val="clear" w:color="auto" w:fill="auto"/>
          </w:tcPr>
          <w:p w:rsidR="00A31928" w:rsidRPr="00A94A71" w:rsidRDefault="00A31928" w:rsidP="006B1D2B">
            <w:pPr>
              <w:spacing w:before="30" w:after="30"/>
              <w:jc w:val="left"/>
              <w:rPr>
                <w:rFonts w:hAnsi="Times New Roman Bold"/>
                <w:sz w:val="20"/>
                <w:lang w:val="en-GB"/>
              </w:rPr>
            </w:pPr>
            <w:r w:rsidRPr="00A94A71">
              <w:rPr>
                <w:rFonts w:hAnsi="Times New Roman Bold"/>
                <w:sz w:val="20"/>
                <w:lang w:val="en-GB"/>
              </w:rPr>
              <w:t>Spectrum management</w:t>
            </w:r>
          </w:p>
        </w:tc>
      </w:tr>
      <w:tr w:rsidR="00A31928" w:rsidRPr="00A94A71" w:rsidTr="001B164E">
        <w:tc>
          <w:tcPr>
            <w:tcW w:w="1140" w:type="dxa"/>
            <w:tcBorders>
              <w:top w:val="nil"/>
            </w:tcBorders>
          </w:tcPr>
          <w:p w:rsidR="00A31928" w:rsidRPr="00A94A71" w:rsidRDefault="00A31928" w:rsidP="006B1D2B">
            <w:pPr>
              <w:spacing w:before="30" w:after="30"/>
              <w:ind w:left="57"/>
              <w:jc w:val="left"/>
              <w:rPr>
                <w:b/>
                <w:bCs/>
                <w:sz w:val="20"/>
                <w:lang w:val="en-GB"/>
              </w:rPr>
            </w:pPr>
            <w:r w:rsidRPr="00A94A71">
              <w:rPr>
                <w:b/>
                <w:bCs/>
                <w:sz w:val="20"/>
                <w:lang w:val="en-GB"/>
              </w:rPr>
              <w:t>SNG</w:t>
            </w:r>
          </w:p>
        </w:tc>
        <w:tc>
          <w:tcPr>
            <w:tcW w:w="8220" w:type="dxa"/>
            <w:tcBorders>
              <w:top w:val="nil"/>
            </w:tcBorders>
          </w:tcPr>
          <w:p w:rsidR="00A31928" w:rsidRPr="00A94A71" w:rsidRDefault="00A31928" w:rsidP="006B1D2B">
            <w:pPr>
              <w:spacing w:before="30" w:after="30"/>
              <w:jc w:val="left"/>
              <w:rPr>
                <w:sz w:val="20"/>
                <w:lang w:val="en-GB"/>
              </w:rPr>
            </w:pPr>
            <w:r w:rsidRPr="00A94A71">
              <w:rPr>
                <w:sz w:val="20"/>
                <w:lang w:val="en-GB"/>
              </w:rPr>
              <w:t>Satellite news gathering</w:t>
            </w:r>
          </w:p>
        </w:tc>
      </w:tr>
      <w:tr w:rsidR="00A31928" w:rsidRPr="00D56F5A">
        <w:tc>
          <w:tcPr>
            <w:tcW w:w="1140" w:type="dxa"/>
          </w:tcPr>
          <w:p w:rsidR="00A31928" w:rsidRPr="00A94A71" w:rsidRDefault="00A31928" w:rsidP="006B1D2B">
            <w:pPr>
              <w:spacing w:before="30" w:after="30"/>
              <w:ind w:left="57"/>
              <w:jc w:val="left"/>
              <w:rPr>
                <w:b/>
                <w:bCs/>
                <w:sz w:val="20"/>
                <w:lang w:val="en-GB"/>
              </w:rPr>
            </w:pPr>
            <w:r w:rsidRPr="00A94A71">
              <w:rPr>
                <w:b/>
                <w:bCs/>
                <w:sz w:val="20"/>
                <w:lang w:val="en-GB"/>
              </w:rPr>
              <w:t>TF</w:t>
            </w:r>
          </w:p>
        </w:tc>
        <w:tc>
          <w:tcPr>
            <w:tcW w:w="8220" w:type="dxa"/>
          </w:tcPr>
          <w:p w:rsidR="00A31928" w:rsidRPr="00A94A71" w:rsidRDefault="00A31928" w:rsidP="006B1D2B">
            <w:pPr>
              <w:spacing w:before="30" w:after="30"/>
              <w:jc w:val="left"/>
              <w:rPr>
                <w:sz w:val="20"/>
                <w:lang w:val="en-GB"/>
              </w:rPr>
            </w:pPr>
            <w:r w:rsidRPr="00A94A71">
              <w:rPr>
                <w:sz w:val="20"/>
                <w:lang w:val="en-GB"/>
              </w:rPr>
              <w:t>Time signals and frequency standards emissions</w:t>
            </w:r>
          </w:p>
        </w:tc>
      </w:tr>
      <w:tr w:rsidR="00A31928" w:rsidRPr="00A94A71">
        <w:tc>
          <w:tcPr>
            <w:tcW w:w="1140" w:type="dxa"/>
          </w:tcPr>
          <w:p w:rsidR="00A31928" w:rsidRPr="00A94A71" w:rsidRDefault="00A31928" w:rsidP="006B1D2B">
            <w:pPr>
              <w:spacing w:before="30" w:after="30"/>
              <w:ind w:left="57"/>
              <w:jc w:val="left"/>
              <w:rPr>
                <w:b/>
                <w:bCs/>
                <w:sz w:val="20"/>
                <w:lang w:val="en-GB"/>
              </w:rPr>
            </w:pPr>
            <w:r w:rsidRPr="00A94A71">
              <w:rPr>
                <w:b/>
                <w:bCs/>
                <w:sz w:val="20"/>
                <w:lang w:val="en-GB"/>
              </w:rPr>
              <w:t>V</w:t>
            </w:r>
          </w:p>
        </w:tc>
        <w:tc>
          <w:tcPr>
            <w:tcW w:w="8220" w:type="dxa"/>
          </w:tcPr>
          <w:p w:rsidR="00A31928" w:rsidRPr="00A94A71" w:rsidRDefault="00A31928" w:rsidP="00906589">
            <w:pPr>
              <w:spacing w:before="30" w:after="180"/>
              <w:jc w:val="left"/>
              <w:rPr>
                <w:sz w:val="20"/>
                <w:lang w:val="en-GB"/>
              </w:rPr>
            </w:pPr>
            <w:r w:rsidRPr="00A94A71">
              <w:rPr>
                <w:sz w:val="20"/>
                <w:lang w:val="en-GB"/>
              </w:rPr>
              <w:t>Vocabulary and related subjects</w:t>
            </w:r>
          </w:p>
        </w:tc>
      </w:tr>
    </w:tbl>
    <w:p w:rsidR="00036EE3" w:rsidRPr="00A94A71" w:rsidRDefault="00036EE3" w:rsidP="007B1357">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036EE3" w:rsidRPr="00A94A71">
        <w:tc>
          <w:tcPr>
            <w:tcW w:w="720" w:type="dxa"/>
          </w:tcPr>
          <w:p w:rsidR="00036EE3" w:rsidRPr="00A94A71" w:rsidRDefault="00036EE3" w:rsidP="007B1357">
            <w:pPr>
              <w:jc w:val="center"/>
              <w:rPr>
                <w:sz w:val="22"/>
                <w:lang w:val="en-GB"/>
              </w:rPr>
            </w:pPr>
          </w:p>
        </w:tc>
      </w:tr>
    </w:tbl>
    <w:p w:rsidR="00036EE3" w:rsidRPr="00A94A71" w:rsidRDefault="00036EE3" w:rsidP="007B1357">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36EE3" w:rsidRPr="00D56F5A">
        <w:tc>
          <w:tcPr>
            <w:tcW w:w="9360" w:type="dxa"/>
          </w:tcPr>
          <w:p w:rsidR="00036EE3" w:rsidRPr="00A94A71" w:rsidRDefault="00036EE3" w:rsidP="002F5199">
            <w:pPr>
              <w:spacing w:after="120"/>
              <w:jc w:val="center"/>
              <w:rPr>
                <w:sz w:val="20"/>
                <w:lang w:val="en-GB"/>
              </w:rPr>
            </w:pPr>
            <w:r w:rsidRPr="00A94A71">
              <w:rPr>
                <w:b/>
                <w:bCs/>
                <w:i/>
                <w:iCs/>
                <w:sz w:val="20"/>
                <w:lang w:val="en-GB"/>
              </w:rPr>
              <w:t>Note</w:t>
            </w:r>
            <w:r w:rsidRPr="00A94A71">
              <w:rPr>
                <w:sz w:val="20"/>
                <w:lang w:val="en-GB"/>
              </w:rPr>
              <w:t xml:space="preserve">: </w:t>
            </w:r>
            <w:r w:rsidRPr="00A94A71">
              <w:rPr>
                <w:i/>
                <w:iCs/>
                <w:sz w:val="20"/>
                <w:lang w:val="en-GB"/>
              </w:rPr>
              <w:t>This ITU-R Recommendation was approved in English under the procedure detailed in Resolution ITU-R 1.</w:t>
            </w:r>
          </w:p>
        </w:tc>
      </w:tr>
    </w:tbl>
    <w:p w:rsidR="00B714F3" w:rsidRPr="00A94A71" w:rsidRDefault="00B714F3" w:rsidP="002F5199">
      <w:pPr>
        <w:spacing w:before="0"/>
        <w:jc w:val="center"/>
        <w:rPr>
          <w:sz w:val="22"/>
          <w:lang w:val="en-GB"/>
        </w:rPr>
      </w:pPr>
    </w:p>
    <w:p w:rsidR="00470E28" w:rsidRPr="00A94A71" w:rsidRDefault="002F5199" w:rsidP="007B1357">
      <w:pPr>
        <w:spacing w:before="0"/>
        <w:jc w:val="right"/>
        <w:rPr>
          <w:i/>
          <w:iCs/>
          <w:sz w:val="20"/>
          <w:lang w:val="en-GB"/>
        </w:rPr>
      </w:pPr>
      <w:r w:rsidRPr="00A94A71">
        <w:rPr>
          <w:i/>
          <w:iCs/>
          <w:sz w:val="20"/>
          <w:lang w:val="en-GB"/>
        </w:rPr>
        <w:t>Electronic Publication</w:t>
      </w:r>
    </w:p>
    <w:p w:rsidR="002F5199" w:rsidRPr="00A94A71" w:rsidRDefault="002F5199" w:rsidP="00877E6E">
      <w:pPr>
        <w:spacing w:before="0"/>
        <w:jc w:val="right"/>
        <w:rPr>
          <w:sz w:val="20"/>
          <w:lang w:val="en-GB"/>
        </w:rPr>
      </w:pPr>
      <w:r w:rsidRPr="00A94A71">
        <w:rPr>
          <w:sz w:val="20"/>
          <w:lang w:val="en-GB"/>
        </w:rPr>
        <w:t>Geneva, 20</w:t>
      </w:r>
      <w:r w:rsidR="00B0286E" w:rsidRPr="00A94A71">
        <w:rPr>
          <w:sz w:val="20"/>
          <w:lang w:val="en-GB"/>
        </w:rPr>
        <w:t>1</w:t>
      </w:r>
      <w:r w:rsidR="00877E6E" w:rsidRPr="00A94A71">
        <w:rPr>
          <w:sz w:val="20"/>
          <w:lang w:val="en-GB"/>
        </w:rPr>
        <w:t>4</w:t>
      </w:r>
    </w:p>
    <w:p w:rsidR="00470E28" w:rsidRPr="00A94A71" w:rsidRDefault="00470E28" w:rsidP="00906589">
      <w:pPr>
        <w:jc w:val="center"/>
        <w:rPr>
          <w:sz w:val="22"/>
          <w:lang w:val="en-GB"/>
        </w:rPr>
      </w:pPr>
    </w:p>
    <w:p w:rsidR="00586EF8" w:rsidRPr="00A94A71" w:rsidRDefault="00586EF8" w:rsidP="00877E6E">
      <w:pPr>
        <w:jc w:val="center"/>
        <w:rPr>
          <w:sz w:val="20"/>
          <w:lang w:val="en-GB"/>
        </w:rPr>
      </w:pPr>
      <w:r w:rsidRPr="00A94A71">
        <w:rPr>
          <w:sz w:val="20"/>
          <w:lang w:val="en-GB"/>
        </w:rPr>
        <w:sym w:font="Symbol" w:char="F0E3"/>
      </w:r>
      <w:r w:rsidRPr="00A94A71">
        <w:rPr>
          <w:sz w:val="20"/>
          <w:lang w:val="en-GB"/>
        </w:rPr>
        <w:t xml:space="preserve"> ITU </w:t>
      </w:r>
      <w:bookmarkStart w:id="1" w:name="iiannee"/>
      <w:bookmarkEnd w:id="1"/>
      <w:r w:rsidRPr="00A94A71">
        <w:rPr>
          <w:sz w:val="20"/>
          <w:lang w:val="en-GB"/>
        </w:rPr>
        <w:t>20</w:t>
      </w:r>
      <w:r w:rsidR="00B0286E" w:rsidRPr="00A94A71">
        <w:rPr>
          <w:sz w:val="20"/>
          <w:lang w:val="en-GB"/>
        </w:rPr>
        <w:t>1</w:t>
      </w:r>
      <w:r w:rsidR="00877E6E" w:rsidRPr="00A94A71">
        <w:rPr>
          <w:sz w:val="20"/>
          <w:lang w:val="en-GB"/>
        </w:rPr>
        <w:t>4</w:t>
      </w:r>
    </w:p>
    <w:p w:rsidR="00586EF8" w:rsidRPr="00A94A71" w:rsidRDefault="00586EF8" w:rsidP="00470E28">
      <w:pPr>
        <w:rPr>
          <w:sz w:val="18"/>
          <w:szCs w:val="18"/>
          <w:lang w:val="en-GB"/>
        </w:rPr>
      </w:pPr>
      <w:r w:rsidRPr="00A94A71">
        <w:rPr>
          <w:sz w:val="18"/>
          <w:szCs w:val="18"/>
          <w:lang w:val="en-GB"/>
        </w:rPr>
        <w:t>All rights reserved. No part of thi</w:t>
      </w:r>
      <w:r w:rsidR="00470E28" w:rsidRPr="00A94A71">
        <w:rPr>
          <w:sz w:val="18"/>
          <w:szCs w:val="18"/>
          <w:lang w:val="en-GB"/>
        </w:rPr>
        <w:t xml:space="preserve">s publication may be reproduced, </w:t>
      </w:r>
      <w:r w:rsidRPr="00A94A71">
        <w:rPr>
          <w:sz w:val="18"/>
          <w:szCs w:val="18"/>
          <w:lang w:val="en-GB"/>
        </w:rPr>
        <w:t xml:space="preserve">by any means </w:t>
      </w:r>
      <w:r w:rsidR="00470E28" w:rsidRPr="00A94A71">
        <w:rPr>
          <w:sz w:val="18"/>
          <w:szCs w:val="18"/>
          <w:lang w:val="en-GB"/>
        </w:rPr>
        <w:t xml:space="preserve">whatsoever, </w:t>
      </w:r>
      <w:r w:rsidRPr="00A94A71">
        <w:rPr>
          <w:sz w:val="18"/>
          <w:szCs w:val="18"/>
          <w:lang w:val="en-GB"/>
        </w:rPr>
        <w:t xml:space="preserve">without written permission </w:t>
      </w:r>
      <w:r w:rsidR="00470E28" w:rsidRPr="00A94A71">
        <w:rPr>
          <w:sz w:val="18"/>
          <w:szCs w:val="18"/>
          <w:lang w:val="en-GB"/>
        </w:rPr>
        <w:t>of</w:t>
      </w:r>
      <w:r w:rsidRPr="00A94A71">
        <w:rPr>
          <w:sz w:val="18"/>
          <w:szCs w:val="18"/>
          <w:lang w:val="en-GB"/>
        </w:rPr>
        <w:t xml:space="preserve"> ITU.</w:t>
      </w:r>
    </w:p>
    <w:p w:rsidR="007565CC" w:rsidRPr="00A94A71" w:rsidRDefault="007565CC" w:rsidP="00A971A1">
      <w:pPr>
        <w:spacing w:before="160"/>
        <w:rPr>
          <w:i/>
          <w:sz w:val="20"/>
          <w:lang w:val="en-GB"/>
        </w:rPr>
        <w:sectPr w:rsidR="007565CC" w:rsidRPr="00A94A71"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B874C6" w:rsidRPr="00A94A71" w:rsidRDefault="00B874C6" w:rsidP="00210CBA">
      <w:pPr>
        <w:pStyle w:val="RecNo"/>
        <w:spacing w:before="0"/>
        <w:rPr>
          <w:lang w:val="en-GB"/>
        </w:rPr>
      </w:pPr>
      <w:bookmarkStart w:id="2" w:name="irecnoe"/>
      <w:bookmarkEnd w:id="2"/>
      <w:r w:rsidRPr="00A94A71">
        <w:rPr>
          <w:lang w:val="en-GB"/>
        </w:rPr>
        <w:lastRenderedPageBreak/>
        <w:t xml:space="preserve">RECOMMENDATION  </w:t>
      </w:r>
      <w:r w:rsidRPr="00A94A71">
        <w:rPr>
          <w:rStyle w:val="href"/>
          <w:lang w:val="en-GB"/>
        </w:rPr>
        <w:t>ITU-R  BO.</w:t>
      </w:r>
      <w:r w:rsidR="00210CBA" w:rsidRPr="00A94A71">
        <w:rPr>
          <w:rStyle w:val="href"/>
          <w:lang w:val="en-GB"/>
        </w:rPr>
        <w:t>2063-0</w:t>
      </w:r>
    </w:p>
    <w:p w:rsidR="00210CBA" w:rsidRPr="00A94A71" w:rsidRDefault="00210CBA" w:rsidP="00210CBA">
      <w:pPr>
        <w:pStyle w:val="Rectitle"/>
        <w:rPr>
          <w:lang w:val="en-GB" w:eastAsia="zh-CN"/>
        </w:rPr>
      </w:pPr>
      <w:r w:rsidRPr="00A94A71">
        <w:rPr>
          <w:lang w:val="en-GB" w:eastAsia="zh-CN"/>
        </w:rPr>
        <w:t>Alternative BSS earth station antenna radiation pattern for 12 GHz BSS bands</w:t>
      </w:r>
      <w:r w:rsidRPr="00A94A71">
        <w:rPr>
          <w:lang w:val="en-GB" w:eastAsia="zh-CN"/>
        </w:rPr>
        <w:br/>
        <w:t>with effective apertures in the range 55-75 cm</w:t>
      </w:r>
    </w:p>
    <w:p w:rsidR="00210CBA" w:rsidRPr="00A94A71" w:rsidRDefault="00210CBA" w:rsidP="00210CBA">
      <w:pPr>
        <w:pStyle w:val="Recdate"/>
        <w:rPr>
          <w:lang w:val="en-GB" w:eastAsia="zh-CN"/>
        </w:rPr>
      </w:pPr>
      <w:r w:rsidRPr="00A94A71">
        <w:rPr>
          <w:lang w:val="en-GB" w:eastAsia="zh-CN"/>
        </w:rPr>
        <w:t>(2014)</w:t>
      </w:r>
    </w:p>
    <w:p w:rsidR="00210CBA" w:rsidRPr="00EE4302" w:rsidRDefault="00210CBA" w:rsidP="00210CBA">
      <w:pPr>
        <w:pStyle w:val="HeadingSum"/>
        <w:rPr>
          <w:szCs w:val="22"/>
          <w:lang w:val="en-GB"/>
        </w:rPr>
      </w:pPr>
      <w:r w:rsidRPr="00A94A71">
        <w:rPr>
          <w:lang w:val="en-GB"/>
        </w:rPr>
        <w:t>Scope</w:t>
      </w:r>
    </w:p>
    <w:p w:rsidR="00210CBA" w:rsidRPr="00A94A71" w:rsidRDefault="00210CBA" w:rsidP="00210CBA">
      <w:pPr>
        <w:pStyle w:val="Summary"/>
        <w:rPr>
          <w:lang w:val="en-GB"/>
        </w:rPr>
      </w:pPr>
      <w:r w:rsidRPr="00A94A71">
        <w:rPr>
          <w:lang w:val="en-GB"/>
        </w:rPr>
        <w:t>The purpose of this Recommendation is to provide an alternative antenna pattern for broadcasting-satellite service (BSS) receiving earth stations with effective apertures in the range 55-75 cm. This alternative pattern is based on relative gain (dB) and has improved co-polar side lobe suppression (especially in the 2.5°-9° off</w:t>
      </w:r>
      <w:r w:rsidRPr="00A94A71">
        <w:rPr>
          <w:lang w:val="en-GB"/>
        </w:rPr>
        <w:noBreakHyphen/>
        <w:t xml:space="preserve">axis angular range) and better cross-polar discrimination as compared to the existing reference antenna pattern in Recommendation ITU-R BO.1213, which is based on absolute gain. The alternative pattern could be used for bilateral/multilateral negotiations of new or modified assignments </w:t>
      </w:r>
      <w:r w:rsidR="00B7572A">
        <w:rPr>
          <w:lang w:val="en-GB"/>
        </w:rPr>
        <w:t>in the Region 2 Plan or Regions </w:t>
      </w:r>
      <w:r w:rsidRPr="00A94A71">
        <w:rPr>
          <w:lang w:val="en-GB"/>
        </w:rPr>
        <w:t>1 and 3 List of additional uses.</w:t>
      </w:r>
    </w:p>
    <w:p w:rsidR="00210CBA" w:rsidRPr="00A94A71" w:rsidRDefault="00210CBA" w:rsidP="00210CBA">
      <w:pPr>
        <w:pStyle w:val="Headingb"/>
        <w:rPr>
          <w:lang w:val="en-GB"/>
        </w:rPr>
      </w:pPr>
      <w:r w:rsidRPr="00A94A71">
        <w:rPr>
          <w:lang w:val="en-GB"/>
        </w:rPr>
        <w:t>Keywords</w:t>
      </w:r>
    </w:p>
    <w:p w:rsidR="00210CBA" w:rsidRPr="00A94A71" w:rsidRDefault="00210CBA" w:rsidP="00210CBA">
      <w:pPr>
        <w:rPr>
          <w:lang w:val="en-GB"/>
        </w:rPr>
      </w:pPr>
      <w:r w:rsidRPr="00A94A71">
        <w:rPr>
          <w:lang w:val="en-GB"/>
        </w:rPr>
        <w:t>BSS; earth station; antenna pattern; 12 GHz.</w:t>
      </w:r>
    </w:p>
    <w:p w:rsidR="00210CBA" w:rsidRDefault="00210CBA" w:rsidP="00000AB1">
      <w:pPr>
        <w:pStyle w:val="Headingb"/>
        <w:rPr>
          <w:rFonts w:eastAsia="SimSun"/>
          <w:lang w:val="en-GB"/>
        </w:rPr>
      </w:pPr>
      <w:r w:rsidRPr="00A94A71">
        <w:rPr>
          <w:rFonts w:eastAsia="SimSun"/>
          <w:lang w:val="en-GB"/>
        </w:rPr>
        <w:t>Related ITU Recommendations</w:t>
      </w:r>
      <w:r w:rsidR="00661444">
        <w:rPr>
          <w:rFonts w:eastAsia="SimSun"/>
          <w:lang w:val="en-GB"/>
        </w:rPr>
        <w:t>, Reports</w:t>
      </w:r>
    </w:p>
    <w:p w:rsidR="00F7403E" w:rsidRPr="00F7403E" w:rsidRDefault="00F7403E" w:rsidP="00F7403E">
      <w:pPr>
        <w:pStyle w:val="Reftext"/>
        <w:keepNext/>
        <w:keepLines/>
        <w:ind w:left="3828" w:hanging="3828"/>
        <w:rPr>
          <w:szCs w:val="24"/>
          <w:lang w:val="en-GB"/>
        </w:rPr>
      </w:pPr>
      <w:r w:rsidRPr="00F7403E">
        <w:rPr>
          <w:szCs w:val="24"/>
          <w:lang w:val="en-GB"/>
        </w:rPr>
        <w:t>Recommendation ITU-R BO.652-1</w:t>
      </w:r>
      <w:r w:rsidRPr="00F7403E">
        <w:rPr>
          <w:szCs w:val="24"/>
          <w:lang w:val="en-GB"/>
        </w:rPr>
        <w:tab/>
        <w:t>Reference patterns for earth-station and satellite antennas for the broadcasting satellite service in the 12 GHz band and for the associated feeder links in the 14 GHz and 17 GHz bands</w:t>
      </w:r>
    </w:p>
    <w:p w:rsidR="00000AB1" w:rsidRDefault="00000AB1" w:rsidP="00000AB1">
      <w:pPr>
        <w:pStyle w:val="Reftext"/>
        <w:keepNext/>
        <w:keepLines/>
        <w:ind w:left="3828" w:hanging="3828"/>
        <w:rPr>
          <w:szCs w:val="24"/>
          <w:lang w:val="en-GB"/>
        </w:rPr>
      </w:pPr>
      <w:r w:rsidRPr="00F7403E">
        <w:rPr>
          <w:szCs w:val="24"/>
          <w:lang w:val="en-GB"/>
        </w:rPr>
        <w:t>Recommendation ITU-R BO.1213-1</w:t>
      </w:r>
      <w:r w:rsidRPr="00F7403E">
        <w:rPr>
          <w:szCs w:val="24"/>
          <w:lang w:val="en-GB"/>
        </w:rPr>
        <w:tab/>
        <w:t>Reference receiving earth station antenna pattern for the broadcasting</w:t>
      </w:r>
      <w:r w:rsidRPr="00F7403E">
        <w:rPr>
          <w:szCs w:val="24"/>
          <w:lang w:val="en-GB"/>
        </w:rPr>
        <w:noBreakHyphen/>
        <w:t>satellite service in the 11.7-12.75 GHz band</w:t>
      </w:r>
    </w:p>
    <w:p w:rsidR="00F7403E" w:rsidRPr="00F7403E" w:rsidRDefault="00F7403E" w:rsidP="00F7403E">
      <w:pPr>
        <w:pStyle w:val="Reftext"/>
        <w:keepNext/>
        <w:keepLines/>
        <w:ind w:left="3828" w:hanging="3828"/>
        <w:rPr>
          <w:szCs w:val="24"/>
          <w:lang w:val="en-GB"/>
        </w:rPr>
      </w:pPr>
      <w:r w:rsidRPr="00F7403E">
        <w:rPr>
          <w:szCs w:val="24"/>
          <w:lang w:val="en-GB"/>
        </w:rPr>
        <w:t>Recommendation ITU-R S.1717-0</w:t>
      </w:r>
      <w:r w:rsidRPr="00F7403E">
        <w:rPr>
          <w:szCs w:val="24"/>
          <w:lang w:val="en-GB"/>
        </w:rPr>
        <w:tab/>
        <w:t>Electronic data file format for earth station antenna patterns</w:t>
      </w:r>
    </w:p>
    <w:p w:rsidR="00210CBA" w:rsidRPr="00A94A71" w:rsidRDefault="00210CBA" w:rsidP="00F7403E">
      <w:pPr>
        <w:pStyle w:val="Normalaftertitle"/>
        <w:rPr>
          <w:lang w:val="en-GB"/>
        </w:rPr>
      </w:pPr>
      <w:r w:rsidRPr="00A94A71">
        <w:rPr>
          <w:lang w:val="en-GB"/>
        </w:rPr>
        <w:t>The ITU Radiocommunication Assembly,</w:t>
      </w:r>
    </w:p>
    <w:p w:rsidR="00210CBA" w:rsidRPr="00A94A71" w:rsidRDefault="00210CBA" w:rsidP="00210CBA">
      <w:pPr>
        <w:pStyle w:val="Call"/>
        <w:rPr>
          <w:lang w:val="en-GB"/>
        </w:rPr>
      </w:pPr>
      <w:r w:rsidRPr="00A94A71">
        <w:rPr>
          <w:lang w:val="en-GB"/>
        </w:rPr>
        <w:t>considering</w:t>
      </w:r>
    </w:p>
    <w:p w:rsidR="00210CBA" w:rsidRPr="00A94A71" w:rsidRDefault="00210CBA" w:rsidP="00210CBA">
      <w:pPr>
        <w:rPr>
          <w:lang w:val="en-GB"/>
        </w:rPr>
      </w:pPr>
      <w:r w:rsidRPr="00A94A71">
        <w:rPr>
          <w:i/>
          <w:iCs/>
          <w:lang w:val="en-GB"/>
        </w:rPr>
        <w:t>a)</w:t>
      </w:r>
      <w:r w:rsidRPr="00A94A71">
        <w:rPr>
          <w:lang w:val="en-GB"/>
        </w:rPr>
        <w:tab/>
        <w:t xml:space="preserve">that Resolution </w:t>
      </w:r>
      <w:r w:rsidRPr="00D14295">
        <w:rPr>
          <w:b/>
          <w:bCs/>
          <w:lang w:val="en-GB"/>
        </w:rPr>
        <w:t>86 (Rev.</w:t>
      </w:r>
      <w:r w:rsidR="00551874" w:rsidRPr="00D14295">
        <w:rPr>
          <w:b/>
          <w:bCs/>
          <w:lang w:val="en-GB"/>
        </w:rPr>
        <w:t xml:space="preserve"> </w:t>
      </w:r>
      <w:r w:rsidRPr="00D14295">
        <w:rPr>
          <w:b/>
          <w:bCs/>
          <w:lang w:val="en-GB"/>
        </w:rPr>
        <w:t>WRC-07)</w:t>
      </w:r>
      <w:r w:rsidRPr="00A94A71">
        <w:rPr>
          <w:lang w:val="en-GB"/>
        </w:rPr>
        <w:t xml:space="preserve"> of the World Radiocommunication Conference (Geneva, 2007) invites ITU-R and administrations to study possibilities to facilitate the rational, efficient, and economical use of radio frequencies and any associated orbits, including the GSO and </w:t>
      </w:r>
      <w:r w:rsidRPr="00A94A71">
        <w:rPr>
          <w:color w:val="000000"/>
          <w:lang w:val="en-GB"/>
        </w:rPr>
        <w:t>the related appendices of the Radio Regulations to reflect the latest technologies, as far as possible</w:t>
      </w:r>
      <w:r w:rsidRPr="00A94A71">
        <w:rPr>
          <w:lang w:val="en-GB"/>
        </w:rPr>
        <w:t>;</w:t>
      </w:r>
    </w:p>
    <w:p w:rsidR="00210CBA" w:rsidRPr="00A94A71" w:rsidRDefault="00210CBA" w:rsidP="00757437">
      <w:pPr>
        <w:rPr>
          <w:lang w:val="en-GB"/>
        </w:rPr>
      </w:pPr>
      <w:r w:rsidRPr="00A94A71">
        <w:rPr>
          <w:i/>
          <w:iCs/>
          <w:lang w:val="en-GB"/>
        </w:rPr>
        <w:t>b)</w:t>
      </w:r>
      <w:r w:rsidRPr="00A94A71">
        <w:rPr>
          <w:lang w:val="en-GB"/>
        </w:rPr>
        <w:tab/>
        <w:t xml:space="preserve">that the planning of the broadcasting-satellite service (BSS) </w:t>
      </w:r>
      <w:r w:rsidRPr="00A94A71">
        <w:rPr>
          <w:rFonts w:ascii="Times New (W1)" w:hAnsi="Times New (W1)" w:cs="Times New (W1)"/>
          <w:lang w:val="en-GB"/>
        </w:rPr>
        <w:t xml:space="preserve">in the 11.7-12.5 GHz band </w:t>
      </w:r>
      <w:r w:rsidRPr="00A94A71">
        <w:rPr>
          <w:lang w:val="en-GB"/>
        </w:rPr>
        <w:t xml:space="preserve">for Region 1 and in the 11.7-12.2 GHz for Region 3 is based on a </w:t>
      </w:r>
      <w:r w:rsidRPr="00A94A71">
        <w:rPr>
          <w:rFonts w:ascii="Times New (W1)" w:hAnsi="Times New (W1)" w:cs="Times New (W1)"/>
          <w:lang w:val="en-GB"/>
        </w:rPr>
        <w:t>radiation pattern of a 60 cm receiving antenna (WRC-2000) having circular polarization that could be used for intra-regional and inter</w:t>
      </w:r>
      <w:r w:rsidR="00757437">
        <w:rPr>
          <w:rFonts w:ascii="Times New (W1)" w:hAnsi="Times New (W1)" w:cs="Times New (W1)"/>
          <w:lang w:val="en-GB"/>
        </w:rPr>
        <w:noBreakHyphen/>
      </w:r>
      <w:r w:rsidRPr="00A94A71">
        <w:rPr>
          <w:rFonts w:ascii="Times New (W1)" w:hAnsi="Times New (W1)" w:cs="Times New (W1)"/>
          <w:lang w:val="en-GB"/>
        </w:rPr>
        <w:t>regional coordination purposes with BSS and other services systems using linear polarization</w:t>
      </w:r>
      <w:r w:rsidRPr="00A94A71">
        <w:rPr>
          <w:lang w:val="en-GB"/>
        </w:rPr>
        <w:t>;</w:t>
      </w:r>
    </w:p>
    <w:p w:rsidR="00210CBA" w:rsidRPr="00A94A71" w:rsidRDefault="00210CBA" w:rsidP="00210CBA">
      <w:pPr>
        <w:rPr>
          <w:lang w:val="en-GB"/>
        </w:rPr>
      </w:pPr>
      <w:r w:rsidRPr="00A94A71">
        <w:rPr>
          <w:i/>
          <w:iCs/>
          <w:lang w:val="en-GB"/>
        </w:rPr>
        <w:t>c)</w:t>
      </w:r>
      <w:r w:rsidRPr="00A94A71">
        <w:rPr>
          <w:lang w:val="en-GB"/>
        </w:rPr>
        <w:tab/>
        <w:t>that the use of a radiation pattern with improved discrimination for BSS earth station antennas will contribute to more space on the GSO for new assignments in the Regions 1 and 3 List of additional uses;</w:t>
      </w:r>
    </w:p>
    <w:p w:rsidR="00210CBA" w:rsidRPr="00A94A71" w:rsidRDefault="00210CBA" w:rsidP="00D14295">
      <w:pPr>
        <w:rPr>
          <w:lang w:val="en-GB"/>
        </w:rPr>
      </w:pPr>
      <w:r w:rsidRPr="00A94A71">
        <w:rPr>
          <w:i/>
          <w:iCs/>
          <w:lang w:val="en-GB"/>
        </w:rPr>
        <w:t>d)</w:t>
      </w:r>
      <w:r w:rsidRPr="00A94A71">
        <w:rPr>
          <w:lang w:val="en-GB"/>
        </w:rPr>
        <w:tab/>
        <w:t>that the Region 2 BSS Plan is based on an earth station diameter of 1 met</w:t>
      </w:r>
      <w:r w:rsidR="00D14295">
        <w:rPr>
          <w:lang w:val="en-GB"/>
        </w:rPr>
        <w:t>r</w:t>
      </w:r>
      <w:r w:rsidRPr="00A94A71">
        <w:rPr>
          <w:lang w:val="en-GB"/>
        </w:rPr>
        <w:t>e with the relative gain reference radiation pattern for receiving earth stations antennas having comparatively narrower half power beamwidth and steeper slopes allowing comparatively closer location of the GSO positions and use of various antenna design options;</w:t>
      </w:r>
    </w:p>
    <w:p w:rsidR="00210CBA" w:rsidRPr="00A94A71" w:rsidRDefault="00210CBA" w:rsidP="00A94A71">
      <w:pPr>
        <w:keepNext/>
        <w:keepLines/>
        <w:rPr>
          <w:lang w:val="en-GB"/>
        </w:rPr>
      </w:pPr>
      <w:r w:rsidRPr="00A94A71">
        <w:rPr>
          <w:i/>
          <w:iCs/>
          <w:lang w:val="en-GB"/>
        </w:rPr>
        <w:lastRenderedPageBreak/>
        <w:t>e)</w:t>
      </w:r>
      <w:r w:rsidRPr="00A94A71">
        <w:rPr>
          <w:lang w:val="en-GB"/>
        </w:rPr>
        <w:tab/>
        <w:t>that available measured radiation patterns of 12 GHz band elliptical antenna with antenna major axis length of 70 cm on the plane parallel to the GSO orbit and antenna minor axis length of 50 cm on the plane perpendicular to the GSO orbit demonstrate improvement of the co</w:t>
      </w:r>
      <w:r w:rsidRPr="00A94A71">
        <w:rPr>
          <w:lang w:val="en-GB"/>
        </w:rPr>
        <w:noBreakHyphen/>
        <w:t xml:space="preserve">polar and cross-polar discrimination compared to the Recommendation ITU-R </w:t>
      </w:r>
      <w:r w:rsidR="00B7572A">
        <w:rPr>
          <w:lang w:val="en-GB"/>
        </w:rPr>
        <w:t>BO.1213 radiation pattern for a </w:t>
      </w:r>
      <w:r w:rsidRPr="00A94A71">
        <w:rPr>
          <w:lang w:val="en-GB"/>
        </w:rPr>
        <w:t>60 cm circular antenna, which is a consequence of improved antenna technologies and design;</w:t>
      </w:r>
    </w:p>
    <w:p w:rsidR="00210CBA" w:rsidRPr="00A94A71" w:rsidRDefault="00210CBA" w:rsidP="00210CBA">
      <w:pPr>
        <w:rPr>
          <w:lang w:val="en-GB"/>
        </w:rPr>
      </w:pPr>
      <w:r w:rsidRPr="00A94A71">
        <w:rPr>
          <w:i/>
          <w:iCs/>
          <w:lang w:val="en-GB"/>
        </w:rPr>
        <w:t>f)</w:t>
      </w:r>
      <w:r w:rsidRPr="00A94A71">
        <w:rPr>
          <w:lang w:val="en-GB"/>
        </w:rPr>
        <w:tab/>
        <w:t xml:space="preserve">that it would be useful to have an alternative antenna radiation pattern for BSS earth stations in the assessment of interference impact of new </w:t>
      </w:r>
      <w:r w:rsidRPr="00A94A71">
        <w:rPr>
          <w:szCs w:val="24"/>
          <w:lang w:val="en-GB"/>
        </w:rPr>
        <w:t xml:space="preserve">or modified </w:t>
      </w:r>
      <w:r w:rsidRPr="00A94A71">
        <w:rPr>
          <w:lang w:val="en-GB"/>
        </w:rPr>
        <w:t xml:space="preserve">assignments in the </w:t>
      </w:r>
      <w:r w:rsidRPr="00A94A71">
        <w:rPr>
          <w:szCs w:val="24"/>
          <w:lang w:val="en-GB"/>
        </w:rPr>
        <w:t xml:space="preserve">Region 2 Plan or </w:t>
      </w:r>
      <w:r w:rsidRPr="00A94A71">
        <w:rPr>
          <w:lang w:val="en-GB"/>
        </w:rPr>
        <w:t>Regions 1 and 3 List of additional uses;</w:t>
      </w:r>
    </w:p>
    <w:p w:rsidR="00210CBA" w:rsidRPr="00A94A71" w:rsidRDefault="00210CBA" w:rsidP="00210CBA">
      <w:pPr>
        <w:rPr>
          <w:lang w:val="en-GB"/>
        </w:rPr>
      </w:pPr>
      <w:r w:rsidRPr="00A94A71">
        <w:rPr>
          <w:i/>
          <w:iCs/>
          <w:lang w:val="en-GB"/>
        </w:rPr>
        <w:t>g)</w:t>
      </w:r>
      <w:r w:rsidRPr="00A94A71">
        <w:rPr>
          <w:lang w:val="en-GB"/>
        </w:rPr>
        <w:tab/>
        <w:t>that the use of antennas which comply with an alternative mask with improved discrimination could contribute to the efficient use of the radio-frequency spectrum and the GSO,</w:t>
      </w:r>
    </w:p>
    <w:p w:rsidR="00210CBA" w:rsidRPr="00A94A71" w:rsidRDefault="00210CBA" w:rsidP="00210CBA">
      <w:pPr>
        <w:pStyle w:val="Call"/>
        <w:rPr>
          <w:lang w:val="en-GB"/>
        </w:rPr>
      </w:pPr>
      <w:r w:rsidRPr="00A94A71">
        <w:rPr>
          <w:lang w:val="en-GB"/>
        </w:rPr>
        <w:t>recognizing</w:t>
      </w:r>
    </w:p>
    <w:p w:rsidR="00210CBA" w:rsidRPr="00A94A71" w:rsidRDefault="00210CBA" w:rsidP="00210CBA">
      <w:pPr>
        <w:rPr>
          <w:lang w:val="en-GB"/>
        </w:rPr>
      </w:pPr>
      <w:r w:rsidRPr="00A94A71">
        <w:rPr>
          <w:i/>
          <w:iCs/>
          <w:lang w:val="en-GB"/>
        </w:rPr>
        <w:t>a)</w:t>
      </w:r>
      <w:r w:rsidRPr="00A94A71">
        <w:rPr>
          <w:lang w:val="en-GB"/>
        </w:rPr>
        <w:tab/>
        <w:t>that the adoption of an alternative BSS earth station antenna radiation pattern with improved side lobe discrimination as compared to</w:t>
      </w:r>
      <w:r w:rsidRPr="00A94A71">
        <w:rPr>
          <w:lang w:val="en-GB" w:eastAsia="ja-JP"/>
        </w:rPr>
        <w:t xml:space="preserve"> </w:t>
      </w:r>
      <w:r w:rsidRPr="00A94A71">
        <w:rPr>
          <w:lang w:val="en-GB"/>
        </w:rPr>
        <w:t>Recommendation</w:t>
      </w:r>
      <w:r w:rsidRPr="00A94A71">
        <w:rPr>
          <w:lang w:val="en-GB" w:eastAsia="ja-JP"/>
        </w:rPr>
        <w:t xml:space="preserve"> ITU-R BO.1213 could </w:t>
      </w:r>
      <w:r w:rsidRPr="00A94A71">
        <w:rPr>
          <w:lang w:val="en-GB"/>
        </w:rPr>
        <w:t>motivate antenna manufacturers to make BSS receiving antennas based on this new alternative radiation pattern;</w:t>
      </w:r>
    </w:p>
    <w:p w:rsidR="00210CBA" w:rsidRPr="00A94A71" w:rsidRDefault="00210CBA" w:rsidP="00210CBA">
      <w:pPr>
        <w:rPr>
          <w:lang w:val="en-GB"/>
        </w:rPr>
      </w:pPr>
      <w:r w:rsidRPr="00A94A71">
        <w:rPr>
          <w:i/>
          <w:iCs/>
          <w:lang w:val="en-GB"/>
        </w:rPr>
        <w:t>b)</w:t>
      </w:r>
      <w:r w:rsidRPr="00A94A71">
        <w:rPr>
          <w:lang w:val="en-GB"/>
        </w:rPr>
        <w:tab/>
        <w:t>that there is no intention to replace the existing reference antenna pattern in Recommendation ITU-R BO.1213, which has been extensively used in the Plan and in the List, with any recently developed reference antenna pattern;</w:t>
      </w:r>
    </w:p>
    <w:p w:rsidR="00210CBA" w:rsidRPr="00A94A71" w:rsidRDefault="00210CBA" w:rsidP="00210CBA">
      <w:pPr>
        <w:rPr>
          <w:lang w:val="en-GB"/>
        </w:rPr>
      </w:pPr>
      <w:r w:rsidRPr="00A94A71">
        <w:rPr>
          <w:i/>
          <w:iCs/>
          <w:lang w:val="en-GB"/>
        </w:rPr>
        <w:t>c)</w:t>
      </w:r>
      <w:r w:rsidRPr="00A94A71">
        <w:rPr>
          <w:lang w:val="en-GB"/>
        </w:rPr>
        <w:tab/>
        <w:t>that the adoption of such alternative BSS earth station antenna radiation pattern with improved side lobe discrimination does not prevent the use of other antenna patterns in BSS systems negotiations between administrations,</w:t>
      </w:r>
    </w:p>
    <w:p w:rsidR="00210CBA" w:rsidRPr="00A94A71" w:rsidRDefault="00210CBA" w:rsidP="00210CBA">
      <w:pPr>
        <w:pStyle w:val="Call"/>
        <w:rPr>
          <w:lang w:val="en-GB"/>
        </w:rPr>
      </w:pPr>
      <w:r w:rsidRPr="00A94A71">
        <w:rPr>
          <w:lang w:val="en-GB"/>
        </w:rPr>
        <w:t>noting</w:t>
      </w:r>
    </w:p>
    <w:p w:rsidR="00210CBA" w:rsidRPr="00A94A71" w:rsidRDefault="00210CBA" w:rsidP="00210CBA">
      <w:pPr>
        <w:rPr>
          <w:lang w:val="en-GB"/>
        </w:rPr>
      </w:pPr>
      <w:r w:rsidRPr="00A94A71">
        <w:rPr>
          <w:lang w:val="en-GB"/>
        </w:rPr>
        <w:t>that the main lobe of BSS receiving earth stations antenna radiation patterns is described by the quadratic</w:t>
      </w:r>
      <w:r w:rsidRPr="00A94A71">
        <w:rPr>
          <w:rFonts w:ascii="Verdana" w:hAnsi="Verdana" w:cs="Verdana"/>
          <w:color w:val="555555"/>
          <w:sz w:val="21"/>
          <w:szCs w:val="21"/>
          <w:lang w:val="en-GB"/>
        </w:rPr>
        <w:t xml:space="preserve"> </w:t>
      </w:r>
      <w:r w:rsidRPr="00A94A71">
        <w:rPr>
          <w:lang w:val="en-GB"/>
        </w:rPr>
        <w:t>dependence in Recommendation ITU-R BO.652-1,</w:t>
      </w:r>
    </w:p>
    <w:p w:rsidR="00210CBA" w:rsidRPr="00A94A71" w:rsidRDefault="00210CBA" w:rsidP="00210CBA">
      <w:pPr>
        <w:pStyle w:val="Call"/>
        <w:rPr>
          <w:lang w:val="en-GB"/>
        </w:rPr>
      </w:pPr>
      <w:r w:rsidRPr="00A94A71">
        <w:rPr>
          <w:lang w:val="en-GB"/>
        </w:rPr>
        <w:t>recommends</w:t>
      </w:r>
    </w:p>
    <w:p w:rsidR="00210CBA" w:rsidRPr="00A94A71" w:rsidRDefault="00210CBA" w:rsidP="00210CBA">
      <w:pPr>
        <w:rPr>
          <w:szCs w:val="24"/>
          <w:lang w:val="en-GB"/>
        </w:rPr>
      </w:pPr>
      <w:r w:rsidRPr="00A94A71">
        <w:rPr>
          <w:szCs w:val="24"/>
          <w:lang w:val="en-GB"/>
        </w:rPr>
        <w:t xml:space="preserve">that the alternative BSS earth station antenna radiation pattern in Annex 1 </w:t>
      </w:r>
      <w:r w:rsidRPr="00A94A71">
        <w:rPr>
          <w:szCs w:val="24"/>
          <w:lang w:val="en-GB" w:eastAsia="ja-JP"/>
        </w:rPr>
        <w:t>may</w:t>
      </w:r>
      <w:r w:rsidRPr="00A94A71">
        <w:rPr>
          <w:szCs w:val="24"/>
          <w:lang w:val="en-GB"/>
        </w:rPr>
        <w:t xml:space="preserve"> be used, under certain circumstances, in bilateral/multilateral negotiations and interference impact assessment of new or modified assignments in the Region 2 Plan or Regions 1 and 3 List of additional uses without having any regulatory impact on the application of relevant provisions of RR Appendix </w:t>
      </w:r>
      <w:r w:rsidRPr="00A94DB7">
        <w:rPr>
          <w:b/>
          <w:bCs/>
          <w:szCs w:val="24"/>
          <w:lang w:val="en-GB"/>
        </w:rPr>
        <w:t>30</w:t>
      </w:r>
      <w:r w:rsidRPr="00A94A71">
        <w:rPr>
          <w:szCs w:val="24"/>
          <w:lang w:val="en-GB"/>
        </w:rPr>
        <w:t xml:space="preserve">, as emphasized in </w:t>
      </w:r>
      <w:r w:rsidRPr="00A94A71">
        <w:rPr>
          <w:i/>
          <w:iCs/>
          <w:szCs w:val="24"/>
          <w:lang w:val="en-GB"/>
        </w:rPr>
        <w:t>recognizing</w:t>
      </w:r>
      <w:r w:rsidRPr="00A94A71">
        <w:rPr>
          <w:szCs w:val="24"/>
          <w:lang w:val="en-GB"/>
        </w:rPr>
        <w:t xml:space="preserve"> </w:t>
      </w:r>
      <w:r w:rsidRPr="00A94A71">
        <w:rPr>
          <w:i/>
          <w:iCs/>
          <w:szCs w:val="24"/>
          <w:lang w:val="en-GB"/>
        </w:rPr>
        <w:t>b)</w:t>
      </w:r>
      <w:r w:rsidRPr="00A94A71">
        <w:rPr>
          <w:szCs w:val="24"/>
          <w:lang w:val="en-GB"/>
        </w:rPr>
        <w:t xml:space="preserve"> above.</w:t>
      </w:r>
    </w:p>
    <w:p w:rsidR="00210CBA" w:rsidRPr="00A94A71" w:rsidRDefault="00210CBA" w:rsidP="00A94DB7">
      <w:pPr>
        <w:rPr>
          <w:lang w:val="en-GB"/>
        </w:rPr>
      </w:pPr>
      <w:r w:rsidRPr="00A94A71">
        <w:rPr>
          <w:lang w:val="en-GB"/>
        </w:rPr>
        <w:t xml:space="preserve">NOTE – This </w:t>
      </w:r>
      <w:r w:rsidR="00A94DB7">
        <w:rPr>
          <w:lang w:val="en-GB"/>
        </w:rPr>
        <w:t>R</w:t>
      </w:r>
      <w:r w:rsidRPr="00A94A71">
        <w:rPr>
          <w:lang w:val="en-GB"/>
        </w:rPr>
        <w:t>ecommendation applies to antennas with an effective antenna aperture ranging from 55 cm to 75 cm. (For small antennas less than 55 cm, it is difficult to obtain improved radiation characteristics. For large antennas greater than 75 cm, there is no need for a special design to obtain an improved radiation pattern as compared to Recommendation ITU-R BO.1213.)</w:t>
      </w:r>
    </w:p>
    <w:p w:rsidR="00210CBA" w:rsidRPr="00A94A71" w:rsidRDefault="00210CBA" w:rsidP="00210CBA">
      <w:pPr>
        <w:overflowPunct/>
        <w:autoSpaceDE/>
        <w:autoSpaceDN/>
        <w:adjustRightInd/>
        <w:spacing w:before="0"/>
        <w:textAlignment w:val="auto"/>
        <w:rPr>
          <w:caps/>
          <w:sz w:val="28"/>
          <w:szCs w:val="28"/>
          <w:lang w:val="en-GB"/>
        </w:rPr>
      </w:pPr>
      <w:r w:rsidRPr="00A94A71">
        <w:rPr>
          <w:lang w:val="en-GB"/>
        </w:rPr>
        <w:br w:type="page"/>
      </w:r>
    </w:p>
    <w:p w:rsidR="00210CBA" w:rsidRPr="00A94A71" w:rsidRDefault="00210CBA" w:rsidP="00D8047C">
      <w:pPr>
        <w:pStyle w:val="AnnexNoTitle"/>
        <w:rPr>
          <w:lang w:val="en-GB"/>
        </w:rPr>
      </w:pPr>
      <w:r w:rsidRPr="00A94A71">
        <w:rPr>
          <w:lang w:val="en-GB"/>
        </w:rPr>
        <w:lastRenderedPageBreak/>
        <w:t>Annex 1</w:t>
      </w:r>
      <w:r w:rsidR="00D8047C" w:rsidRPr="00A94A71">
        <w:rPr>
          <w:lang w:val="en-GB"/>
        </w:rPr>
        <w:br/>
      </w:r>
      <w:r w:rsidR="00D8047C" w:rsidRPr="00A94A71">
        <w:rPr>
          <w:lang w:val="en-GB"/>
        </w:rPr>
        <w:br/>
      </w:r>
      <w:r w:rsidRPr="00A94A71">
        <w:rPr>
          <w:lang w:val="en-GB"/>
        </w:rPr>
        <w:t>Alternative BSS earth station antenna radiation pattern</w:t>
      </w:r>
    </w:p>
    <w:p w:rsidR="00210CBA" w:rsidRPr="00A94A71" w:rsidRDefault="00210CBA" w:rsidP="00D8047C">
      <w:pPr>
        <w:pStyle w:val="Headingb"/>
        <w:rPr>
          <w:lang w:val="en-GB"/>
        </w:rPr>
      </w:pPr>
      <w:r w:rsidRPr="00A94A71">
        <w:rPr>
          <w:lang w:val="en-GB"/>
        </w:rPr>
        <w:t>Antenna pattern formulae</w:t>
      </w:r>
      <w:r w:rsidRPr="00A94A71">
        <w:rPr>
          <w:b w:val="0"/>
          <w:bCs/>
          <w:lang w:val="en-GB"/>
        </w:rPr>
        <w:t>:</w:t>
      </w:r>
    </w:p>
    <w:p w:rsidR="00210CBA" w:rsidRPr="00A94A71" w:rsidRDefault="00210CBA" w:rsidP="00D8047C">
      <w:pPr>
        <w:pStyle w:val="Equationlegend"/>
        <w:rPr>
          <w:i/>
          <w:iCs/>
          <w:lang w:val="en-GB" w:eastAsia="ja-JP"/>
        </w:rPr>
      </w:pPr>
      <w:r w:rsidRPr="00A94A71">
        <w:rPr>
          <w:rFonts w:ascii="Lucida Sans Unicode" w:hAnsi="Lucida Sans Unicode" w:cs="Lucida Sans Unicode"/>
          <w:lang w:val="en-GB"/>
        </w:rPr>
        <w:tab/>
      </w:r>
      <m:oMath>
        <m:sSub>
          <m:sSubPr>
            <m:ctrlPr>
              <w:rPr>
                <w:rFonts w:ascii="Cambria Math" w:eastAsiaTheme="minorEastAsia" w:hAnsi="Cambria Math" w:cstheme="majorBidi"/>
                <w:i/>
                <w:sz w:val="20"/>
                <w:lang w:val="en-GB" w:eastAsia="zh-CN"/>
              </w:rPr>
            </m:ctrlPr>
          </m:sSubPr>
          <m:e>
            <m:r>
              <w:rPr>
                <w:rFonts w:ascii="Cambria Math" w:hAnsi="Cambria Math" w:cstheme="majorBidi"/>
                <w:sz w:val="20"/>
                <w:lang w:val="en-GB"/>
              </w:rPr>
              <m:t>∅</m:t>
            </m:r>
          </m:e>
          <m:sub>
            <m:r>
              <w:rPr>
                <w:rFonts w:ascii="Cambria Math" w:hAnsi="Cambria Math" w:cstheme="majorBidi"/>
                <w:sz w:val="20"/>
                <w:lang w:val="en-GB"/>
              </w:rPr>
              <m:t>0</m:t>
            </m:r>
          </m:sub>
        </m:sSub>
      </m:oMath>
      <w:r w:rsidRPr="00A94A71">
        <w:rPr>
          <w:lang w:val="en-GB"/>
        </w:rPr>
        <w:t xml:space="preserve"> </w:t>
      </w:r>
      <w:r w:rsidRPr="00A94A71">
        <w:rPr>
          <w:lang w:val="en-GB"/>
        </w:rPr>
        <w:tab/>
        <w:t xml:space="preserve">is the half power antenna beam width; </w:t>
      </w:r>
      <m:oMath>
        <m:sSub>
          <m:sSubPr>
            <m:ctrlPr>
              <w:rPr>
                <w:rFonts w:ascii="Cambria Math" w:eastAsiaTheme="minorEastAsia" w:hAnsi="Cambria Math" w:cstheme="majorBidi"/>
                <w:i/>
                <w:sz w:val="20"/>
                <w:lang w:val="en-GB" w:eastAsia="zh-CN"/>
              </w:rPr>
            </m:ctrlPr>
          </m:sSubPr>
          <m:e>
            <m:r>
              <w:rPr>
                <w:rFonts w:ascii="Cambria Math" w:hAnsi="Cambria Math" w:cstheme="majorBidi"/>
                <w:sz w:val="20"/>
                <w:lang w:val="en-GB"/>
              </w:rPr>
              <m:t>∅</m:t>
            </m:r>
          </m:e>
          <m:sub>
            <m:r>
              <w:rPr>
                <w:rFonts w:ascii="Cambria Math" w:hAnsi="Cambria Math" w:cstheme="majorBidi"/>
                <w:sz w:val="20"/>
                <w:lang w:val="en-GB"/>
              </w:rPr>
              <m:t>0</m:t>
            </m:r>
          </m:sub>
        </m:sSub>
      </m:oMath>
      <w:r w:rsidRPr="00A94A71">
        <w:rPr>
          <w:lang w:val="en-GB"/>
        </w:rPr>
        <w:t xml:space="preserve"> = 70(</w:t>
      </w:r>
      <w:r w:rsidRPr="00A94A71">
        <w:rPr>
          <w:lang w:val="en-GB"/>
        </w:rPr>
        <w:sym w:font="Symbol" w:char="F06C"/>
      </w:r>
      <w:r w:rsidRPr="00A94A71">
        <w:rPr>
          <w:lang w:val="en-GB"/>
        </w:rPr>
        <w:t>/</w:t>
      </w:r>
      <w:r w:rsidRPr="00A94A71">
        <w:rPr>
          <w:i/>
          <w:iCs/>
          <w:lang w:val="en-GB"/>
        </w:rPr>
        <w:t>D</w:t>
      </w:r>
      <w:r w:rsidRPr="00A94A71">
        <w:rPr>
          <w:lang w:val="en-GB"/>
        </w:rPr>
        <w:t xml:space="preserve">), where </w:t>
      </w:r>
      <w:r w:rsidRPr="00A94A71">
        <w:rPr>
          <w:lang w:val="en-GB"/>
        </w:rPr>
        <w:sym w:font="Symbol" w:char="F06C"/>
      </w:r>
      <w:r w:rsidRPr="00A94A71">
        <w:rPr>
          <w:lang w:val="en-GB"/>
        </w:rPr>
        <w:t xml:space="preserve"> is wavelength and </w:t>
      </w:r>
      <w:r w:rsidRPr="00A94A71">
        <w:rPr>
          <w:bCs/>
          <w:i/>
          <w:iCs/>
          <w:lang w:val="en-GB"/>
        </w:rPr>
        <w:t xml:space="preserve">D </w:t>
      </w:r>
      <w:r w:rsidRPr="00A94A71">
        <w:rPr>
          <w:lang w:val="en-GB"/>
        </w:rPr>
        <w:t xml:space="preserve">is the antenna dimension in the plane in which </w:t>
      </w:r>
      <w:r w:rsidR="00C626D4" w:rsidRPr="00A94A71">
        <w:rPr>
          <w:lang w:val="en-GB"/>
        </w:rPr>
        <w:t>the beam width is defined (e.g. </w:t>
      </w:r>
      <w:r w:rsidRPr="00A94A71">
        <w:rPr>
          <w:lang w:val="en-GB"/>
        </w:rPr>
        <w:t>along the GSO arc).</w:t>
      </w:r>
    </w:p>
    <w:p w:rsidR="00210CBA" w:rsidRDefault="00210CBA" w:rsidP="00655D42">
      <w:pPr>
        <w:pStyle w:val="Headingb"/>
        <w:rPr>
          <w:lang w:val="en-GB"/>
        </w:rPr>
      </w:pPr>
      <w:r w:rsidRPr="00A94A71">
        <w:rPr>
          <w:lang w:val="en-GB"/>
        </w:rPr>
        <w:t>Co-polar component (dB relative to main beam gain)</w:t>
      </w:r>
    </w:p>
    <w:p w:rsidR="00210CBA" w:rsidRPr="00A94A71" w:rsidRDefault="00FD65F7" w:rsidP="00661444">
      <w:pPr>
        <w:pStyle w:val="Equation"/>
        <w:tabs>
          <w:tab w:val="clear" w:pos="4820"/>
          <w:tab w:val="left" w:pos="2977"/>
          <w:tab w:val="left" w:pos="4111"/>
        </w:tabs>
        <w:spacing w:before="0"/>
        <w:rPr>
          <w:rFonts w:asciiTheme="majorBidi" w:hAnsiTheme="majorBidi" w:cstheme="majorBidi"/>
          <w:sz w:val="20"/>
          <w:lang w:val="en-GB"/>
        </w:rPr>
      </w:pPr>
      <m:oMath>
        <m:sSup>
          <m:sSupPr>
            <m:ctrlPr>
              <w:rPr>
                <w:rFonts w:ascii="Cambria Math" w:hAnsi="Cambria Math" w:cstheme="majorBidi"/>
                <w:i/>
                <w:color w:val="000000"/>
                <w:sz w:val="20"/>
                <w:lang w:val="en-GB"/>
              </w:rPr>
            </m:ctrlPr>
          </m:sSupPr>
          <m:e>
            <m:r>
              <w:rPr>
                <w:rFonts w:ascii="Cambria Math" w:hAnsi="Cambria Math" w:cstheme="majorBidi"/>
                <w:sz w:val="20"/>
                <w:lang w:val="en-GB"/>
              </w:rPr>
              <m:t xml:space="preserve">-12 </m:t>
            </m:r>
            <m:d>
              <m:dPr>
                <m:ctrlPr>
                  <w:rPr>
                    <w:rFonts w:ascii="Cambria Math" w:hAnsi="Cambria Math" w:cstheme="majorBidi"/>
                    <w:color w:val="000000"/>
                    <w:sz w:val="20"/>
                    <w:lang w:val="en-GB"/>
                  </w:rPr>
                </m:ctrlPr>
              </m:dPr>
              <m:e>
                <m:f>
                  <m:fPr>
                    <m:type m:val="lin"/>
                    <m:ctrlPr>
                      <w:rPr>
                        <w:rFonts w:ascii="Cambria Math" w:hAnsi="Cambria Math" w:cstheme="majorBidi"/>
                        <w:iCs/>
                        <w:color w:val="000000"/>
                        <w:sz w:val="20"/>
                        <w:lang w:val="en-GB"/>
                      </w:rPr>
                    </m:ctrlPr>
                  </m:fPr>
                  <m:num>
                    <m:r>
                      <m:rPr>
                        <m:sty m:val="p"/>
                      </m:rPr>
                      <w:rPr>
                        <w:rFonts w:ascii="Cambria Math" w:hAnsi="Cambria Math" w:cstheme="majorBidi"/>
                        <w:color w:val="000000"/>
                        <w:sz w:val="20"/>
                        <w:lang w:val="en-GB"/>
                      </w:rPr>
                      <m:t>∅</m:t>
                    </m:r>
                  </m:num>
                  <m:den>
                    <m:r>
                      <w:rPr>
                        <w:rFonts w:ascii="Cambria Math" w:hAnsi="Cambria Math" w:cstheme="majorBidi"/>
                        <w:sz w:val="20"/>
                        <w:lang w:val="en-GB"/>
                      </w:rPr>
                      <m:t xml:space="preserve"> </m:t>
                    </m:r>
                    <m:sSub>
                      <m:sSubPr>
                        <m:ctrlPr>
                          <w:rPr>
                            <w:rFonts w:ascii="Cambria Math" w:hAnsi="Cambria Math" w:cstheme="majorBidi"/>
                            <w:i/>
                            <w:sz w:val="20"/>
                            <w:lang w:val="en-GB"/>
                          </w:rPr>
                        </m:ctrlPr>
                      </m:sSubPr>
                      <m:e>
                        <m:r>
                          <w:rPr>
                            <w:rFonts w:ascii="Cambria Math" w:hAnsi="Cambria Math" w:cstheme="majorBidi"/>
                            <w:sz w:val="20"/>
                            <w:lang w:val="en-GB"/>
                          </w:rPr>
                          <m:t>∅</m:t>
                        </m:r>
                      </m:e>
                      <m:sub>
                        <m:r>
                          <w:rPr>
                            <w:rFonts w:ascii="Cambria Math" w:hAnsi="Cambria Math" w:cstheme="majorBidi"/>
                            <w:sz w:val="20"/>
                            <w:lang w:val="en-GB"/>
                          </w:rPr>
                          <m:t>0</m:t>
                        </m:r>
                      </m:sub>
                    </m:sSub>
                  </m:den>
                </m:f>
              </m:e>
            </m:d>
          </m:e>
          <m:sup>
            <m:r>
              <w:rPr>
                <w:rFonts w:ascii="Cambria Math" w:hAnsi="Cambria Math" w:cstheme="majorBidi"/>
                <w:color w:val="000000"/>
                <w:sz w:val="20"/>
                <w:lang w:val="en-GB"/>
              </w:rPr>
              <m:t>2</m:t>
            </m:r>
          </m:sup>
        </m:sSup>
      </m:oMath>
      <w:r w:rsidR="00210CBA" w:rsidRPr="00A94A71">
        <w:rPr>
          <w:rFonts w:asciiTheme="majorBidi" w:hAnsiTheme="majorBidi" w:cstheme="majorBidi"/>
          <w:color w:val="000000"/>
          <w:sz w:val="20"/>
          <w:lang w:val="en-GB"/>
        </w:rPr>
        <w:tab/>
      </w:r>
      <w:r w:rsidR="00210CBA" w:rsidRPr="00A94A71">
        <w:rPr>
          <w:rFonts w:asciiTheme="majorBidi" w:hAnsiTheme="majorBidi" w:cstheme="majorBidi"/>
          <w:szCs w:val="24"/>
          <w:lang w:val="en-GB"/>
        </w:rPr>
        <w:t>for</w:t>
      </w:r>
      <w:r w:rsidR="000C73C7" w:rsidRPr="00A94A71">
        <w:rPr>
          <w:rFonts w:asciiTheme="majorBidi" w:hAnsiTheme="majorBidi" w:cstheme="majorBidi"/>
          <w:szCs w:val="24"/>
          <w:lang w:val="en-GB"/>
        </w:rPr>
        <w:tab/>
      </w:r>
      <m:oMath>
        <m:r>
          <w:rPr>
            <w:rFonts w:ascii="Cambria Math" w:hAnsi="Cambria Math" w:cstheme="majorBidi"/>
            <w:szCs w:val="24"/>
            <w:lang w:val="en-GB"/>
          </w:rPr>
          <m:t xml:space="preserve">       </m:t>
        </m:r>
        <m:r>
          <w:rPr>
            <w:rFonts w:ascii="Cambria Math" w:hAnsi="Cambria Math" w:cstheme="majorBidi"/>
            <w:sz w:val="20"/>
            <w:lang w:val="en-GB"/>
          </w:rPr>
          <m:t xml:space="preserve">0  ≤ </m:t>
        </m:r>
        <m:r>
          <m:rPr>
            <m:sty m:val="p"/>
          </m:rPr>
          <w:rPr>
            <w:rFonts w:ascii="Cambria Math" w:hAnsi="Cambria Math" w:cstheme="majorBidi"/>
            <w:sz w:val="20"/>
            <w:lang w:val="en-GB"/>
          </w:rPr>
          <m:t>∅</m:t>
        </m:r>
        <m:r>
          <w:rPr>
            <w:rFonts w:ascii="Cambria Math" w:hAnsi="Cambria Math" w:cstheme="majorBidi"/>
            <w:sz w:val="20"/>
            <w:lang w:val="en-GB"/>
          </w:rPr>
          <m:t xml:space="preserve">≤0.9 </m:t>
        </m:r>
        <m:sSub>
          <m:sSubPr>
            <m:ctrlPr>
              <w:rPr>
                <w:rFonts w:ascii="Cambria Math" w:hAnsi="Cambria Math" w:cstheme="majorBidi"/>
                <w:i/>
                <w:sz w:val="20"/>
                <w:lang w:val="en-GB"/>
              </w:rPr>
            </m:ctrlPr>
          </m:sSubPr>
          <m:e>
            <m:r>
              <w:rPr>
                <w:rFonts w:ascii="Cambria Math" w:hAnsi="Cambria Math" w:cstheme="majorBidi"/>
                <w:sz w:val="20"/>
                <w:lang w:val="en-GB"/>
              </w:rPr>
              <m:t>∅</m:t>
            </m:r>
          </m:e>
          <m:sub>
            <m:r>
              <w:rPr>
                <w:rFonts w:ascii="Cambria Math" w:hAnsi="Cambria Math" w:cstheme="majorBidi"/>
                <w:sz w:val="20"/>
                <w:lang w:val="en-GB"/>
              </w:rPr>
              <m:t>0</m:t>
            </m:r>
          </m:sub>
        </m:sSub>
      </m:oMath>
    </w:p>
    <w:p w:rsidR="00210CBA" w:rsidRPr="00A94A71" w:rsidRDefault="00210CBA" w:rsidP="000C73C7">
      <w:pPr>
        <w:pStyle w:val="Equation"/>
        <w:tabs>
          <w:tab w:val="clear" w:pos="4820"/>
          <w:tab w:val="left" w:pos="2977"/>
          <w:tab w:val="left" w:pos="4111"/>
        </w:tabs>
        <w:spacing w:before="0"/>
        <w:rPr>
          <w:rFonts w:asciiTheme="minorHAnsi" w:eastAsiaTheme="minorEastAsia" w:hAnsiTheme="minorHAnsi" w:cstheme="minorBidi"/>
          <w:sz w:val="20"/>
          <w:lang w:val="en-GB"/>
        </w:rPr>
      </w:pPr>
      <m:oMath>
        <m:r>
          <w:rPr>
            <w:rFonts w:ascii="Cambria Math" w:eastAsiaTheme="minorEastAsia" w:hAnsi="Cambria Math" w:cstheme="minorBidi"/>
            <w:sz w:val="20"/>
            <w:lang w:val="en-GB"/>
          </w:rPr>
          <m:t>-</m:t>
        </m:r>
        <m:r>
          <m:rPr>
            <m:sty m:val="p"/>
          </m:rPr>
          <w:rPr>
            <w:rFonts w:ascii="Cambria Math" w:eastAsiaTheme="minorEastAsia" w:hAnsi="Cambria Math" w:cstheme="minorBidi"/>
            <w:sz w:val="20"/>
            <w:lang w:val="en-GB"/>
          </w:rPr>
          <m:t>(14+93.5 log (∅/</m:t>
        </m:r>
        <m:r>
          <w:rPr>
            <w:rFonts w:ascii="Cambria Math" w:hAnsi="Cambria Math" w:cstheme="majorBidi"/>
            <w:sz w:val="20"/>
            <w:lang w:val="en-GB"/>
          </w:rPr>
          <m:t xml:space="preserve"> </m:t>
        </m:r>
        <m:sSub>
          <m:sSubPr>
            <m:ctrlPr>
              <w:rPr>
                <w:rFonts w:ascii="Cambria Math" w:eastAsiaTheme="minorEastAsia" w:hAnsi="Cambria Math" w:cstheme="majorBidi"/>
                <w:i/>
                <w:sz w:val="20"/>
                <w:lang w:val="en-GB" w:eastAsia="zh-CN"/>
              </w:rPr>
            </m:ctrlPr>
          </m:sSubPr>
          <m:e>
            <m:r>
              <w:rPr>
                <w:rFonts w:ascii="Cambria Math" w:hAnsi="Cambria Math" w:cstheme="majorBidi"/>
                <w:sz w:val="20"/>
                <w:lang w:val="en-GB"/>
              </w:rPr>
              <m:t>∅</m:t>
            </m:r>
          </m:e>
          <m:sub>
            <m:r>
              <w:rPr>
                <w:rFonts w:ascii="Cambria Math" w:hAnsi="Cambria Math" w:cstheme="majorBidi"/>
                <w:sz w:val="20"/>
                <w:lang w:val="en-GB"/>
              </w:rPr>
              <m:t>0</m:t>
            </m:r>
          </m:sub>
        </m:sSub>
        <m:r>
          <m:rPr>
            <m:sty m:val="p"/>
          </m:rPr>
          <w:rPr>
            <w:rFonts w:ascii="Cambria Math" w:eastAsiaTheme="minorEastAsia" w:hAnsi="Cambria Math" w:cstheme="minorBidi"/>
            <w:sz w:val="20"/>
            <w:lang w:val="en-GB"/>
          </w:rPr>
          <m:t>))</m:t>
        </m:r>
      </m:oMath>
      <w:r w:rsidRPr="00A94A71">
        <w:rPr>
          <w:rFonts w:asciiTheme="majorBidi" w:hAnsiTheme="majorBidi" w:cstheme="majorBidi"/>
          <w:szCs w:val="24"/>
          <w:lang w:val="en-GB"/>
        </w:rPr>
        <w:tab/>
        <w:t>for</w:t>
      </w:r>
      <w:r w:rsidRPr="00A94A71">
        <w:rPr>
          <w:rFonts w:asciiTheme="majorBidi" w:hAnsiTheme="majorBidi" w:cstheme="majorBidi"/>
          <w:szCs w:val="24"/>
          <w:lang w:val="en-GB"/>
        </w:rPr>
        <w:tab/>
      </w:r>
      <m:oMath>
        <m:r>
          <m:rPr>
            <m:sty m:val="p"/>
          </m:rPr>
          <w:rPr>
            <w:rFonts w:ascii="Cambria Math" w:eastAsiaTheme="minorEastAsia" w:hAnsi="Cambria Math" w:cstheme="majorBidi"/>
            <w:sz w:val="20"/>
            <w:lang w:val="en-GB"/>
          </w:rPr>
          <m:t>0.9</m:t>
        </m:r>
        <m:r>
          <w:rPr>
            <w:rFonts w:ascii="Cambria Math" w:hAnsi="Cambria Math" w:cstheme="majorBidi"/>
            <w:sz w:val="20"/>
            <w:lang w:val="en-GB"/>
          </w:rPr>
          <m:t xml:space="preserve"> </m:t>
        </m:r>
        <m:sSub>
          <m:sSubPr>
            <m:ctrlPr>
              <w:rPr>
                <w:rFonts w:ascii="Cambria Math" w:eastAsiaTheme="minorEastAsia" w:hAnsi="Cambria Math" w:cstheme="majorBidi"/>
                <w:i/>
                <w:sz w:val="20"/>
                <w:lang w:val="en-GB" w:eastAsia="zh-CN"/>
              </w:rPr>
            </m:ctrlPr>
          </m:sSubPr>
          <m:e>
            <m:r>
              <w:rPr>
                <w:rFonts w:ascii="Cambria Math" w:hAnsi="Cambria Math" w:cstheme="majorBidi"/>
                <w:sz w:val="20"/>
                <w:lang w:val="en-GB"/>
              </w:rPr>
              <m:t>∅</m:t>
            </m:r>
          </m:e>
          <m:sub>
            <m:r>
              <w:rPr>
                <w:rFonts w:ascii="Cambria Math" w:hAnsi="Cambria Math" w:cstheme="majorBidi"/>
                <w:sz w:val="20"/>
                <w:lang w:val="en-GB"/>
              </w:rPr>
              <m:t>0</m:t>
            </m:r>
          </m:sub>
        </m:sSub>
        <m:r>
          <m:rPr>
            <m:sty m:val="p"/>
          </m:rPr>
          <w:rPr>
            <w:rFonts w:ascii="Cambria Math" w:eastAsiaTheme="minorEastAsia" w:hAnsi="Cambria Math" w:cstheme="majorBidi"/>
            <w:sz w:val="20"/>
            <w:lang w:val="en-GB"/>
          </w:rPr>
          <m:t xml:space="preserve"> &lt; ∅≤1.23</m:t>
        </m:r>
        <m:r>
          <w:rPr>
            <w:rFonts w:ascii="Cambria Math" w:hAnsi="Cambria Math" w:cstheme="majorBidi"/>
            <w:sz w:val="20"/>
            <w:lang w:val="en-GB"/>
          </w:rPr>
          <m:t xml:space="preserve"> </m:t>
        </m:r>
        <m:sSub>
          <m:sSubPr>
            <m:ctrlPr>
              <w:rPr>
                <w:rFonts w:ascii="Cambria Math" w:eastAsiaTheme="minorEastAsia" w:hAnsi="Cambria Math" w:cstheme="majorBidi"/>
                <w:i/>
                <w:sz w:val="20"/>
                <w:lang w:val="en-GB" w:eastAsia="zh-CN"/>
              </w:rPr>
            </m:ctrlPr>
          </m:sSubPr>
          <m:e>
            <m:r>
              <w:rPr>
                <w:rFonts w:ascii="Cambria Math" w:hAnsi="Cambria Math" w:cstheme="majorBidi"/>
                <w:sz w:val="20"/>
                <w:lang w:val="en-GB"/>
              </w:rPr>
              <m:t>∅</m:t>
            </m:r>
          </m:e>
          <m:sub>
            <m:r>
              <w:rPr>
                <w:rFonts w:ascii="Cambria Math" w:hAnsi="Cambria Math" w:cstheme="majorBidi"/>
                <w:sz w:val="20"/>
                <w:lang w:val="en-GB"/>
              </w:rPr>
              <m:t>0</m:t>
            </m:r>
          </m:sub>
        </m:sSub>
      </m:oMath>
    </w:p>
    <w:p w:rsidR="00210CBA" w:rsidRPr="00A94A71" w:rsidRDefault="00210CBA" w:rsidP="000C73C7">
      <w:pPr>
        <w:pStyle w:val="Equation"/>
        <w:tabs>
          <w:tab w:val="clear" w:pos="4820"/>
          <w:tab w:val="left" w:pos="2977"/>
          <w:tab w:val="left" w:pos="4111"/>
        </w:tabs>
        <w:spacing w:before="0"/>
        <w:rPr>
          <w:rFonts w:asciiTheme="majorBidi" w:eastAsiaTheme="minorEastAsia" w:hAnsiTheme="majorBidi" w:cstheme="majorBidi"/>
          <w:sz w:val="20"/>
          <w:lang w:val="en-GB" w:eastAsia="zh-CN"/>
        </w:rPr>
      </w:pPr>
      <w:r w:rsidRPr="00A94A71">
        <w:rPr>
          <w:rFonts w:asciiTheme="minorHAnsi" w:eastAsiaTheme="minorEastAsia" w:hAnsiTheme="minorHAnsi" w:cstheme="minorBidi"/>
          <w:sz w:val="20"/>
          <w:lang w:val="en-GB"/>
        </w:rPr>
        <w:tab/>
      </w:r>
      <m:oMath>
        <m:r>
          <w:rPr>
            <w:rFonts w:ascii="Cambria Math" w:eastAsiaTheme="minorEastAsia" w:hAnsi="Cambria Math" w:cstheme="minorBidi"/>
            <w:sz w:val="20"/>
            <w:lang w:val="en-GB"/>
          </w:rPr>
          <m:t>-22.5</m:t>
        </m:r>
      </m:oMath>
      <w:r w:rsidRPr="00A94A71">
        <w:rPr>
          <w:rFonts w:asciiTheme="minorHAnsi" w:eastAsiaTheme="minorEastAsia" w:hAnsiTheme="minorHAnsi" w:cstheme="minorBidi"/>
          <w:sz w:val="20"/>
          <w:lang w:val="en-GB"/>
        </w:rPr>
        <w:tab/>
      </w:r>
      <w:r w:rsidR="000C73C7" w:rsidRPr="00A94A71">
        <w:rPr>
          <w:rFonts w:asciiTheme="majorBidi" w:eastAsiaTheme="minorEastAsia" w:hAnsiTheme="majorBidi" w:cstheme="majorBidi"/>
          <w:szCs w:val="24"/>
          <w:lang w:val="en-GB"/>
        </w:rPr>
        <w:t>for</w:t>
      </w:r>
      <w:r w:rsidRPr="00A94A71">
        <w:rPr>
          <w:rFonts w:asciiTheme="majorBidi" w:eastAsiaTheme="minorEastAsia" w:hAnsiTheme="majorBidi" w:cstheme="majorBidi"/>
          <w:szCs w:val="24"/>
          <w:lang w:val="en-GB"/>
        </w:rPr>
        <w:tab/>
      </w:r>
      <m:oMath>
        <m:r>
          <m:rPr>
            <m:sty m:val="p"/>
          </m:rPr>
          <w:rPr>
            <w:rFonts w:ascii="Cambria Math" w:hAnsi="Cambria Math" w:cs="Arial"/>
            <w:color w:val="000000"/>
            <w:sz w:val="20"/>
            <w:lang w:val="en-GB"/>
          </w:rPr>
          <m:t>1.23</m:t>
        </m:r>
        <m:sSub>
          <m:sSubPr>
            <m:ctrlPr>
              <w:rPr>
                <w:rFonts w:ascii="Cambria Math" w:eastAsiaTheme="minorEastAsia" w:hAnsi="Cambria Math" w:cstheme="majorBidi"/>
                <w:i/>
                <w:sz w:val="20"/>
                <w:lang w:val="en-GB" w:eastAsia="zh-CN"/>
              </w:rPr>
            </m:ctrlPr>
          </m:sSubPr>
          <m:e>
            <m:r>
              <w:rPr>
                <w:rFonts w:ascii="Cambria Math" w:hAnsi="Cambria Math" w:cstheme="majorBidi"/>
                <w:sz w:val="20"/>
                <w:lang w:val="en-GB"/>
              </w:rPr>
              <m:t>∅</m:t>
            </m:r>
          </m:e>
          <m:sub>
            <m:r>
              <w:rPr>
                <w:rFonts w:ascii="Cambria Math" w:hAnsi="Cambria Math" w:cstheme="majorBidi"/>
                <w:sz w:val="20"/>
                <w:lang w:val="en-GB"/>
              </w:rPr>
              <m:t>0</m:t>
            </m:r>
          </m:sub>
        </m:sSub>
        <m:r>
          <m:rPr>
            <m:sty m:val="p"/>
          </m:rPr>
          <w:rPr>
            <w:rFonts w:ascii="Cambria Math" w:hAnsi="Cambria Math" w:cs="Arial"/>
            <w:color w:val="000000"/>
            <w:sz w:val="20"/>
            <w:lang w:val="en-GB"/>
          </w:rPr>
          <m:t xml:space="preserve">&lt; ∅ ≤1.32 </m:t>
        </m:r>
        <m:sSub>
          <m:sSubPr>
            <m:ctrlPr>
              <w:rPr>
                <w:rFonts w:ascii="Cambria Math" w:eastAsiaTheme="minorEastAsia" w:hAnsi="Cambria Math" w:cstheme="majorBidi"/>
                <w:i/>
                <w:sz w:val="20"/>
                <w:lang w:val="en-GB" w:eastAsia="zh-CN"/>
              </w:rPr>
            </m:ctrlPr>
          </m:sSubPr>
          <m:e>
            <m:r>
              <w:rPr>
                <w:rFonts w:ascii="Cambria Math" w:hAnsi="Cambria Math" w:cstheme="majorBidi"/>
                <w:sz w:val="20"/>
                <w:lang w:val="en-GB"/>
              </w:rPr>
              <m:t>∅</m:t>
            </m:r>
          </m:e>
          <m:sub>
            <m:r>
              <w:rPr>
                <w:rFonts w:ascii="Cambria Math" w:hAnsi="Cambria Math" w:cstheme="majorBidi"/>
                <w:sz w:val="20"/>
                <w:lang w:val="en-GB"/>
              </w:rPr>
              <m:t>0</m:t>
            </m:r>
          </m:sub>
        </m:sSub>
      </m:oMath>
    </w:p>
    <w:p w:rsidR="00210CBA" w:rsidRPr="00A94A71" w:rsidRDefault="00210CBA" w:rsidP="000C73C7">
      <w:pPr>
        <w:pStyle w:val="Equation"/>
        <w:tabs>
          <w:tab w:val="clear" w:pos="4820"/>
          <w:tab w:val="left" w:pos="2977"/>
          <w:tab w:val="left" w:pos="4111"/>
        </w:tabs>
        <w:spacing w:before="0"/>
        <w:rPr>
          <w:rFonts w:asciiTheme="minorHAnsi" w:eastAsiaTheme="minorEastAsia" w:hAnsiTheme="minorHAnsi" w:cstheme="minorBidi"/>
          <w:sz w:val="20"/>
          <w:lang w:val="en-GB"/>
        </w:rPr>
      </w:pPr>
      <m:oMath>
        <m:r>
          <w:rPr>
            <w:rFonts w:ascii="Cambria Math" w:hAnsi="Cambria Math"/>
            <w:lang w:val="en-GB"/>
          </w:rPr>
          <m:t>-</m:t>
        </m:r>
        <m:d>
          <m:dPr>
            <m:ctrlPr>
              <w:rPr>
                <w:rFonts w:ascii="Cambria Math" w:hAnsi="Cambria Math"/>
                <w:i/>
                <w:lang w:val="en-GB"/>
              </w:rPr>
            </m:ctrlPr>
          </m:dPr>
          <m:e>
            <m:r>
              <m:rPr>
                <m:sty m:val="p"/>
              </m:rPr>
              <w:rPr>
                <w:rFonts w:ascii="Cambria Math" w:hAnsi="Cambria Math" w:cs="Arial"/>
                <w:color w:val="000000"/>
                <w:sz w:val="20"/>
                <w:lang w:val="en-GB"/>
              </w:rPr>
              <m:t xml:space="preserve">19.5 + 25 log  </m:t>
            </m:r>
            <m:d>
              <m:dPr>
                <m:ctrlPr>
                  <w:rPr>
                    <w:rFonts w:ascii="Cambria Math" w:hAnsi="Cambria Math" w:cs="Arial"/>
                    <w:color w:val="000000"/>
                    <w:sz w:val="20"/>
                    <w:lang w:val="en-GB"/>
                  </w:rPr>
                </m:ctrlPr>
              </m:dPr>
              <m:e>
                <m:r>
                  <w:rPr>
                    <w:rFonts w:ascii="Cambria Math" w:hAnsi="Cambria Math" w:cs="Arial"/>
                    <w:color w:val="000000"/>
                    <w:sz w:val="20"/>
                    <w:lang w:val="en-GB"/>
                  </w:rPr>
                  <m:t>∅/</m:t>
                </m:r>
                <m:r>
                  <w:rPr>
                    <w:rFonts w:ascii="Cambria Math" w:hAnsi="Cambria Math" w:cstheme="majorBidi"/>
                    <w:sz w:val="20"/>
                    <w:lang w:val="en-GB"/>
                  </w:rPr>
                  <m:t xml:space="preserve"> </m:t>
                </m:r>
                <m:sSub>
                  <m:sSubPr>
                    <m:ctrlPr>
                      <w:rPr>
                        <w:rFonts w:ascii="Cambria Math" w:eastAsiaTheme="minorEastAsia" w:hAnsi="Cambria Math" w:cstheme="majorBidi"/>
                        <w:i/>
                        <w:sz w:val="20"/>
                        <w:lang w:val="en-GB" w:eastAsia="zh-CN"/>
                      </w:rPr>
                    </m:ctrlPr>
                  </m:sSubPr>
                  <m:e>
                    <m:r>
                      <w:rPr>
                        <w:rFonts w:ascii="Cambria Math" w:hAnsi="Cambria Math" w:cstheme="majorBidi"/>
                        <w:sz w:val="20"/>
                        <w:lang w:val="en-GB"/>
                      </w:rPr>
                      <m:t>∅</m:t>
                    </m:r>
                  </m:e>
                  <m:sub>
                    <m:r>
                      <w:rPr>
                        <w:rFonts w:ascii="Cambria Math" w:hAnsi="Cambria Math" w:cstheme="majorBidi"/>
                        <w:sz w:val="20"/>
                        <w:lang w:val="en-GB"/>
                      </w:rPr>
                      <m:t>0</m:t>
                    </m:r>
                  </m:sub>
                </m:sSub>
              </m:e>
            </m:d>
            <m:ctrlPr>
              <w:rPr>
                <w:rFonts w:ascii="Cambria Math" w:hAnsi="Cambria Math" w:cs="Arial"/>
                <w:i/>
                <w:color w:val="000000"/>
                <w:sz w:val="20"/>
                <w:lang w:val="en-GB"/>
              </w:rPr>
            </m:ctrlPr>
          </m:e>
        </m:d>
      </m:oMath>
      <w:r w:rsidRPr="00A94A71">
        <w:rPr>
          <w:rFonts w:asciiTheme="majorBidi" w:eastAsiaTheme="minorEastAsia" w:hAnsiTheme="majorBidi" w:cstheme="majorBidi"/>
          <w:color w:val="000000"/>
          <w:sz w:val="20"/>
          <w:lang w:val="en-GB"/>
        </w:rPr>
        <w:tab/>
      </w:r>
      <w:r w:rsidR="000C73C7" w:rsidRPr="00A94A71">
        <w:rPr>
          <w:rFonts w:asciiTheme="majorBidi" w:eastAsiaTheme="minorEastAsia" w:hAnsiTheme="majorBidi" w:cstheme="majorBidi"/>
          <w:szCs w:val="24"/>
          <w:lang w:val="en-GB"/>
        </w:rPr>
        <w:t>for</w:t>
      </w:r>
      <w:r w:rsidRPr="00A94A71">
        <w:rPr>
          <w:rFonts w:asciiTheme="majorBidi" w:eastAsiaTheme="minorEastAsia" w:hAnsiTheme="majorBidi" w:cstheme="majorBidi"/>
          <w:szCs w:val="24"/>
          <w:lang w:val="en-GB"/>
        </w:rPr>
        <w:tab/>
      </w:r>
      <m:oMath>
        <m:r>
          <m:rPr>
            <m:sty m:val="p"/>
          </m:rPr>
          <w:rPr>
            <w:rFonts w:ascii="Cambria Math" w:hAnsi="Cambria Math" w:cs="Arial"/>
            <w:color w:val="000000"/>
            <w:sz w:val="20"/>
            <w:lang w:val="en-GB"/>
          </w:rPr>
          <m:t>1.32</m:t>
        </m:r>
        <m:sSub>
          <m:sSubPr>
            <m:ctrlPr>
              <w:rPr>
                <w:rFonts w:ascii="Cambria Math" w:eastAsiaTheme="minorEastAsia" w:hAnsi="Cambria Math" w:cstheme="majorBidi"/>
                <w:i/>
                <w:sz w:val="20"/>
                <w:lang w:val="en-GB" w:eastAsia="zh-CN"/>
              </w:rPr>
            </m:ctrlPr>
          </m:sSubPr>
          <m:e>
            <m:r>
              <w:rPr>
                <w:rFonts w:ascii="Cambria Math" w:hAnsi="Cambria Math" w:cstheme="majorBidi"/>
                <w:sz w:val="20"/>
                <w:lang w:val="en-GB"/>
              </w:rPr>
              <m:t>∅</m:t>
            </m:r>
          </m:e>
          <m:sub>
            <m:r>
              <w:rPr>
                <w:rFonts w:ascii="Cambria Math" w:hAnsi="Cambria Math" w:cstheme="majorBidi"/>
                <w:sz w:val="20"/>
                <w:lang w:val="en-GB"/>
              </w:rPr>
              <m:t>0</m:t>
            </m:r>
          </m:sub>
        </m:sSub>
        <m:r>
          <m:rPr>
            <m:sty m:val="p"/>
          </m:rPr>
          <w:rPr>
            <w:rFonts w:ascii="Cambria Math" w:hAnsi="Cambria Math" w:cs="Arial"/>
            <w:color w:val="000000"/>
            <w:sz w:val="20"/>
            <w:lang w:val="en-GB"/>
          </w:rPr>
          <m:t xml:space="preserve">&lt; ∅ ≤8 </m:t>
        </m:r>
        <m:r>
          <w:rPr>
            <w:rFonts w:ascii="Cambria Math" w:hAnsi="Cambria Math" w:cstheme="majorBidi"/>
            <w:sz w:val="20"/>
            <w:lang w:val="en-GB"/>
          </w:rPr>
          <m:t xml:space="preserve"> </m:t>
        </m:r>
        <m:sSub>
          <m:sSubPr>
            <m:ctrlPr>
              <w:rPr>
                <w:rFonts w:ascii="Cambria Math" w:eastAsiaTheme="minorEastAsia" w:hAnsi="Cambria Math" w:cstheme="majorBidi"/>
                <w:i/>
                <w:sz w:val="20"/>
                <w:lang w:val="en-GB" w:eastAsia="zh-CN"/>
              </w:rPr>
            </m:ctrlPr>
          </m:sSubPr>
          <m:e>
            <m:r>
              <w:rPr>
                <w:rFonts w:ascii="Cambria Math" w:hAnsi="Cambria Math" w:cstheme="majorBidi"/>
                <w:sz w:val="20"/>
                <w:lang w:val="en-GB"/>
              </w:rPr>
              <m:t>∅</m:t>
            </m:r>
          </m:e>
          <m:sub>
            <m:r>
              <w:rPr>
                <w:rFonts w:ascii="Cambria Math" w:hAnsi="Cambria Math" w:cstheme="majorBidi"/>
                <w:sz w:val="20"/>
                <w:lang w:val="en-GB"/>
              </w:rPr>
              <m:t>0</m:t>
            </m:r>
          </m:sub>
        </m:sSub>
      </m:oMath>
    </w:p>
    <w:p w:rsidR="00210CBA" w:rsidRPr="00A94A71" w:rsidRDefault="00210CBA" w:rsidP="000C73C7">
      <w:pPr>
        <w:pStyle w:val="Equation"/>
        <w:tabs>
          <w:tab w:val="clear" w:pos="4820"/>
          <w:tab w:val="left" w:pos="2977"/>
          <w:tab w:val="left" w:pos="4111"/>
        </w:tabs>
        <w:spacing w:before="0"/>
        <w:rPr>
          <w:rFonts w:asciiTheme="minorHAnsi" w:eastAsiaTheme="minorEastAsia" w:hAnsiTheme="minorHAnsi" w:cstheme="minorBidi"/>
          <w:sz w:val="20"/>
          <w:lang w:val="en-GB"/>
        </w:rPr>
      </w:pPr>
      <w:r w:rsidRPr="00A94A71">
        <w:rPr>
          <w:rFonts w:asciiTheme="minorHAnsi" w:eastAsiaTheme="minorEastAsia" w:hAnsiTheme="minorHAnsi" w:cstheme="minorBidi"/>
          <w:sz w:val="20"/>
          <w:lang w:val="en-GB"/>
        </w:rPr>
        <w:tab/>
      </w:r>
      <m:oMath>
        <m:r>
          <w:rPr>
            <w:rFonts w:ascii="Cambria Math" w:eastAsiaTheme="minorEastAsia" w:hAnsi="Cambria Math" w:cstheme="minorBidi"/>
            <w:sz w:val="20"/>
            <w:lang w:val="en-GB"/>
          </w:rPr>
          <m:t>-42</m:t>
        </m:r>
      </m:oMath>
      <w:r w:rsidRPr="00A94A71">
        <w:rPr>
          <w:rFonts w:asciiTheme="minorHAnsi" w:eastAsiaTheme="minorEastAsia" w:hAnsiTheme="minorHAnsi" w:cstheme="minorBidi"/>
          <w:sz w:val="20"/>
          <w:lang w:val="en-GB"/>
        </w:rPr>
        <w:tab/>
      </w:r>
      <w:r w:rsidR="000C73C7" w:rsidRPr="00A94A71">
        <w:rPr>
          <w:rFonts w:asciiTheme="majorBidi" w:eastAsiaTheme="minorEastAsia" w:hAnsiTheme="majorBidi" w:cstheme="majorBidi"/>
          <w:szCs w:val="24"/>
          <w:lang w:val="en-GB"/>
        </w:rPr>
        <w:t>for</w:t>
      </w:r>
      <w:r w:rsidRPr="00A94A71">
        <w:rPr>
          <w:rFonts w:asciiTheme="majorBidi" w:eastAsiaTheme="minorEastAsia" w:hAnsiTheme="majorBidi" w:cstheme="majorBidi"/>
          <w:szCs w:val="24"/>
          <w:lang w:val="en-GB"/>
        </w:rPr>
        <w:tab/>
      </w:r>
      <m:oMath>
        <m:r>
          <w:rPr>
            <w:rFonts w:ascii="Cambria Math" w:hAnsi="Cambria Math"/>
            <w:sz w:val="20"/>
            <w:lang w:val="en-GB"/>
          </w:rPr>
          <m:t xml:space="preserve">      </m:t>
        </m:r>
        <m:r>
          <m:rPr>
            <m:sty m:val="p"/>
          </m:rPr>
          <w:rPr>
            <w:rFonts w:ascii="Cambria Math" w:hAnsi="Cambria Math"/>
            <w:sz w:val="20"/>
            <w:lang w:val="en-GB"/>
          </w:rPr>
          <m:t>8</m:t>
        </m:r>
        <m:sSub>
          <m:sSubPr>
            <m:ctrlPr>
              <w:rPr>
                <w:rFonts w:ascii="Cambria Math" w:eastAsiaTheme="minorEastAsia" w:hAnsi="Cambria Math" w:cstheme="majorBidi"/>
                <w:i/>
                <w:sz w:val="20"/>
                <w:lang w:val="en-GB" w:eastAsia="zh-CN"/>
              </w:rPr>
            </m:ctrlPr>
          </m:sSubPr>
          <m:e>
            <m:r>
              <w:rPr>
                <w:rFonts w:ascii="Cambria Math" w:hAnsi="Cambria Math" w:cstheme="majorBidi"/>
                <w:sz w:val="20"/>
                <w:lang w:val="en-GB"/>
              </w:rPr>
              <m:t>∅</m:t>
            </m:r>
          </m:e>
          <m:sub>
            <m:r>
              <w:rPr>
                <w:rFonts w:ascii="Cambria Math" w:hAnsi="Cambria Math" w:cstheme="majorBidi"/>
                <w:sz w:val="20"/>
                <w:lang w:val="en-GB"/>
              </w:rPr>
              <m:t>0</m:t>
            </m:r>
          </m:sub>
        </m:sSub>
        <m:r>
          <w:rPr>
            <w:rFonts w:ascii="Cambria Math" w:hAnsi="Cambria Math" w:cstheme="majorBidi"/>
            <w:sz w:val="20"/>
            <w:lang w:val="en-GB"/>
          </w:rPr>
          <m:t>&lt; ∅</m:t>
        </m:r>
      </m:oMath>
    </w:p>
    <w:p w:rsidR="00210CBA" w:rsidRPr="00A94A71" w:rsidRDefault="00210CBA" w:rsidP="00655D42">
      <w:pPr>
        <w:pStyle w:val="Headingb"/>
        <w:rPr>
          <w:lang w:val="en-GB"/>
        </w:rPr>
      </w:pPr>
      <w:r w:rsidRPr="00A94A71">
        <w:rPr>
          <w:lang w:val="en-GB"/>
        </w:rPr>
        <w:t>Cross-polar component (dB relative to main beam gain)</w:t>
      </w:r>
    </w:p>
    <w:p w:rsidR="00210CBA" w:rsidRPr="00A94A71" w:rsidRDefault="00210CBA" w:rsidP="000C73C7">
      <w:pPr>
        <w:pStyle w:val="Equation"/>
        <w:tabs>
          <w:tab w:val="clear" w:pos="4820"/>
          <w:tab w:val="left" w:pos="2977"/>
          <w:tab w:val="left" w:pos="4111"/>
        </w:tabs>
        <w:spacing w:before="0"/>
        <w:rPr>
          <w:rFonts w:asciiTheme="majorBidi" w:eastAsiaTheme="minorEastAsia" w:hAnsiTheme="majorBidi" w:cstheme="majorBidi"/>
          <w:sz w:val="20"/>
          <w:lang w:val="en-GB"/>
        </w:rPr>
      </w:pPr>
      <w:r w:rsidRPr="00A94A71">
        <w:rPr>
          <w:rFonts w:asciiTheme="minorHAnsi" w:eastAsiaTheme="minorEastAsia" w:hAnsiTheme="minorHAnsi" w:cstheme="minorBidi"/>
          <w:iCs/>
          <w:sz w:val="20"/>
          <w:lang w:val="en-GB"/>
        </w:rPr>
        <w:tab/>
      </w:r>
      <m:oMath>
        <m:r>
          <m:rPr>
            <m:sty m:val="p"/>
          </m:rPr>
          <w:rPr>
            <w:rFonts w:ascii="Cambria Math" w:eastAsiaTheme="minorEastAsia" w:hAnsi="Cambria Math" w:cstheme="minorBidi"/>
            <w:sz w:val="20"/>
            <w:lang w:val="en-GB"/>
          </w:rPr>
          <m:t>-26</m:t>
        </m:r>
      </m:oMath>
      <w:r w:rsidRPr="00A94A71">
        <w:rPr>
          <w:rFonts w:asciiTheme="minorHAnsi" w:eastAsiaTheme="minorEastAsia" w:hAnsiTheme="minorHAnsi" w:cstheme="minorBidi"/>
          <w:iCs/>
          <w:sz w:val="20"/>
          <w:lang w:val="en-GB"/>
        </w:rPr>
        <w:tab/>
      </w:r>
      <w:r w:rsidR="000C73C7" w:rsidRPr="00A94A71">
        <w:rPr>
          <w:rFonts w:asciiTheme="majorBidi" w:eastAsiaTheme="minorEastAsia" w:hAnsiTheme="majorBidi" w:cstheme="majorBidi"/>
          <w:iCs/>
          <w:szCs w:val="24"/>
          <w:lang w:val="en-GB"/>
        </w:rPr>
        <w:t>for</w:t>
      </w:r>
      <w:r w:rsidRPr="00A94A71">
        <w:rPr>
          <w:rFonts w:asciiTheme="majorBidi" w:eastAsiaTheme="minorEastAsia" w:hAnsiTheme="majorBidi" w:cstheme="majorBidi"/>
          <w:iCs/>
          <w:szCs w:val="24"/>
          <w:lang w:val="en-GB"/>
        </w:rPr>
        <w:tab/>
      </w:r>
      <m:oMath>
        <m:r>
          <w:rPr>
            <w:rFonts w:ascii="Cambria Math" w:eastAsiaTheme="minorEastAsia" w:hAnsi="Cambria Math" w:cstheme="majorBidi"/>
            <w:szCs w:val="24"/>
            <w:lang w:val="en-GB"/>
          </w:rPr>
          <m:t xml:space="preserve">        </m:t>
        </m:r>
        <m:r>
          <m:rPr>
            <m:sty m:val="p"/>
          </m:rPr>
          <w:rPr>
            <w:rFonts w:ascii="Cambria Math" w:eastAsiaTheme="minorEastAsia" w:hAnsi="Cambria Math" w:cstheme="majorBidi"/>
            <w:sz w:val="20"/>
            <w:lang w:val="en-GB"/>
          </w:rPr>
          <m:t xml:space="preserve">0  </m:t>
        </m:r>
        <m:r>
          <w:rPr>
            <w:rFonts w:ascii="Cambria Math" w:eastAsiaTheme="minorEastAsia" w:hAnsi="Cambria Math" w:cstheme="majorBidi"/>
            <w:sz w:val="20"/>
            <w:lang w:val="en-GB"/>
          </w:rPr>
          <m:t>≤</m:t>
        </m:r>
        <m:r>
          <m:rPr>
            <m:sty m:val="p"/>
          </m:rPr>
          <w:rPr>
            <w:rFonts w:ascii="Cambria Math" w:eastAsiaTheme="minorEastAsia" w:hAnsi="Cambria Math" w:cstheme="majorBidi"/>
            <w:sz w:val="20"/>
            <w:lang w:val="en-GB"/>
          </w:rPr>
          <m:t>∅ ≤0.25</m:t>
        </m:r>
        <m:r>
          <w:rPr>
            <w:rFonts w:ascii="Cambria Math" w:hAnsi="Cambria Math" w:cstheme="majorBidi"/>
            <w:sz w:val="20"/>
            <w:lang w:val="en-GB"/>
          </w:rPr>
          <m:t xml:space="preserve"> </m:t>
        </m:r>
        <m:sSub>
          <m:sSubPr>
            <m:ctrlPr>
              <w:rPr>
                <w:rFonts w:ascii="Cambria Math" w:eastAsiaTheme="minorEastAsia" w:hAnsi="Cambria Math" w:cstheme="majorBidi"/>
                <w:i/>
                <w:sz w:val="20"/>
                <w:lang w:val="en-GB" w:eastAsia="zh-CN"/>
              </w:rPr>
            </m:ctrlPr>
          </m:sSubPr>
          <m:e>
            <m:r>
              <w:rPr>
                <w:rFonts w:ascii="Cambria Math" w:hAnsi="Cambria Math" w:cstheme="majorBidi"/>
                <w:sz w:val="20"/>
                <w:lang w:val="en-GB"/>
              </w:rPr>
              <m:t>∅</m:t>
            </m:r>
          </m:e>
          <m:sub>
            <m:r>
              <w:rPr>
                <w:rFonts w:ascii="Cambria Math" w:hAnsi="Cambria Math" w:cstheme="majorBidi"/>
                <w:sz w:val="20"/>
                <w:lang w:val="en-GB"/>
              </w:rPr>
              <m:t>0</m:t>
            </m:r>
          </m:sub>
        </m:sSub>
      </m:oMath>
    </w:p>
    <w:p w:rsidR="00210CBA" w:rsidRPr="00A94A71" w:rsidRDefault="00210CBA" w:rsidP="00210CBA">
      <w:pPr>
        <w:pStyle w:val="Equation"/>
        <w:tabs>
          <w:tab w:val="clear" w:pos="4820"/>
          <w:tab w:val="left" w:pos="2977"/>
          <w:tab w:val="left" w:pos="4111"/>
        </w:tabs>
        <w:spacing w:before="0"/>
        <w:rPr>
          <w:rFonts w:asciiTheme="minorHAnsi" w:eastAsiaTheme="minorEastAsia" w:hAnsiTheme="minorHAnsi" w:cstheme="minorBidi"/>
          <w:sz w:val="20"/>
          <w:lang w:val="en-GB"/>
        </w:rPr>
      </w:pPr>
      <m:oMath>
        <m:r>
          <w:rPr>
            <w:rFonts w:ascii="Cambria Math" w:eastAsiaTheme="minorEastAsia" w:hAnsi="Cambria Math" w:cstheme="minorBidi"/>
            <w:sz w:val="20"/>
            <w:lang w:val="en-GB"/>
          </w:rPr>
          <m:t>-</m:t>
        </m:r>
        <m:r>
          <m:rPr>
            <m:sty m:val="p"/>
          </m:rPr>
          <w:rPr>
            <w:rFonts w:ascii="Cambria Math" w:eastAsiaTheme="minorEastAsia" w:hAnsi="Cambria Math" w:cstheme="minorBidi"/>
            <w:sz w:val="20"/>
            <w:lang w:val="en-GB"/>
          </w:rPr>
          <m:t>(16.6-15.6 log (∅/</m:t>
        </m:r>
        <m:r>
          <w:rPr>
            <w:rFonts w:ascii="Cambria Math" w:hAnsi="Cambria Math" w:cstheme="majorBidi"/>
            <w:sz w:val="20"/>
            <w:lang w:val="en-GB"/>
          </w:rPr>
          <m:t xml:space="preserve"> </m:t>
        </m:r>
        <m:sSub>
          <m:sSubPr>
            <m:ctrlPr>
              <w:rPr>
                <w:rFonts w:ascii="Cambria Math" w:eastAsiaTheme="minorEastAsia" w:hAnsi="Cambria Math" w:cstheme="majorBidi"/>
                <w:i/>
                <w:sz w:val="20"/>
                <w:lang w:val="en-GB" w:eastAsia="zh-CN"/>
              </w:rPr>
            </m:ctrlPr>
          </m:sSubPr>
          <m:e>
            <m:r>
              <w:rPr>
                <w:rFonts w:ascii="Cambria Math" w:hAnsi="Cambria Math" w:cstheme="majorBidi"/>
                <w:sz w:val="20"/>
                <w:lang w:val="en-GB"/>
              </w:rPr>
              <m:t>∅</m:t>
            </m:r>
          </m:e>
          <m:sub>
            <m:r>
              <w:rPr>
                <w:rFonts w:ascii="Cambria Math" w:hAnsi="Cambria Math" w:cstheme="majorBidi"/>
                <w:sz w:val="20"/>
                <w:lang w:val="en-GB"/>
              </w:rPr>
              <m:t>0</m:t>
            </m:r>
          </m:sub>
        </m:sSub>
        <m:r>
          <m:rPr>
            <m:sty m:val="p"/>
          </m:rPr>
          <w:rPr>
            <w:rFonts w:ascii="Cambria Math" w:eastAsiaTheme="minorEastAsia" w:hAnsi="Cambria Math" w:cstheme="minorBidi"/>
            <w:sz w:val="20"/>
            <w:lang w:val="en-GB"/>
          </w:rPr>
          <m:t>))</m:t>
        </m:r>
      </m:oMath>
      <w:r w:rsidRPr="00A94A71">
        <w:rPr>
          <w:rFonts w:asciiTheme="minorHAnsi" w:eastAsiaTheme="minorEastAsia" w:hAnsiTheme="minorHAnsi" w:cstheme="minorBidi"/>
          <w:iCs/>
          <w:sz w:val="20"/>
          <w:lang w:val="en-GB"/>
        </w:rPr>
        <w:tab/>
      </w:r>
      <w:r w:rsidRPr="00A94A71">
        <w:rPr>
          <w:rFonts w:asciiTheme="majorBidi" w:eastAsiaTheme="minorEastAsia" w:hAnsiTheme="majorBidi" w:cstheme="majorBidi"/>
          <w:iCs/>
          <w:szCs w:val="24"/>
          <w:lang w:val="en-GB"/>
        </w:rPr>
        <w:t>for</w:t>
      </w:r>
      <w:r w:rsidRPr="00A94A71">
        <w:rPr>
          <w:rFonts w:asciiTheme="majorBidi" w:eastAsiaTheme="minorEastAsia" w:hAnsiTheme="majorBidi" w:cstheme="majorBidi"/>
          <w:iCs/>
          <w:szCs w:val="24"/>
          <w:lang w:val="en-GB"/>
        </w:rPr>
        <w:tab/>
      </w:r>
      <m:oMath>
        <m:r>
          <m:rPr>
            <m:sty m:val="p"/>
          </m:rPr>
          <w:rPr>
            <w:rFonts w:ascii="Cambria Math" w:eastAsiaTheme="minorEastAsia" w:hAnsi="Cambria Math" w:cstheme="majorBidi"/>
            <w:sz w:val="20"/>
            <w:lang w:val="en-GB"/>
          </w:rPr>
          <m:t>0.25</m:t>
        </m:r>
        <m:r>
          <w:rPr>
            <w:rFonts w:ascii="Cambria Math" w:hAnsi="Cambria Math" w:cstheme="majorBidi"/>
            <w:sz w:val="20"/>
            <w:lang w:val="en-GB"/>
          </w:rPr>
          <m:t xml:space="preserve"> </m:t>
        </m:r>
        <m:sSub>
          <m:sSubPr>
            <m:ctrlPr>
              <w:rPr>
                <w:rFonts w:ascii="Cambria Math" w:eastAsiaTheme="minorEastAsia" w:hAnsi="Cambria Math" w:cstheme="majorBidi"/>
                <w:i/>
                <w:sz w:val="20"/>
                <w:lang w:val="en-GB" w:eastAsia="zh-CN"/>
              </w:rPr>
            </m:ctrlPr>
          </m:sSubPr>
          <m:e>
            <m:r>
              <w:rPr>
                <w:rFonts w:ascii="Cambria Math" w:hAnsi="Cambria Math" w:cstheme="majorBidi"/>
                <w:sz w:val="20"/>
                <w:lang w:val="en-GB"/>
              </w:rPr>
              <m:t>∅</m:t>
            </m:r>
          </m:e>
          <m:sub>
            <m:r>
              <w:rPr>
                <w:rFonts w:ascii="Cambria Math" w:hAnsi="Cambria Math" w:cstheme="majorBidi"/>
                <w:sz w:val="20"/>
                <w:lang w:val="en-GB"/>
              </w:rPr>
              <m:t>0</m:t>
            </m:r>
          </m:sub>
        </m:sSub>
        <m:r>
          <m:rPr>
            <m:sty m:val="p"/>
          </m:rPr>
          <w:rPr>
            <w:rFonts w:ascii="Cambria Math" w:eastAsiaTheme="minorEastAsia" w:hAnsi="Cambria Math" w:cstheme="majorBidi"/>
            <w:sz w:val="20"/>
            <w:lang w:val="en-GB"/>
          </w:rPr>
          <m:t>&lt;∅≤0.45</m:t>
        </m:r>
        <m:r>
          <w:rPr>
            <w:rFonts w:ascii="Cambria Math" w:hAnsi="Cambria Math" w:cstheme="majorBidi"/>
            <w:sz w:val="20"/>
            <w:lang w:val="en-GB"/>
          </w:rPr>
          <m:t xml:space="preserve"> </m:t>
        </m:r>
        <m:sSub>
          <m:sSubPr>
            <m:ctrlPr>
              <w:rPr>
                <w:rFonts w:ascii="Cambria Math" w:eastAsiaTheme="minorEastAsia" w:hAnsi="Cambria Math" w:cstheme="majorBidi"/>
                <w:i/>
                <w:sz w:val="20"/>
                <w:lang w:val="en-GB" w:eastAsia="zh-CN"/>
              </w:rPr>
            </m:ctrlPr>
          </m:sSubPr>
          <m:e>
            <m:r>
              <w:rPr>
                <w:rFonts w:ascii="Cambria Math" w:hAnsi="Cambria Math" w:cstheme="majorBidi"/>
                <w:sz w:val="20"/>
                <w:lang w:val="en-GB"/>
              </w:rPr>
              <m:t>∅</m:t>
            </m:r>
          </m:e>
          <m:sub>
            <m:r>
              <w:rPr>
                <w:rFonts w:ascii="Cambria Math" w:hAnsi="Cambria Math" w:cstheme="majorBidi"/>
                <w:sz w:val="20"/>
                <w:lang w:val="en-GB"/>
              </w:rPr>
              <m:t>0</m:t>
            </m:r>
          </m:sub>
        </m:sSub>
      </m:oMath>
    </w:p>
    <w:p w:rsidR="00210CBA" w:rsidRPr="00A94A71" w:rsidRDefault="00210CBA" w:rsidP="00210CBA">
      <w:pPr>
        <w:pStyle w:val="Equation"/>
        <w:tabs>
          <w:tab w:val="clear" w:pos="4820"/>
          <w:tab w:val="left" w:pos="2977"/>
          <w:tab w:val="left" w:pos="4111"/>
        </w:tabs>
        <w:spacing w:before="0"/>
        <w:rPr>
          <w:rFonts w:ascii="Arial" w:eastAsiaTheme="minorEastAsia" w:hAnsi="Arial"/>
          <w:lang w:val="en-GB"/>
        </w:rPr>
      </w:pPr>
      <w:r w:rsidRPr="00A94A71">
        <w:rPr>
          <w:rFonts w:asciiTheme="minorHAnsi" w:eastAsiaTheme="minorEastAsia" w:hAnsiTheme="minorHAnsi" w:cstheme="minorBidi"/>
          <w:sz w:val="20"/>
          <w:lang w:val="en-GB"/>
        </w:rPr>
        <w:tab/>
      </w:r>
      <m:oMath>
        <m:r>
          <w:rPr>
            <w:rFonts w:ascii="Cambria Math" w:eastAsiaTheme="minorEastAsia" w:hAnsi="Cambria Math" w:cstheme="minorBidi"/>
            <w:sz w:val="20"/>
            <w:lang w:val="en-GB"/>
          </w:rPr>
          <m:t>-22</m:t>
        </m:r>
      </m:oMath>
      <w:r w:rsidRPr="00A94A71">
        <w:rPr>
          <w:rFonts w:ascii="Arial" w:hAnsi="Arial"/>
          <w:lang w:val="en-GB"/>
        </w:rPr>
        <w:tab/>
      </w:r>
      <w:r w:rsidRPr="00A94A71">
        <w:rPr>
          <w:rFonts w:asciiTheme="majorBidi" w:hAnsiTheme="majorBidi" w:cstheme="majorBidi"/>
          <w:szCs w:val="24"/>
          <w:lang w:val="en-GB"/>
        </w:rPr>
        <w:t>for</w:t>
      </w:r>
      <w:r w:rsidRPr="00A94A71">
        <w:rPr>
          <w:rFonts w:ascii="Arial" w:hAnsi="Arial"/>
          <w:lang w:val="en-GB"/>
        </w:rPr>
        <w:tab/>
      </w:r>
      <m:oMath>
        <m:r>
          <m:rPr>
            <m:sty m:val="p"/>
          </m:rPr>
          <w:rPr>
            <w:rFonts w:ascii="Cambria Math" w:hAnsi="Cambria Math"/>
            <w:sz w:val="20"/>
            <w:lang w:val="en-GB"/>
          </w:rPr>
          <m:t>0.45</m:t>
        </m:r>
        <m:sSub>
          <m:sSubPr>
            <m:ctrlPr>
              <w:rPr>
                <w:rFonts w:ascii="Cambria Math" w:eastAsiaTheme="minorEastAsia" w:hAnsi="Cambria Math" w:cstheme="majorBidi"/>
                <w:i/>
                <w:sz w:val="20"/>
                <w:lang w:val="en-GB" w:eastAsia="zh-CN"/>
              </w:rPr>
            </m:ctrlPr>
          </m:sSubPr>
          <m:e>
            <m:r>
              <w:rPr>
                <w:rFonts w:ascii="Cambria Math" w:hAnsi="Cambria Math" w:cstheme="majorBidi"/>
                <w:sz w:val="20"/>
                <w:lang w:val="en-GB"/>
              </w:rPr>
              <m:t xml:space="preserve"> ∅</m:t>
            </m:r>
          </m:e>
          <m:sub>
            <m:r>
              <w:rPr>
                <w:rFonts w:ascii="Cambria Math" w:hAnsi="Cambria Math" w:cstheme="majorBidi"/>
                <w:sz w:val="20"/>
                <w:lang w:val="en-GB"/>
              </w:rPr>
              <m:t>0</m:t>
            </m:r>
          </m:sub>
        </m:sSub>
        <m:r>
          <m:rPr>
            <m:sty m:val="p"/>
          </m:rPr>
          <w:rPr>
            <w:rFonts w:ascii="Cambria Math" w:hAnsi="Cambria Math"/>
            <w:sz w:val="20"/>
            <w:lang w:val="en-GB"/>
          </w:rPr>
          <m:t xml:space="preserve">&lt;∅ ≤0.9 </m:t>
        </m:r>
        <m:r>
          <w:rPr>
            <w:rFonts w:ascii="Cambria Math" w:hAnsi="Cambria Math" w:cstheme="majorBidi"/>
            <w:sz w:val="20"/>
            <w:lang w:val="en-GB"/>
          </w:rPr>
          <m:t xml:space="preserve"> </m:t>
        </m:r>
        <m:sSub>
          <m:sSubPr>
            <m:ctrlPr>
              <w:rPr>
                <w:rFonts w:ascii="Cambria Math" w:eastAsiaTheme="minorEastAsia" w:hAnsi="Cambria Math" w:cstheme="majorBidi"/>
                <w:i/>
                <w:sz w:val="20"/>
                <w:lang w:val="en-GB" w:eastAsia="zh-CN"/>
              </w:rPr>
            </m:ctrlPr>
          </m:sSubPr>
          <m:e>
            <m:r>
              <w:rPr>
                <w:rFonts w:ascii="Cambria Math" w:hAnsi="Cambria Math" w:cstheme="majorBidi"/>
                <w:sz w:val="20"/>
                <w:lang w:val="en-GB"/>
              </w:rPr>
              <m:t>∅</m:t>
            </m:r>
          </m:e>
          <m:sub>
            <m:r>
              <w:rPr>
                <w:rFonts w:ascii="Cambria Math" w:hAnsi="Cambria Math" w:cstheme="majorBidi"/>
                <w:sz w:val="20"/>
                <w:lang w:val="en-GB"/>
              </w:rPr>
              <m:t>0</m:t>
            </m:r>
          </m:sub>
        </m:sSub>
        <m:r>
          <m:rPr>
            <m:sty m:val="p"/>
          </m:rPr>
          <w:rPr>
            <w:rFonts w:ascii="Cambria Math" w:hAnsi="Cambria Math"/>
            <w:sz w:val="20"/>
            <w:lang w:val="en-GB"/>
          </w:rPr>
          <m:t xml:space="preserve"> </m:t>
        </m:r>
      </m:oMath>
    </w:p>
    <w:p w:rsidR="00210CBA" w:rsidRPr="00A94A71" w:rsidRDefault="00210CBA" w:rsidP="00210CBA">
      <w:pPr>
        <w:pStyle w:val="Equation"/>
        <w:tabs>
          <w:tab w:val="clear" w:pos="4820"/>
          <w:tab w:val="left" w:pos="2977"/>
          <w:tab w:val="left" w:pos="4111"/>
        </w:tabs>
        <w:spacing w:before="0"/>
        <w:rPr>
          <w:lang w:val="en-GB"/>
        </w:rPr>
      </w:pPr>
      <m:oMath>
        <m:r>
          <w:rPr>
            <w:rFonts w:ascii="Cambria Math" w:hAnsi="Cambria Math"/>
            <w:lang w:val="en-GB"/>
          </w:rPr>
          <m:t>-</m:t>
        </m:r>
        <m:d>
          <m:dPr>
            <m:ctrlPr>
              <w:rPr>
                <w:rFonts w:ascii="Cambria Math" w:hAnsi="Cambria Math"/>
                <w:i/>
                <w:lang w:val="en-GB"/>
              </w:rPr>
            </m:ctrlPr>
          </m:dPr>
          <m:e>
            <m:r>
              <m:rPr>
                <m:sty m:val="p"/>
              </m:rPr>
              <w:rPr>
                <w:rFonts w:ascii="Cambria Math" w:hAnsi="Cambria Math" w:cs="Arial"/>
                <w:color w:val="000000"/>
                <w:sz w:val="20"/>
                <w:lang w:val="en-GB"/>
              </w:rPr>
              <m:t xml:space="preserve">24.65 + 57.7 log  </m:t>
            </m:r>
            <m:d>
              <m:dPr>
                <m:ctrlPr>
                  <w:rPr>
                    <w:rFonts w:ascii="Cambria Math" w:hAnsi="Cambria Math" w:cs="Arial"/>
                    <w:color w:val="000000"/>
                    <w:sz w:val="20"/>
                    <w:lang w:val="en-GB"/>
                  </w:rPr>
                </m:ctrlPr>
              </m:dPr>
              <m:e>
                <m:r>
                  <w:rPr>
                    <w:rFonts w:ascii="Cambria Math" w:hAnsi="Cambria Math" w:cs="Arial"/>
                    <w:color w:val="000000"/>
                    <w:sz w:val="20"/>
                    <w:lang w:val="en-GB"/>
                  </w:rPr>
                  <m:t>∅/</m:t>
                </m:r>
                <m:r>
                  <w:rPr>
                    <w:rFonts w:ascii="Cambria Math" w:hAnsi="Cambria Math" w:cstheme="majorBidi"/>
                    <w:sz w:val="20"/>
                    <w:lang w:val="en-GB"/>
                  </w:rPr>
                  <m:t xml:space="preserve"> </m:t>
                </m:r>
                <m:sSub>
                  <m:sSubPr>
                    <m:ctrlPr>
                      <w:rPr>
                        <w:rFonts w:ascii="Cambria Math" w:eastAsiaTheme="minorEastAsia" w:hAnsi="Cambria Math" w:cstheme="majorBidi"/>
                        <w:i/>
                        <w:sz w:val="20"/>
                        <w:lang w:val="en-GB" w:eastAsia="zh-CN"/>
                      </w:rPr>
                    </m:ctrlPr>
                  </m:sSubPr>
                  <m:e>
                    <m:r>
                      <w:rPr>
                        <w:rFonts w:ascii="Cambria Math" w:hAnsi="Cambria Math" w:cstheme="majorBidi"/>
                        <w:sz w:val="20"/>
                        <w:lang w:val="en-GB"/>
                      </w:rPr>
                      <m:t>∅</m:t>
                    </m:r>
                  </m:e>
                  <m:sub>
                    <m:r>
                      <w:rPr>
                        <w:rFonts w:ascii="Cambria Math" w:hAnsi="Cambria Math" w:cstheme="majorBidi"/>
                        <w:sz w:val="20"/>
                        <w:lang w:val="en-GB"/>
                      </w:rPr>
                      <m:t>0</m:t>
                    </m:r>
                  </m:sub>
                </m:sSub>
              </m:e>
            </m:d>
            <m:ctrlPr>
              <w:rPr>
                <w:rFonts w:ascii="Cambria Math" w:hAnsi="Cambria Math" w:cs="Arial"/>
                <w:i/>
                <w:color w:val="000000"/>
                <w:sz w:val="20"/>
                <w:lang w:val="en-GB"/>
              </w:rPr>
            </m:ctrlPr>
          </m:e>
        </m:d>
      </m:oMath>
      <w:r w:rsidRPr="00A94A71">
        <w:rPr>
          <w:lang w:val="en-GB"/>
        </w:rPr>
        <w:tab/>
        <w:t>for</w:t>
      </w:r>
      <w:r w:rsidRPr="00A94A71">
        <w:rPr>
          <w:lang w:val="en-GB"/>
        </w:rPr>
        <w:tab/>
      </w:r>
      <m:oMath>
        <m:r>
          <m:rPr>
            <m:sty m:val="p"/>
          </m:rPr>
          <w:rPr>
            <w:rFonts w:ascii="Cambria Math" w:hAnsi="Cambria Math" w:cs="Arial"/>
            <w:color w:val="000000"/>
            <w:sz w:val="20"/>
            <w:lang w:val="en-GB"/>
          </w:rPr>
          <m:t xml:space="preserve">0.9   </m:t>
        </m:r>
        <m:sSub>
          <m:sSubPr>
            <m:ctrlPr>
              <w:rPr>
                <w:rFonts w:ascii="Cambria Math" w:eastAsiaTheme="minorEastAsia" w:hAnsi="Cambria Math" w:cstheme="majorBidi"/>
                <w:i/>
                <w:sz w:val="20"/>
                <w:lang w:val="en-GB" w:eastAsia="zh-CN"/>
              </w:rPr>
            </m:ctrlPr>
          </m:sSubPr>
          <m:e>
            <m:r>
              <w:rPr>
                <w:rFonts w:ascii="Cambria Math" w:hAnsi="Cambria Math" w:cstheme="majorBidi"/>
                <w:sz w:val="20"/>
                <w:lang w:val="en-GB"/>
              </w:rPr>
              <m:t>∅</m:t>
            </m:r>
          </m:e>
          <m:sub>
            <m:r>
              <w:rPr>
                <w:rFonts w:ascii="Cambria Math" w:hAnsi="Cambria Math" w:cstheme="majorBidi"/>
                <w:sz w:val="20"/>
                <w:lang w:val="en-GB"/>
              </w:rPr>
              <m:t>0</m:t>
            </m:r>
          </m:sub>
        </m:sSub>
        <m:r>
          <m:rPr>
            <m:sty m:val="p"/>
          </m:rPr>
          <w:rPr>
            <w:rFonts w:ascii="Cambria Math" w:hAnsi="Cambria Math" w:cs="Arial"/>
            <w:color w:val="000000"/>
            <w:sz w:val="20"/>
            <w:lang w:val="en-GB"/>
          </w:rPr>
          <m:t xml:space="preserve"> &lt;∅ ≤1.23 </m:t>
        </m:r>
        <m:sSub>
          <m:sSubPr>
            <m:ctrlPr>
              <w:rPr>
                <w:rFonts w:ascii="Cambria Math" w:eastAsiaTheme="minorEastAsia" w:hAnsi="Cambria Math" w:cstheme="majorBidi"/>
                <w:i/>
                <w:sz w:val="20"/>
                <w:lang w:val="en-GB" w:eastAsia="zh-CN"/>
              </w:rPr>
            </m:ctrlPr>
          </m:sSubPr>
          <m:e>
            <m:r>
              <w:rPr>
                <w:rFonts w:ascii="Cambria Math" w:hAnsi="Cambria Math" w:cstheme="majorBidi"/>
                <w:sz w:val="20"/>
                <w:lang w:val="en-GB"/>
              </w:rPr>
              <m:t>∅</m:t>
            </m:r>
          </m:e>
          <m:sub>
            <m:r>
              <w:rPr>
                <w:rFonts w:ascii="Cambria Math" w:hAnsi="Cambria Math" w:cstheme="majorBidi"/>
                <w:sz w:val="20"/>
                <w:lang w:val="en-GB"/>
              </w:rPr>
              <m:t>0</m:t>
            </m:r>
          </m:sub>
        </m:sSub>
      </m:oMath>
    </w:p>
    <w:p w:rsidR="00210CBA" w:rsidRPr="00A94A71" w:rsidRDefault="00210CBA" w:rsidP="00210CBA">
      <w:pPr>
        <w:tabs>
          <w:tab w:val="left" w:pos="2977"/>
          <w:tab w:val="left" w:pos="4111"/>
        </w:tabs>
        <w:spacing w:before="0"/>
        <w:rPr>
          <w:lang w:val="en-GB"/>
        </w:rPr>
      </w:pPr>
      <m:oMath>
        <m:r>
          <w:rPr>
            <w:rFonts w:ascii="Cambria Math" w:hAnsi="Cambria Math"/>
            <w:lang w:val="en-GB"/>
          </w:rPr>
          <m:t>-</m:t>
        </m:r>
        <m:d>
          <m:dPr>
            <m:ctrlPr>
              <w:rPr>
                <w:rFonts w:ascii="Cambria Math" w:hAnsi="Cambria Math"/>
                <w:i/>
                <w:lang w:val="en-GB"/>
              </w:rPr>
            </m:ctrlPr>
          </m:dPr>
          <m:e>
            <m:r>
              <m:rPr>
                <m:sty m:val="p"/>
              </m:rPr>
              <w:rPr>
                <w:rFonts w:ascii="Cambria Math" w:hAnsi="Cambria Math" w:cs="Arial"/>
                <w:color w:val="000000"/>
                <w:sz w:val="20"/>
                <w:lang w:val="en-GB"/>
              </w:rPr>
              <m:t xml:space="preserve">27.7 + 23.75 log  </m:t>
            </m:r>
            <m:d>
              <m:dPr>
                <m:ctrlPr>
                  <w:rPr>
                    <w:rFonts w:ascii="Cambria Math" w:hAnsi="Cambria Math" w:cs="Arial"/>
                    <w:color w:val="000000"/>
                    <w:sz w:val="20"/>
                    <w:lang w:val="en-GB"/>
                  </w:rPr>
                </m:ctrlPr>
              </m:dPr>
              <m:e>
                <m:r>
                  <w:rPr>
                    <w:rFonts w:ascii="Cambria Math" w:hAnsi="Cambria Math" w:cs="Arial"/>
                    <w:color w:val="000000"/>
                    <w:sz w:val="20"/>
                    <w:lang w:val="en-GB"/>
                  </w:rPr>
                  <m:t>∅/</m:t>
                </m:r>
                <m:r>
                  <w:rPr>
                    <w:rFonts w:ascii="Cambria Math" w:hAnsi="Cambria Math" w:cstheme="majorBidi"/>
                    <w:sz w:val="20"/>
                    <w:lang w:val="en-GB"/>
                  </w:rPr>
                  <m:t xml:space="preserve"> </m:t>
                </m:r>
                <m:sSub>
                  <m:sSubPr>
                    <m:ctrlPr>
                      <w:rPr>
                        <w:rFonts w:ascii="Cambria Math" w:hAnsi="Cambria Math" w:cstheme="majorBidi"/>
                        <w:i/>
                        <w:sz w:val="20"/>
                        <w:lang w:val="en-GB"/>
                      </w:rPr>
                    </m:ctrlPr>
                  </m:sSubPr>
                  <m:e>
                    <m:r>
                      <w:rPr>
                        <w:rFonts w:ascii="Cambria Math" w:hAnsi="Cambria Math" w:cstheme="majorBidi"/>
                        <w:sz w:val="20"/>
                        <w:lang w:val="en-GB"/>
                      </w:rPr>
                      <m:t>∅</m:t>
                    </m:r>
                  </m:e>
                  <m:sub>
                    <m:r>
                      <w:rPr>
                        <w:rFonts w:ascii="Cambria Math" w:hAnsi="Cambria Math" w:cstheme="majorBidi"/>
                        <w:sz w:val="20"/>
                        <w:lang w:val="en-GB"/>
                      </w:rPr>
                      <m:t>0</m:t>
                    </m:r>
                  </m:sub>
                </m:sSub>
              </m:e>
            </m:d>
            <m:ctrlPr>
              <w:rPr>
                <w:rFonts w:ascii="Cambria Math" w:hAnsi="Cambria Math" w:cs="Arial"/>
                <w:i/>
                <w:color w:val="000000"/>
                <w:sz w:val="20"/>
                <w:lang w:val="en-GB"/>
              </w:rPr>
            </m:ctrlPr>
          </m:e>
        </m:d>
      </m:oMath>
      <w:r w:rsidRPr="00A94A71">
        <w:rPr>
          <w:lang w:val="en-GB"/>
        </w:rPr>
        <w:tab/>
        <w:t>for</w:t>
      </w:r>
      <w:r w:rsidRPr="00A94A71">
        <w:rPr>
          <w:lang w:val="en-GB"/>
        </w:rPr>
        <w:tab/>
      </w:r>
      <m:oMath>
        <m:r>
          <m:rPr>
            <m:sty m:val="p"/>
          </m:rPr>
          <w:rPr>
            <w:rFonts w:ascii="Cambria Math" w:hAnsi="Cambria Math" w:cs="Arial"/>
            <w:color w:val="000000"/>
            <w:sz w:val="20"/>
            <w:lang w:val="en-GB"/>
          </w:rPr>
          <m:t>1.23</m:t>
        </m:r>
        <m:sSub>
          <m:sSubPr>
            <m:ctrlPr>
              <w:rPr>
                <w:rFonts w:ascii="Cambria Math" w:hAnsi="Cambria Math" w:cstheme="majorBidi"/>
                <w:i/>
                <w:sz w:val="20"/>
                <w:lang w:val="en-GB"/>
              </w:rPr>
            </m:ctrlPr>
          </m:sSubPr>
          <m:e>
            <m:r>
              <w:rPr>
                <w:rFonts w:ascii="Cambria Math" w:hAnsi="Cambria Math" w:cstheme="majorBidi"/>
                <w:sz w:val="20"/>
                <w:lang w:val="en-GB"/>
              </w:rPr>
              <m:t xml:space="preserve"> ∅</m:t>
            </m:r>
          </m:e>
          <m:sub>
            <m:r>
              <w:rPr>
                <w:rFonts w:ascii="Cambria Math" w:hAnsi="Cambria Math" w:cstheme="majorBidi"/>
                <w:sz w:val="20"/>
                <w:lang w:val="en-GB"/>
              </w:rPr>
              <m:t>0</m:t>
            </m:r>
          </m:sub>
        </m:sSub>
        <m:r>
          <m:rPr>
            <m:sty m:val="p"/>
          </m:rPr>
          <w:rPr>
            <w:rFonts w:ascii="Cambria Math" w:hAnsi="Cambria Math" w:cs="Arial"/>
            <w:color w:val="000000"/>
            <w:sz w:val="20"/>
            <w:lang w:val="en-GB"/>
          </w:rPr>
          <m:t xml:space="preserve">&lt;∅ ≤4 </m:t>
        </m:r>
        <m:r>
          <w:rPr>
            <w:rFonts w:ascii="Cambria Math" w:hAnsi="Cambria Math" w:cstheme="majorBidi"/>
            <w:sz w:val="20"/>
            <w:lang w:val="en-GB"/>
          </w:rPr>
          <m:t xml:space="preserve"> </m:t>
        </m:r>
        <m:sSub>
          <m:sSubPr>
            <m:ctrlPr>
              <w:rPr>
                <w:rFonts w:ascii="Cambria Math" w:hAnsi="Cambria Math" w:cstheme="majorBidi"/>
                <w:i/>
                <w:sz w:val="20"/>
                <w:lang w:val="en-GB"/>
              </w:rPr>
            </m:ctrlPr>
          </m:sSubPr>
          <m:e>
            <m:r>
              <w:rPr>
                <w:rFonts w:ascii="Cambria Math" w:hAnsi="Cambria Math" w:cstheme="majorBidi"/>
                <w:sz w:val="20"/>
                <w:lang w:val="en-GB"/>
              </w:rPr>
              <m:t>∅</m:t>
            </m:r>
          </m:e>
          <m:sub>
            <m:r>
              <w:rPr>
                <w:rFonts w:ascii="Cambria Math" w:hAnsi="Cambria Math" w:cstheme="majorBidi"/>
                <w:sz w:val="20"/>
                <w:lang w:val="en-GB"/>
              </w:rPr>
              <m:t>0</m:t>
            </m:r>
          </m:sub>
        </m:sSub>
      </m:oMath>
    </w:p>
    <w:p w:rsidR="00210CBA" w:rsidRPr="00A94A71" w:rsidRDefault="00210CBA" w:rsidP="00884107">
      <w:pPr>
        <w:pStyle w:val="Equation"/>
        <w:tabs>
          <w:tab w:val="clear" w:pos="4820"/>
          <w:tab w:val="left" w:pos="851"/>
          <w:tab w:val="left" w:pos="2977"/>
          <w:tab w:val="left" w:pos="3544"/>
          <w:tab w:val="left" w:pos="4111"/>
        </w:tabs>
        <w:spacing w:before="0"/>
        <w:rPr>
          <w:lang w:val="en-GB"/>
        </w:rPr>
      </w:pPr>
      <w:r w:rsidRPr="00A94A71">
        <w:rPr>
          <w:iCs/>
          <w:sz w:val="20"/>
          <w:lang w:val="en-GB"/>
        </w:rPr>
        <w:tab/>
      </w:r>
      <m:oMath>
        <m:r>
          <m:rPr>
            <m:sty m:val="p"/>
          </m:rPr>
          <w:rPr>
            <w:rFonts w:ascii="Cambria Math" w:hAnsi="Cambria Math"/>
            <w:sz w:val="20"/>
            <w:lang w:val="en-GB"/>
          </w:rPr>
          <m:t>-42</m:t>
        </m:r>
      </m:oMath>
      <w:r w:rsidR="000C73C7" w:rsidRPr="00A94A71">
        <w:rPr>
          <w:lang w:val="en-GB"/>
        </w:rPr>
        <w:tab/>
      </w:r>
      <w:r w:rsidRPr="00A94A71">
        <w:rPr>
          <w:lang w:val="en-GB"/>
        </w:rPr>
        <w:t>for</w:t>
      </w:r>
      <w:r w:rsidRPr="00A94A71">
        <w:rPr>
          <w:lang w:val="en-GB"/>
        </w:rPr>
        <w:tab/>
      </w:r>
      <w:r w:rsidR="00884107" w:rsidRPr="00A94A71">
        <w:rPr>
          <w:lang w:val="en-GB"/>
        </w:rPr>
        <w:tab/>
      </w:r>
      <m:oMath>
        <m:r>
          <w:rPr>
            <w:rFonts w:ascii="Cambria Math" w:hAnsi="Cambria Math"/>
            <w:lang w:val="en-GB"/>
          </w:rPr>
          <m:t xml:space="preserve">    </m:t>
        </m:r>
        <m:r>
          <w:rPr>
            <w:rFonts w:ascii="Cambria Math" w:hAnsi="Cambria Math"/>
            <w:sz w:val="20"/>
            <w:lang w:val="en-GB"/>
          </w:rPr>
          <m:t>4</m:t>
        </m:r>
        <m:sSub>
          <m:sSubPr>
            <m:ctrlPr>
              <w:rPr>
                <w:rFonts w:ascii="Cambria Math" w:hAnsi="Cambria Math" w:cstheme="majorBidi"/>
                <w:i/>
                <w:sz w:val="20"/>
                <w:lang w:val="en-GB"/>
              </w:rPr>
            </m:ctrlPr>
          </m:sSubPr>
          <m:e>
            <m:r>
              <w:rPr>
                <w:rFonts w:ascii="Cambria Math" w:hAnsi="Cambria Math" w:cstheme="majorBidi"/>
                <w:sz w:val="20"/>
                <w:lang w:val="en-GB"/>
              </w:rPr>
              <m:t xml:space="preserve">  ∅</m:t>
            </m:r>
          </m:e>
          <m:sub>
            <m:r>
              <w:rPr>
                <w:rFonts w:ascii="Cambria Math" w:hAnsi="Cambria Math" w:cstheme="majorBidi"/>
                <w:sz w:val="20"/>
                <w:lang w:val="en-GB"/>
              </w:rPr>
              <m:t>0</m:t>
            </m:r>
          </m:sub>
        </m:sSub>
        <m:r>
          <w:rPr>
            <w:rFonts w:ascii="Cambria Math" w:hAnsi="Cambria Math" w:cstheme="majorBidi"/>
            <w:sz w:val="20"/>
            <w:lang w:val="en-GB"/>
          </w:rPr>
          <m:t>&lt;∅</m:t>
        </m:r>
      </m:oMath>
    </w:p>
    <w:p w:rsidR="00982AF1" w:rsidRDefault="00210CBA" w:rsidP="00982AF1">
      <w:pPr>
        <w:rPr>
          <w:lang w:val="en-GB" w:eastAsia="ja-JP"/>
        </w:rPr>
      </w:pPr>
      <w:r w:rsidRPr="00A94A71">
        <w:rPr>
          <w:lang w:val="en-GB" w:eastAsia="ja-JP"/>
        </w:rPr>
        <w:t>Example:</w:t>
      </w:r>
    </w:p>
    <w:p w:rsidR="00210CBA" w:rsidRPr="00A94A71" w:rsidRDefault="00210CBA" w:rsidP="00982AF1">
      <w:pPr>
        <w:rPr>
          <w:lang w:val="en-GB" w:eastAsia="ja-JP"/>
        </w:rPr>
      </w:pPr>
      <w:r w:rsidRPr="00A94A71">
        <w:rPr>
          <w:lang w:val="en-GB" w:eastAsia="ja-JP"/>
        </w:rPr>
        <w:t xml:space="preserve">The alternative BSS earth station antenna radiation pattern with </w:t>
      </w:r>
      <w:r w:rsidRPr="00A94A71">
        <w:rPr>
          <w:i/>
          <w:iCs/>
          <w:lang w:val="en-GB" w:eastAsia="ja-JP"/>
        </w:rPr>
        <w:t>D</w:t>
      </w:r>
      <w:r w:rsidR="00C626D4" w:rsidRPr="00A94A71">
        <w:rPr>
          <w:lang w:val="en-GB" w:eastAsia="ja-JP"/>
        </w:rPr>
        <w:t xml:space="preserve"> </w:t>
      </w:r>
      <w:r w:rsidRPr="00A94A71">
        <w:rPr>
          <w:lang w:val="en-GB" w:eastAsia="ja-JP"/>
        </w:rPr>
        <w:t>=</w:t>
      </w:r>
      <w:r w:rsidR="00C626D4" w:rsidRPr="00A94A71">
        <w:rPr>
          <w:lang w:val="en-GB" w:eastAsia="ja-JP"/>
        </w:rPr>
        <w:t xml:space="preserve"> </w:t>
      </w:r>
      <w:r w:rsidR="00CF2EBE">
        <w:rPr>
          <w:lang w:val="en-GB" w:eastAsia="ja-JP"/>
        </w:rPr>
        <w:t>0.7 m is given in Fig.</w:t>
      </w:r>
      <w:r w:rsidRPr="00A94A71">
        <w:rPr>
          <w:lang w:val="en-GB" w:eastAsia="ja-JP"/>
        </w:rPr>
        <w:t xml:space="preserve"> 1.</w:t>
      </w:r>
    </w:p>
    <w:p w:rsidR="00210CBA" w:rsidRPr="00A94A71" w:rsidRDefault="00210CBA" w:rsidP="00D56F5A">
      <w:pPr>
        <w:pStyle w:val="FigureNo"/>
        <w:spacing w:after="160"/>
        <w:rPr>
          <w:lang w:val="en-GB"/>
        </w:rPr>
      </w:pPr>
      <w:r w:rsidRPr="00A94A71">
        <w:rPr>
          <w:lang w:val="en-GB"/>
        </w:rPr>
        <w:t>FIGURE 1</w:t>
      </w:r>
    </w:p>
    <w:p w:rsidR="00210CBA" w:rsidRPr="00A94A71" w:rsidRDefault="00914E04" w:rsidP="0054406D">
      <w:pPr>
        <w:pStyle w:val="Figure"/>
        <w:rPr>
          <w:lang w:val="en-GB"/>
        </w:rPr>
      </w:pPr>
      <w:r>
        <w:rPr>
          <w:noProof/>
          <w:lang w:val="en-US" w:eastAsia="zh-CN"/>
        </w:rPr>
        <w:object w:dxaOrig="5061" w:dyaOrig="38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309.5pt;height:238.05pt" o:ole="">
            <v:imagedata r:id="rId13" o:title=""/>
          </v:shape>
          <o:OLEObject Type="Embed" ProgID="CorelDRAW.Graphic.14" ShapeID="_x0000_i1033" DrawAspect="Content" ObjectID="_1474376413" r:id="rId14"/>
        </w:object>
      </w:r>
    </w:p>
    <w:p w:rsidR="00B874C6" w:rsidRPr="00A94A71" w:rsidRDefault="00B874C6" w:rsidP="00982AF1">
      <w:pPr>
        <w:pStyle w:val="Line"/>
      </w:pPr>
      <w:bookmarkStart w:id="3" w:name="_GoBack"/>
      <w:bookmarkEnd w:id="3"/>
    </w:p>
    <w:sectPr w:rsidR="00B874C6" w:rsidRPr="00A94A71"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7887" w:rsidRDefault="00697887">
      <w:r>
        <w:separator/>
      </w:r>
    </w:p>
  </w:endnote>
  <w:endnote w:type="continuationSeparator" w:id="0">
    <w:p w:rsidR="00697887" w:rsidRDefault="006978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7887" w:rsidRDefault="00697887">
      <w:r>
        <w:separator/>
      </w:r>
    </w:p>
  </w:footnote>
  <w:footnote w:type="continuationSeparator" w:id="0">
    <w:p w:rsidR="00697887" w:rsidRDefault="006978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164E" w:rsidRDefault="001B164E">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164E" w:rsidRDefault="00571B1C"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164E" w:rsidRDefault="006C37D5">
    <w:pPr>
      <w:pStyle w:val="Header"/>
      <w:jc w:val="left"/>
      <w:rPr>
        <w:lang w:val="en-US"/>
      </w:rPr>
    </w:pPr>
    <w:r>
      <w:rPr>
        <w:rStyle w:val="PageNumber"/>
        <w:b/>
        <w:bCs/>
      </w:rPr>
      <w:fldChar w:fldCharType="begin"/>
    </w:r>
    <w:r w:rsidR="001B164E">
      <w:rPr>
        <w:rStyle w:val="PageNumber"/>
        <w:b/>
        <w:bCs/>
        <w:lang w:val="en-US"/>
      </w:rPr>
      <w:instrText xml:space="preserve"> PAGE </w:instrText>
    </w:r>
    <w:r>
      <w:rPr>
        <w:rStyle w:val="PageNumber"/>
        <w:b/>
        <w:bCs/>
      </w:rPr>
      <w:fldChar w:fldCharType="separate"/>
    </w:r>
    <w:r w:rsidR="00FD65F7">
      <w:rPr>
        <w:rStyle w:val="PageNumber"/>
        <w:b/>
        <w:bCs/>
        <w:noProof/>
        <w:lang w:val="en-US"/>
      </w:rPr>
      <w:t>2</w:t>
    </w:r>
    <w:r>
      <w:rPr>
        <w:rStyle w:val="PageNumber"/>
        <w:b/>
        <w:bCs/>
      </w:rPr>
      <w:fldChar w:fldCharType="end"/>
    </w:r>
    <w:r w:rsidR="001B164E">
      <w:rPr>
        <w:lang w:val="en-US"/>
      </w:rPr>
      <w:tab/>
    </w:r>
    <w:r w:rsidR="00FD65F7">
      <w:fldChar w:fldCharType="begin"/>
    </w:r>
    <w:r w:rsidR="00FD65F7">
      <w:instrText xml:space="preserve"> DOCPROPERTY "Header" \* MERGEFORMAT </w:instrText>
    </w:r>
    <w:r w:rsidR="00FD65F7">
      <w:fldChar w:fldCharType="separate"/>
    </w:r>
    <w:r w:rsidR="00FD65F7" w:rsidRPr="00FD65F7">
      <w:rPr>
        <w:b/>
        <w:bCs/>
        <w:lang w:val="en-US"/>
      </w:rPr>
      <w:t xml:space="preserve">Rec. </w:t>
    </w:r>
    <w:r w:rsidR="00FD65F7">
      <w:rPr>
        <w:b/>
        <w:bCs/>
        <w:lang w:val="en-US"/>
      </w:rPr>
      <w:fldChar w:fldCharType="end"/>
    </w:r>
    <w:r w:rsidR="001B164E">
      <w:rPr>
        <w:b/>
        <w:bCs/>
      </w:rPr>
      <w:t xml:space="preserve"> </w:t>
    </w:r>
    <w:r>
      <w:rPr>
        <w:b/>
        <w:bCs/>
      </w:rPr>
      <w:fldChar w:fldCharType="begin"/>
    </w:r>
    <w:r w:rsidR="001B164E">
      <w:rPr>
        <w:b/>
        <w:bCs/>
        <w:lang w:val="en-US"/>
      </w:rPr>
      <w:instrText>styleref href</w:instrText>
    </w:r>
    <w:r>
      <w:rPr>
        <w:b/>
        <w:bCs/>
      </w:rPr>
      <w:fldChar w:fldCharType="separate"/>
    </w:r>
    <w:r w:rsidR="00FD65F7">
      <w:rPr>
        <w:b/>
        <w:bCs/>
        <w:noProof/>
      </w:rPr>
      <w:t>ITU-R  BO.2063-0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164E" w:rsidRDefault="001B164E">
    <w:pPr>
      <w:pStyle w:val="Header"/>
    </w:pPr>
    <w:r>
      <w:tab/>
    </w:r>
    <w:r w:rsidR="00FD65F7">
      <w:fldChar w:fldCharType="begin"/>
    </w:r>
    <w:r w:rsidR="00FD65F7">
      <w:instrText xml:space="preserve"> DOCPROPERTY "Header" \* MERGEFORMAT </w:instrText>
    </w:r>
    <w:r w:rsidR="00FD65F7">
      <w:fldChar w:fldCharType="separate"/>
    </w:r>
    <w:r w:rsidR="00FD65F7" w:rsidRPr="00FD65F7">
      <w:rPr>
        <w:b/>
        <w:bCs/>
      </w:rPr>
      <w:t xml:space="preserve">Rec. </w:t>
    </w:r>
    <w:r w:rsidR="00FD65F7">
      <w:rPr>
        <w:b/>
        <w:bCs/>
      </w:rPr>
      <w:fldChar w:fldCharType="end"/>
    </w:r>
    <w:r>
      <w:rPr>
        <w:b/>
        <w:bCs/>
      </w:rPr>
      <w:t xml:space="preserve"> </w:t>
    </w:r>
    <w:r w:rsidR="006C37D5">
      <w:rPr>
        <w:b/>
        <w:bCs/>
      </w:rPr>
      <w:fldChar w:fldCharType="begin"/>
    </w:r>
    <w:r>
      <w:rPr>
        <w:b/>
        <w:bCs/>
      </w:rPr>
      <w:instrText>styleref href</w:instrText>
    </w:r>
    <w:r w:rsidR="006C37D5">
      <w:rPr>
        <w:b/>
        <w:bCs/>
      </w:rPr>
      <w:fldChar w:fldCharType="separate"/>
    </w:r>
    <w:r w:rsidR="00FD65F7">
      <w:rPr>
        <w:b/>
        <w:bCs/>
        <w:noProof/>
      </w:rPr>
      <w:t>ITU-R  BO.2063-0</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FD65F7">
      <w:rPr>
        <w:rStyle w:val="PageNumber"/>
        <w:b/>
        <w:bCs/>
        <w:noProof/>
      </w:rPr>
      <w:t>3</w:t>
    </w:r>
    <w:r w:rsidR="006C37D5">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3584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0AB1"/>
    <w:rsid w:val="00013002"/>
    <w:rsid w:val="00036EE3"/>
    <w:rsid w:val="00072484"/>
    <w:rsid w:val="00095530"/>
    <w:rsid w:val="00096612"/>
    <w:rsid w:val="000B7683"/>
    <w:rsid w:val="000C73C7"/>
    <w:rsid w:val="000D0677"/>
    <w:rsid w:val="000E6A6E"/>
    <w:rsid w:val="00102934"/>
    <w:rsid w:val="00147110"/>
    <w:rsid w:val="00147658"/>
    <w:rsid w:val="001511A6"/>
    <w:rsid w:val="001B164E"/>
    <w:rsid w:val="001B7886"/>
    <w:rsid w:val="001F38BB"/>
    <w:rsid w:val="002058CE"/>
    <w:rsid w:val="00210CBA"/>
    <w:rsid w:val="002165F1"/>
    <w:rsid w:val="002215DE"/>
    <w:rsid w:val="00276D21"/>
    <w:rsid w:val="00296D7F"/>
    <w:rsid w:val="002B3CF6"/>
    <w:rsid w:val="002C768A"/>
    <w:rsid w:val="002D76C4"/>
    <w:rsid w:val="002F5199"/>
    <w:rsid w:val="003157F1"/>
    <w:rsid w:val="00356B5D"/>
    <w:rsid w:val="003822D0"/>
    <w:rsid w:val="00420DFD"/>
    <w:rsid w:val="00430BDD"/>
    <w:rsid w:val="00437A76"/>
    <w:rsid w:val="00451E0C"/>
    <w:rsid w:val="00470E28"/>
    <w:rsid w:val="004934C5"/>
    <w:rsid w:val="004F6713"/>
    <w:rsid w:val="0054406D"/>
    <w:rsid w:val="00551874"/>
    <w:rsid w:val="00556548"/>
    <w:rsid w:val="00571B1C"/>
    <w:rsid w:val="00586EF8"/>
    <w:rsid w:val="005B49AB"/>
    <w:rsid w:val="005B50E7"/>
    <w:rsid w:val="005E23F2"/>
    <w:rsid w:val="005E7B4F"/>
    <w:rsid w:val="00601882"/>
    <w:rsid w:val="00607D68"/>
    <w:rsid w:val="00613212"/>
    <w:rsid w:val="006149B1"/>
    <w:rsid w:val="00655D42"/>
    <w:rsid w:val="00661444"/>
    <w:rsid w:val="0067728D"/>
    <w:rsid w:val="00680D2B"/>
    <w:rsid w:val="00681B32"/>
    <w:rsid w:val="00697887"/>
    <w:rsid w:val="006B1D2B"/>
    <w:rsid w:val="006C37D5"/>
    <w:rsid w:val="006E1131"/>
    <w:rsid w:val="006E2037"/>
    <w:rsid w:val="006E6199"/>
    <w:rsid w:val="00712870"/>
    <w:rsid w:val="00743D85"/>
    <w:rsid w:val="00753CF4"/>
    <w:rsid w:val="007565CC"/>
    <w:rsid w:val="00757437"/>
    <w:rsid w:val="00763B9A"/>
    <w:rsid w:val="0077449C"/>
    <w:rsid w:val="007A6AA8"/>
    <w:rsid w:val="007B1357"/>
    <w:rsid w:val="008310C9"/>
    <w:rsid w:val="00853CC5"/>
    <w:rsid w:val="00877E6E"/>
    <w:rsid w:val="00884107"/>
    <w:rsid w:val="008C7848"/>
    <w:rsid w:val="00906589"/>
    <w:rsid w:val="00906AD6"/>
    <w:rsid w:val="00914E04"/>
    <w:rsid w:val="00917AF2"/>
    <w:rsid w:val="0092418A"/>
    <w:rsid w:val="00934ED7"/>
    <w:rsid w:val="009543C3"/>
    <w:rsid w:val="00966E1B"/>
    <w:rsid w:val="00982AF1"/>
    <w:rsid w:val="009947C0"/>
    <w:rsid w:val="009A41F9"/>
    <w:rsid w:val="009F2D2C"/>
    <w:rsid w:val="00A31928"/>
    <w:rsid w:val="00A62A14"/>
    <w:rsid w:val="00A6617B"/>
    <w:rsid w:val="00A71FE5"/>
    <w:rsid w:val="00A82F4F"/>
    <w:rsid w:val="00A936CB"/>
    <w:rsid w:val="00A94A71"/>
    <w:rsid w:val="00A94DB7"/>
    <w:rsid w:val="00A971A1"/>
    <w:rsid w:val="00AA3AD8"/>
    <w:rsid w:val="00AB0DC8"/>
    <w:rsid w:val="00B019A2"/>
    <w:rsid w:val="00B0286E"/>
    <w:rsid w:val="00B033C8"/>
    <w:rsid w:val="00B33425"/>
    <w:rsid w:val="00B44E24"/>
    <w:rsid w:val="00B53B77"/>
    <w:rsid w:val="00B54ECC"/>
    <w:rsid w:val="00B60AC0"/>
    <w:rsid w:val="00B714F3"/>
    <w:rsid w:val="00B751B1"/>
    <w:rsid w:val="00B7572A"/>
    <w:rsid w:val="00B874C6"/>
    <w:rsid w:val="00B87B6B"/>
    <w:rsid w:val="00BC5D77"/>
    <w:rsid w:val="00BF487A"/>
    <w:rsid w:val="00C46BD9"/>
    <w:rsid w:val="00C55258"/>
    <w:rsid w:val="00C626D4"/>
    <w:rsid w:val="00C73560"/>
    <w:rsid w:val="00CB0F14"/>
    <w:rsid w:val="00CD659B"/>
    <w:rsid w:val="00CE0A43"/>
    <w:rsid w:val="00CF2EBE"/>
    <w:rsid w:val="00D14295"/>
    <w:rsid w:val="00D16F88"/>
    <w:rsid w:val="00D56F5A"/>
    <w:rsid w:val="00D61962"/>
    <w:rsid w:val="00D8047C"/>
    <w:rsid w:val="00D83556"/>
    <w:rsid w:val="00DF4176"/>
    <w:rsid w:val="00E17240"/>
    <w:rsid w:val="00E74595"/>
    <w:rsid w:val="00E77485"/>
    <w:rsid w:val="00EB7C57"/>
    <w:rsid w:val="00ED2695"/>
    <w:rsid w:val="00EE04BA"/>
    <w:rsid w:val="00EE4302"/>
    <w:rsid w:val="00F30C9B"/>
    <w:rsid w:val="00F354B1"/>
    <w:rsid w:val="00F7403E"/>
    <w:rsid w:val="00F92A40"/>
    <w:rsid w:val="00FB0E4E"/>
    <w:rsid w:val="00FD65F7"/>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1">
      <o:colormru v:ext="edit" colors="#d62a47"/>
      <o:colormenu v:ext="edit" strokecolor="#d62a47"/>
    </o:shapedefaults>
    <o:shapelayout v:ext="edit">
      <o:idmap v:ext="edit" data="1"/>
    </o:shapelayout>
  </w:shapeDefaults>
  <w:decimalSymbol w:val="."/>
  <w:listSeparator w:val=";"/>
  <w15:docId w15:val="{A4228436-777D-415F-A8FD-AB0BF1DF1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0CB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A936CB"/>
    <w:pPr>
      <w:keepNext/>
      <w:keepLines/>
      <w:spacing w:before="480"/>
      <w:ind w:left="794" w:hanging="794"/>
      <w:outlineLvl w:val="0"/>
    </w:pPr>
    <w:rPr>
      <w:b/>
    </w:rPr>
  </w:style>
  <w:style w:type="paragraph" w:styleId="Heading2">
    <w:name w:val="heading 2"/>
    <w:basedOn w:val="Heading1"/>
    <w:next w:val="Normal"/>
    <w:qFormat/>
    <w:rsid w:val="00A936CB"/>
    <w:pPr>
      <w:spacing w:before="320"/>
      <w:outlineLvl w:val="1"/>
    </w:pPr>
  </w:style>
  <w:style w:type="paragraph" w:styleId="Heading3">
    <w:name w:val="heading 3"/>
    <w:basedOn w:val="Heading1"/>
    <w:next w:val="Normal"/>
    <w:qFormat/>
    <w:rsid w:val="00A936CB"/>
    <w:pPr>
      <w:spacing w:before="200"/>
      <w:outlineLvl w:val="2"/>
    </w:pPr>
  </w:style>
  <w:style w:type="paragraph" w:styleId="Heading4">
    <w:name w:val="heading 4"/>
    <w:basedOn w:val="Heading3"/>
    <w:next w:val="Normal"/>
    <w:qFormat/>
    <w:rsid w:val="00A936CB"/>
    <w:pPr>
      <w:tabs>
        <w:tab w:val="clear" w:pos="794"/>
        <w:tab w:val="left" w:pos="992"/>
      </w:tabs>
      <w:ind w:left="992" w:hanging="992"/>
      <w:outlineLvl w:val="3"/>
    </w:pPr>
  </w:style>
  <w:style w:type="paragraph" w:styleId="Heading5">
    <w:name w:val="heading 5"/>
    <w:basedOn w:val="Heading4"/>
    <w:next w:val="Normal"/>
    <w:qFormat/>
    <w:rsid w:val="00A936CB"/>
    <w:pPr>
      <w:outlineLvl w:val="4"/>
    </w:pPr>
  </w:style>
  <w:style w:type="paragraph" w:styleId="Heading6">
    <w:name w:val="heading 6"/>
    <w:basedOn w:val="Heading4"/>
    <w:next w:val="Normal"/>
    <w:qFormat/>
    <w:rsid w:val="00A936CB"/>
    <w:pPr>
      <w:tabs>
        <w:tab w:val="clear" w:pos="992"/>
        <w:tab w:val="clear" w:pos="1191"/>
      </w:tabs>
      <w:ind w:left="1588" w:hanging="1588"/>
      <w:outlineLvl w:val="5"/>
    </w:pPr>
  </w:style>
  <w:style w:type="paragraph" w:styleId="Heading7">
    <w:name w:val="heading 7"/>
    <w:basedOn w:val="Heading6"/>
    <w:next w:val="Normal"/>
    <w:qFormat/>
    <w:rsid w:val="00A936CB"/>
    <w:pPr>
      <w:outlineLvl w:val="6"/>
    </w:pPr>
  </w:style>
  <w:style w:type="paragraph" w:styleId="Heading8">
    <w:name w:val="heading 8"/>
    <w:basedOn w:val="Heading6"/>
    <w:next w:val="Normal"/>
    <w:qFormat/>
    <w:rsid w:val="00A936CB"/>
    <w:pPr>
      <w:outlineLvl w:val="7"/>
    </w:pPr>
  </w:style>
  <w:style w:type="paragraph" w:styleId="Heading9">
    <w:name w:val="heading 9"/>
    <w:basedOn w:val="Heading6"/>
    <w:next w:val="Normal"/>
    <w:qFormat/>
    <w:rsid w:val="00A936C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936C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A936C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936CB"/>
  </w:style>
  <w:style w:type="paragraph" w:customStyle="1" w:styleId="Headingb">
    <w:name w:val="Heading_b"/>
    <w:basedOn w:val="Heading3"/>
    <w:next w:val="Normal"/>
    <w:link w:val="HeadingbChar"/>
    <w:qFormat/>
    <w:rsid w:val="00A936CB"/>
    <w:pPr>
      <w:spacing w:before="160"/>
      <w:ind w:left="0" w:firstLine="0"/>
      <w:outlineLvl w:val="9"/>
    </w:pPr>
  </w:style>
  <w:style w:type="paragraph" w:customStyle="1" w:styleId="Headingi">
    <w:name w:val="Heading_i"/>
    <w:basedOn w:val="Heading3"/>
    <w:next w:val="Normal"/>
    <w:rsid w:val="00A936CB"/>
    <w:pPr>
      <w:spacing w:before="160"/>
      <w:ind w:left="0" w:firstLine="0"/>
    </w:pPr>
    <w:rPr>
      <w:b w:val="0"/>
      <w:i/>
    </w:rPr>
  </w:style>
  <w:style w:type="character" w:customStyle="1" w:styleId="href">
    <w:name w:val="href"/>
    <w:basedOn w:val="DefaultParagraphFont"/>
    <w:rsid w:val="00A936CB"/>
  </w:style>
  <w:style w:type="paragraph" w:customStyle="1" w:styleId="AnnexNoTitle">
    <w:name w:val="Annex_NoTitle"/>
    <w:basedOn w:val="Normal"/>
    <w:next w:val="Normalaftertitle"/>
    <w:rsid w:val="00A936CB"/>
    <w:pPr>
      <w:keepNext/>
      <w:keepLines/>
      <w:spacing w:before="480" w:after="80"/>
      <w:jc w:val="center"/>
    </w:pPr>
    <w:rPr>
      <w:b/>
      <w:sz w:val="28"/>
    </w:rPr>
  </w:style>
  <w:style w:type="paragraph" w:customStyle="1" w:styleId="Normalaftertitle">
    <w:name w:val="Normal_after_title"/>
    <w:basedOn w:val="Normal"/>
    <w:next w:val="Normal"/>
    <w:uiPriority w:val="99"/>
    <w:rsid w:val="00A936CB"/>
    <w:pPr>
      <w:spacing w:before="320"/>
    </w:pPr>
  </w:style>
  <w:style w:type="paragraph" w:customStyle="1" w:styleId="enumlev2">
    <w:name w:val="enumlev2"/>
    <w:basedOn w:val="enumlev1"/>
    <w:rsid w:val="00A936CB"/>
    <w:pPr>
      <w:ind w:left="1191" w:hanging="397"/>
    </w:pPr>
  </w:style>
  <w:style w:type="paragraph" w:customStyle="1" w:styleId="enumlev1">
    <w:name w:val="enumlev1"/>
    <w:basedOn w:val="Normal"/>
    <w:rsid w:val="00A936CB"/>
    <w:pPr>
      <w:spacing w:before="80"/>
      <w:ind w:left="794" w:hanging="794"/>
    </w:pPr>
  </w:style>
  <w:style w:type="paragraph" w:customStyle="1" w:styleId="enumlev3">
    <w:name w:val="enumlev3"/>
    <w:basedOn w:val="enumlev2"/>
    <w:rsid w:val="00A936CB"/>
    <w:pPr>
      <w:ind w:left="1588"/>
    </w:pPr>
  </w:style>
  <w:style w:type="paragraph" w:customStyle="1" w:styleId="Note">
    <w:name w:val="Note"/>
    <w:basedOn w:val="Normal"/>
    <w:rsid w:val="00A936C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936C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A936CB"/>
    <w:pPr>
      <w:keepNext/>
      <w:keepLines/>
      <w:spacing w:before="240"/>
      <w:jc w:val="center"/>
    </w:pPr>
    <w:rPr>
      <w:b/>
      <w:sz w:val="28"/>
    </w:rPr>
  </w:style>
  <w:style w:type="paragraph" w:customStyle="1" w:styleId="Recref">
    <w:name w:val="Rec_ref"/>
    <w:basedOn w:val="Normal"/>
    <w:next w:val="Recdate"/>
    <w:rsid w:val="00A936CB"/>
    <w:pPr>
      <w:jc w:val="center"/>
    </w:pPr>
  </w:style>
  <w:style w:type="paragraph" w:customStyle="1" w:styleId="Recdate">
    <w:name w:val="Rec_date"/>
    <w:basedOn w:val="Recref"/>
    <w:next w:val="Normalaftertitle"/>
    <w:rsid w:val="00A936CB"/>
    <w:pPr>
      <w:jc w:val="right"/>
    </w:pPr>
  </w:style>
  <w:style w:type="paragraph" w:customStyle="1" w:styleId="HeadingSum">
    <w:name w:val="Heading_Sum"/>
    <w:basedOn w:val="Headingb"/>
    <w:next w:val="Normal"/>
    <w:autoRedefine/>
    <w:rsid w:val="00EE4302"/>
    <w:pPr>
      <w:spacing w:before="240"/>
    </w:pPr>
    <w:rPr>
      <w:sz w:val="22"/>
      <w:lang w:val="es-ES_tradnl"/>
    </w:rPr>
  </w:style>
  <w:style w:type="paragraph" w:customStyle="1" w:styleId="AppendixNoTitle">
    <w:name w:val="Appendix_NoTitle"/>
    <w:basedOn w:val="AnnexNoTitle"/>
    <w:next w:val="Normal"/>
    <w:rsid w:val="00A936CB"/>
  </w:style>
  <w:style w:type="paragraph" w:customStyle="1" w:styleId="Tablefin">
    <w:name w:val="Table_fin"/>
    <w:basedOn w:val="Normal"/>
    <w:next w:val="Normal"/>
    <w:rsid w:val="00A936CB"/>
    <w:pPr>
      <w:spacing w:before="0"/>
    </w:pPr>
    <w:rPr>
      <w:sz w:val="20"/>
      <w:lang w:val="en-GB"/>
    </w:rPr>
  </w:style>
  <w:style w:type="paragraph" w:customStyle="1" w:styleId="Tablehead">
    <w:name w:val="Table_head"/>
    <w:basedOn w:val="Normal"/>
    <w:next w:val="Normal"/>
    <w:rsid w:val="00A936C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A936CB"/>
    <w:pPr>
      <w:keepNext/>
      <w:spacing w:before="360" w:after="120"/>
      <w:jc w:val="center"/>
    </w:pPr>
  </w:style>
  <w:style w:type="paragraph" w:customStyle="1" w:styleId="Tabletext">
    <w:name w:val="Table_text"/>
    <w:basedOn w:val="Normal"/>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936CB"/>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rsid w:val="00A936C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936CB"/>
    <w:pPr>
      <w:ind w:left="794"/>
    </w:pPr>
  </w:style>
  <w:style w:type="paragraph" w:customStyle="1" w:styleId="Figurelegend">
    <w:name w:val="Figure_legend"/>
    <w:basedOn w:val="Normal"/>
    <w:rsid w:val="00A936C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uiPriority w:val="99"/>
    <w:rsid w:val="00A936CB"/>
    <w:pPr>
      <w:keepNext/>
      <w:keepLines/>
      <w:spacing w:before="480" w:after="80"/>
      <w:jc w:val="center"/>
    </w:pPr>
    <w:rPr>
      <w:caps/>
      <w:sz w:val="18"/>
    </w:rPr>
  </w:style>
  <w:style w:type="paragraph" w:customStyle="1" w:styleId="Figuretitle">
    <w:name w:val="Figure_title"/>
    <w:basedOn w:val="Normal"/>
    <w:next w:val="Figure"/>
    <w:rsid w:val="00A936CB"/>
    <w:pPr>
      <w:keepNext/>
      <w:spacing w:before="0" w:after="120"/>
      <w:jc w:val="center"/>
    </w:pPr>
    <w:rPr>
      <w:rFonts w:ascii="Times New Roman Bold" w:hAnsi="Times New Roman Bold"/>
      <w:b/>
      <w:sz w:val="18"/>
    </w:rPr>
  </w:style>
  <w:style w:type="paragraph" w:customStyle="1" w:styleId="Figure">
    <w:name w:val="Figure"/>
    <w:basedOn w:val="FigureNo"/>
    <w:next w:val="Normal"/>
    <w:rsid w:val="00A936CB"/>
    <w:pPr>
      <w:keepNext w:val="0"/>
      <w:spacing w:before="0" w:after="240"/>
    </w:pPr>
  </w:style>
  <w:style w:type="paragraph" w:customStyle="1" w:styleId="tocpart">
    <w:name w:val="tocpart"/>
    <w:basedOn w:val="Normal"/>
    <w:rsid w:val="00A936C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936CB"/>
    <w:pPr>
      <w:keepNext/>
      <w:keepLines/>
      <w:spacing w:before="480"/>
      <w:jc w:val="center"/>
    </w:pPr>
    <w:rPr>
      <w:sz w:val="28"/>
    </w:rPr>
  </w:style>
  <w:style w:type="paragraph" w:customStyle="1" w:styleId="Arttitle">
    <w:name w:val="Art_title"/>
    <w:basedOn w:val="Normal"/>
    <w:next w:val="Normalaftertitle"/>
    <w:rsid w:val="00A936CB"/>
    <w:pPr>
      <w:keepNext/>
      <w:keepLines/>
      <w:spacing w:before="240"/>
      <w:jc w:val="center"/>
    </w:pPr>
    <w:rPr>
      <w:b/>
      <w:sz w:val="28"/>
    </w:rPr>
  </w:style>
  <w:style w:type="paragraph" w:customStyle="1" w:styleId="Blanc">
    <w:name w:val="Blanc"/>
    <w:basedOn w:val="Normal"/>
    <w:next w:val="Tabletext"/>
    <w:rsid w:val="00A936C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936C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rsid w:val="00A936CB"/>
    <w:pPr>
      <w:keepNext/>
      <w:keepLines/>
      <w:spacing w:before="160"/>
      <w:ind w:left="794"/>
    </w:pPr>
    <w:rPr>
      <w:i/>
    </w:rPr>
  </w:style>
  <w:style w:type="paragraph" w:customStyle="1" w:styleId="ChapNo">
    <w:name w:val="Chap_No"/>
    <w:basedOn w:val="ArtNo"/>
    <w:next w:val="Chaptitle"/>
    <w:rsid w:val="00A936CB"/>
    <w:rPr>
      <w:b/>
    </w:rPr>
  </w:style>
  <w:style w:type="paragraph" w:customStyle="1" w:styleId="Chaptitle">
    <w:name w:val="Chap_title"/>
    <w:basedOn w:val="Arttitle"/>
    <w:next w:val="Normalaftertitle"/>
    <w:rsid w:val="00A936CB"/>
  </w:style>
  <w:style w:type="character" w:styleId="FootnoteReference">
    <w:name w:val="footnote reference"/>
    <w:basedOn w:val="DefaultParagraphFont"/>
    <w:semiHidden/>
    <w:rsid w:val="00A936CB"/>
    <w:rPr>
      <w:position w:val="6"/>
      <w:sz w:val="18"/>
    </w:rPr>
  </w:style>
  <w:style w:type="paragraph" w:styleId="FootnoteText">
    <w:name w:val="footnote text"/>
    <w:basedOn w:val="Normal"/>
    <w:semiHidden/>
    <w:rsid w:val="00A936CB"/>
    <w:pPr>
      <w:keepLines/>
      <w:tabs>
        <w:tab w:val="left" w:pos="255"/>
      </w:tabs>
      <w:ind w:left="255" w:hanging="255"/>
    </w:pPr>
    <w:rPr>
      <w:sz w:val="22"/>
    </w:rPr>
  </w:style>
  <w:style w:type="paragraph" w:styleId="Index1">
    <w:name w:val="index 1"/>
    <w:basedOn w:val="Normal"/>
    <w:next w:val="Normal"/>
    <w:semiHidden/>
    <w:rsid w:val="00A936CB"/>
  </w:style>
  <w:style w:type="paragraph" w:styleId="Index2">
    <w:name w:val="index 2"/>
    <w:basedOn w:val="Normal"/>
    <w:next w:val="Normal"/>
    <w:semiHidden/>
    <w:rsid w:val="00A936CB"/>
    <w:pPr>
      <w:ind w:left="283"/>
    </w:pPr>
  </w:style>
  <w:style w:type="paragraph" w:styleId="Index3">
    <w:name w:val="index 3"/>
    <w:basedOn w:val="Normal"/>
    <w:next w:val="Normal"/>
    <w:semiHidden/>
    <w:rsid w:val="00A936CB"/>
    <w:pPr>
      <w:ind w:left="566"/>
    </w:pPr>
  </w:style>
  <w:style w:type="paragraph" w:styleId="IndexHeading">
    <w:name w:val="index heading"/>
    <w:basedOn w:val="Normal"/>
    <w:next w:val="Index1"/>
    <w:semiHidden/>
    <w:rsid w:val="00A936CB"/>
  </w:style>
  <w:style w:type="paragraph" w:customStyle="1" w:styleId="Line">
    <w:name w:val="Line"/>
    <w:basedOn w:val="Normal"/>
    <w:next w:val="Normal"/>
    <w:rsid w:val="00A936C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936C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936CB"/>
  </w:style>
  <w:style w:type="paragraph" w:customStyle="1" w:styleId="Partref">
    <w:name w:val="Part_ref"/>
    <w:basedOn w:val="Normal"/>
    <w:next w:val="Normal"/>
    <w:rsid w:val="00A936CB"/>
    <w:pPr>
      <w:keepNext/>
      <w:keepLines/>
      <w:spacing w:after="280"/>
      <w:jc w:val="center"/>
    </w:pPr>
  </w:style>
  <w:style w:type="paragraph" w:customStyle="1" w:styleId="Parttitle">
    <w:name w:val="Part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936CB"/>
  </w:style>
  <w:style w:type="paragraph" w:customStyle="1" w:styleId="QuestionNo">
    <w:name w:val="Question_No"/>
    <w:basedOn w:val="RecNo"/>
    <w:next w:val="Normal"/>
    <w:rsid w:val="00A936CB"/>
  </w:style>
  <w:style w:type="paragraph" w:customStyle="1" w:styleId="Questionref">
    <w:name w:val="Question_ref"/>
    <w:basedOn w:val="Recref"/>
    <w:next w:val="Questiondate"/>
    <w:rsid w:val="00A936CB"/>
  </w:style>
  <w:style w:type="paragraph" w:customStyle="1" w:styleId="Questiontitle">
    <w:name w:val="Question_title"/>
    <w:basedOn w:val="Normal"/>
    <w:next w:val="Questionref"/>
    <w:rsid w:val="00A936CB"/>
  </w:style>
  <w:style w:type="paragraph" w:customStyle="1" w:styleId="Reftext">
    <w:name w:val="Ref_text"/>
    <w:basedOn w:val="Normal"/>
    <w:rsid w:val="003822D0"/>
    <w:pPr>
      <w:ind w:left="794" w:hanging="794"/>
    </w:pPr>
  </w:style>
  <w:style w:type="paragraph" w:customStyle="1" w:styleId="Reftitle">
    <w:name w:val="Ref_title"/>
    <w:basedOn w:val="Normal"/>
    <w:next w:val="Reftext"/>
    <w:rsid w:val="00A936C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936CB"/>
  </w:style>
  <w:style w:type="paragraph" w:customStyle="1" w:styleId="RepNo">
    <w:name w:val="Rep_No"/>
    <w:basedOn w:val="RecNo"/>
    <w:next w:val="Reptitle"/>
    <w:rsid w:val="00A936CB"/>
  </w:style>
  <w:style w:type="paragraph" w:customStyle="1" w:styleId="Reptitle">
    <w:name w:val="Rep_title"/>
    <w:basedOn w:val="Rectitle"/>
    <w:next w:val="Repref"/>
    <w:rsid w:val="00A936CB"/>
  </w:style>
  <w:style w:type="paragraph" w:customStyle="1" w:styleId="Repref">
    <w:name w:val="Rep_ref"/>
    <w:basedOn w:val="Recref"/>
    <w:next w:val="Repdate"/>
    <w:rsid w:val="00A936CB"/>
  </w:style>
  <w:style w:type="paragraph" w:customStyle="1" w:styleId="Resdate">
    <w:name w:val="Res_date"/>
    <w:basedOn w:val="Recdate"/>
    <w:next w:val="Normalaftertitle"/>
    <w:rsid w:val="00A936CB"/>
  </w:style>
  <w:style w:type="paragraph" w:customStyle="1" w:styleId="ResNo">
    <w:name w:val="Res_No"/>
    <w:basedOn w:val="RecNo"/>
    <w:next w:val="Restitle"/>
    <w:rsid w:val="00A936CB"/>
  </w:style>
  <w:style w:type="paragraph" w:customStyle="1" w:styleId="Restitle">
    <w:name w:val="Res_title"/>
    <w:basedOn w:val="Normal"/>
    <w:next w:val="Resref"/>
    <w:rsid w:val="00A936CB"/>
    <w:pPr>
      <w:spacing w:before="240"/>
      <w:jc w:val="center"/>
    </w:pPr>
    <w:rPr>
      <w:b/>
      <w:sz w:val="28"/>
    </w:rPr>
  </w:style>
  <w:style w:type="paragraph" w:customStyle="1" w:styleId="Resref">
    <w:name w:val="Res_ref"/>
    <w:basedOn w:val="Recref"/>
    <w:next w:val="Resdate"/>
    <w:rsid w:val="00A936CB"/>
  </w:style>
  <w:style w:type="paragraph" w:customStyle="1" w:styleId="SectionNo">
    <w:name w:val="Section_No"/>
    <w:basedOn w:val="Normal"/>
    <w:next w:val="Normal"/>
    <w:rsid w:val="00A936CB"/>
  </w:style>
  <w:style w:type="paragraph" w:customStyle="1" w:styleId="Sectiontitle">
    <w:name w:val="Section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936CB"/>
    <w:pPr>
      <w:tabs>
        <w:tab w:val="clear" w:pos="794"/>
        <w:tab w:val="clear" w:pos="1191"/>
        <w:tab w:val="clear" w:pos="1588"/>
        <w:tab w:val="clear" w:pos="1985"/>
        <w:tab w:val="right" w:pos="9611"/>
      </w:tabs>
    </w:pPr>
    <w:rPr>
      <w:i/>
    </w:rPr>
  </w:style>
  <w:style w:type="paragraph" w:styleId="TOC1">
    <w:name w:val="toc 1"/>
    <w:basedOn w:val="Normal"/>
    <w:semiHidden/>
    <w:rsid w:val="00A936C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A936CB"/>
    <w:pPr>
      <w:tabs>
        <w:tab w:val="clear" w:pos="567"/>
        <w:tab w:val="left" w:pos="1276"/>
      </w:tabs>
      <w:spacing w:before="160"/>
      <w:ind w:left="1276" w:hanging="709"/>
    </w:pPr>
  </w:style>
  <w:style w:type="paragraph" w:styleId="TOC3">
    <w:name w:val="toc 3"/>
    <w:basedOn w:val="TOC2"/>
    <w:semiHidden/>
    <w:rsid w:val="00A936CB"/>
    <w:pPr>
      <w:tabs>
        <w:tab w:val="clear" w:pos="1276"/>
        <w:tab w:val="left" w:pos="2155"/>
      </w:tabs>
      <w:ind w:left="2155" w:hanging="879"/>
    </w:pPr>
  </w:style>
  <w:style w:type="paragraph" w:styleId="TOC4">
    <w:name w:val="toc 4"/>
    <w:basedOn w:val="TOC3"/>
    <w:semiHidden/>
    <w:rsid w:val="00A936CB"/>
    <w:pPr>
      <w:tabs>
        <w:tab w:val="left" w:pos="3261"/>
      </w:tabs>
      <w:spacing w:before="80"/>
      <w:ind w:left="3261" w:hanging="993"/>
    </w:pPr>
  </w:style>
  <w:style w:type="paragraph" w:styleId="TOC5">
    <w:name w:val="toc 5"/>
    <w:basedOn w:val="TOC4"/>
    <w:semiHidden/>
    <w:rsid w:val="00A936CB"/>
  </w:style>
  <w:style w:type="paragraph" w:styleId="TOC6">
    <w:name w:val="toc 6"/>
    <w:basedOn w:val="TOC4"/>
    <w:semiHidden/>
    <w:rsid w:val="00A936CB"/>
  </w:style>
  <w:style w:type="paragraph" w:styleId="TOC7">
    <w:name w:val="toc 7"/>
    <w:basedOn w:val="TOC4"/>
    <w:semiHidden/>
    <w:rsid w:val="00A936CB"/>
  </w:style>
  <w:style w:type="paragraph" w:styleId="TOC8">
    <w:name w:val="toc 8"/>
    <w:basedOn w:val="TOC4"/>
    <w:semiHidden/>
    <w:rsid w:val="00A936CB"/>
  </w:style>
  <w:style w:type="paragraph" w:customStyle="1" w:styleId="Annexref">
    <w:name w:val="Annex_ref"/>
    <w:basedOn w:val="Normal"/>
    <w:next w:val="Normalaftertitle"/>
    <w:rsid w:val="00A936CB"/>
    <w:pPr>
      <w:keepNext/>
      <w:keepLines/>
      <w:spacing w:after="280"/>
      <w:jc w:val="center"/>
    </w:pPr>
  </w:style>
  <w:style w:type="paragraph" w:customStyle="1" w:styleId="Appendixref">
    <w:name w:val="Appendix_ref"/>
    <w:basedOn w:val="Annexref"/>
    <w:next w:val="Normalaftertitle"/>
    <w:rsid w:val="00A936CB"/>
  </w:style>
  <w:style w:type="paragraph" w:customStyle="1" w:styleId="Tabletitle">
    <w:name w:val="Table_title"/>
    <w:basedOn w:val="Normal"/>
    <w:next w:val="Tablehead"/>
    <w:rsid w:val="00A936CB"/>
    <w:pPr>
      <w:keepNext/>
      <w:spacing w:before="0" w:after="120"/>
      <w:jc w:val="center"/>
    </w:pPr>
    <w:rPr>
      <w:b/>
    </w:rPr>
  </w:style>
  <w:style w:type="paragraph" w:customStyle="1" w:styleId="Summary">
    <w:name w:val="Summary"/>
    <w:basedOn w:val="Normal"/>
    <w:next w:val="Normalaftertitle"/>
    <w:autoRedefine/>
    <w:rsid w:val="00210CBA"/>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A936CB"/>
    <w:pPr>
      <w:ind w:left="-85" w:firstLine="0"/>
    </w:pPr>
    <w:rPr>
      <w:lang w:val="en-US"/>
    </w:rPr>
  </w:style>
  <w:style w:type="character" w:customStyle="1" w:styleId="HeadingbChar">
    <w:name w:val="Heading_b Char"/>
    <w:link w:val="Headingb"/>
    <w:locked/>
    <w:rsid w:val="00210CBA"/>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en" TargetMode="Externa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dyeva\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76</TotalTime>
  <Pages>5</Pages>
  <Words>1287</Words>
  <Characters>7469</Characters>
  <Application>Microsoft Office Word</Application>
  <DocSecurity>0</DocSecurity>
  <Lines>191</Lines>
  <Paragraphs>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8751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Gachet, Christelle</cp:lastModifiedBy>
  <cp:revision>31</cp:revision>
  <cp:lastPrinted>2014-10-09T13:57:00Z</cp:lastPrinted>
  <dcterms:created xsi:type="dcterms:W3CDTF">2014-09-01T09:00:00Z</dcterms:created>
  <dcterms:modified xsi:type="dcterms:W3CDTF">2014-10-09T13:58:00Z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