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p w:rsidR="00C70A37" w:rsidRPr="00101A30" w:rsidRDefault="00C70A37" w:rsidP="00C70A37">
      <w:pPr>
        <w:rPr>
          <w:lang w:val="en-GB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70A37" w:rsidRPr="00101A30" w:rsidTr="00CD4AD6">
        <w:tc>
          <w:tcPr>
            <w:tcW w:w="10089" w:type="dxa"/>
          </w:tcPr>
          <w:p w:rsidR="00C70A37" w:rsidRPr="00101A30" w:rsidRDefault="00C70A37" w:rsidP="00CD4AD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C70A37" w:rsidRPr="00101A30" w:rsidRDefault="00C70A37" w:rsidP="00CD4AD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Recommendation  ITU-R  BO.1898</w:t>
            </w:r>
            <w:r w:rsidR="00A236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-1</w:t>
            </w:r>
          </w:p>
          <w:p w:rsidR="00C70A37" w:rsidRPr="00101A30" w:rsidRDefault="00C70A37" w:rsidP="00CD4AD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12</w:t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/2012)</w:t>
            </w:r>
          </w:p>
        </w:tc>
      </w:tr>
      <w:tr w:rsidR="00C70A37" w:rsidRPr="0068528F" w:rsidTr="00CD4AD6">
        <w:tc>
          <w:tcPr>
            <w:tcW w:w="10089" w:type="dxa"/>
          </w:tcPr>
          <w:p w:rsidR="00C70A37" w:rsidRPr="00101A30" w:rsidRDefault="00C70A37" w:rsidP="00CD4AD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:rsidR="00C70A37" w:rsidRPr="00101A30" w:rsidRDefault="00C70A37" w:rsidP="00A2366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Power flux-density value required for the protection of receiving earth stations in</w:t>
            </w:r>
            <w:bookmarkStart w:id="0" w:name="_GoBack"/>
            <w:bookmarkEnd w:id="0"/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the broadcasting-satellite service in</w:t>
            </w:r>
            <w:r w:rsidR="00A236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</w:t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Regions 1 and 3 from emissions by a</w:t>
            </w:r>
            <w:r w:rsidR="00A236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station in the fixed and/or mobile </w:t>
            </w:r>
            <w:r w:rsidR="00A236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services in the band 21.4-22 GHz</w:t>
            </w:r>
          </w:p>
          <w:p w:rsidR="00C70A37" w:rsidRPr="00101A30" w:rsidRDefault="00C70A37" w:rsidP="00CD4AD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GB"/>
              </w:rPr>
            </w:pPr>
          </w:p>
        </w:tc>
      </w:tr>
      <w:tr w:rsidR="00C70A37" w:rsidRPr="00101A30" w:rsidTr="00CD4AD6">
        <w:tc>
          <w:tcPr>
            <w:tcW w:w="10089" w:type="dxa"/>
          </w:tcPr>
          <w:p w:rsidR="00C70A37" w:rsidRPr="00101A30" w:rsidRDefault="00C70A37" w:rsidP="00CD4AD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C70A37" w:rsidRPr="00101A30" w:rsidRDefault="00C70A37" w:rsidP="00CD4AD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C70A37" w:rsidRPr="00101A30" w:rsidRDefault="00C70A37" w:rsidP="00CD4AD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:rsidR="00C70A37" w:rsidRPr="00101A30" w:rsidRDefault="00C70A37" w:rsidP="00CD4AD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BO Series</w:t>
            </w:r>
          </w:p>
          <w:p w:rsidR="00C70A37" w:rsidRPr="00101A30" w:rsidRDefault="00C70A37" w:rsidP="00CD4AD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01A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Satellite delivery</w:t>
            </w:r>
          </w:p>
          <w:p w:rsidR="00C70A37" w:rsidRPr="00101A30" w:rsidRDefault="00C70A37" w:rsidP="00CD4AD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</w:tc>
      </w:tr>
    </w:tbl>
    <w:p w:rsidR="00C70A37" w:rsidRPr="00101A30" w:rsidRDefault="00C70A37" w:rsidP="00C70A37">
      <w:pPr>
        <w:spacing w:before="80"/>
        <w:rPr>
          <w:i/>
          <w:sz w:val="22"/>
          <w:lang w:val="en-GB"/>
        </w:rPr>
      </w:pPr>
    </w:p>
    <w:p w:rsidR="00C70A37" w:rsidRPr="00101A30" w:rsidRDefault="00C70A37" w:rsidP="00C70A37">
      <w:pPr>
        <w:spacing w:before="80"/>
        <w:rPr>
          <w:i/>
          <w:sz w:val="22"/>
          <w:lang w:val="en-GB"/>
        </w:rPr>
      </w:pPr>
    </w:p>
    <w:p w:rsidR="00C70A37" w:rsidRPr="00101A30" w:rsidRDefault="00C70A37" w:rsidP="00C70A37">
      <w:pPr>
        <w:spacing w:before="80"/>
        <w:rPr>
          <w:i/>
          <w:sz w:val="22"/>
          <w:lang w:val="en-GB"/>
        </w:rPr>
      </w:pPr>
    </w:p>
    <w:p w:rsidR="00C70A37" w:rsidRPr="00101A30" w:rsidRDefault="00C70A37" w:rsidP="00C70A37">
      <w:pPr>
        <w:spacing w:before="80"/>
        <w:rPr>
          <w:i/>
          <w:sz w:val="22"/>
          <w:lang w:val="en-GB"/>
        </w:rPr>
      </w:pPr>
    </w:p>
    <w:p w:rsidR="00C70A37" w:rsidRPr="00101A30" w:rsidRDefault="00C70A37" w:rsidP="00C70A3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GB"/>
        </w:rPr>
        <w:sectPr w:rsidR="00C70A37" w:rsidRPr="00101A3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70A37" w:rsidRPr="00101A30" w:rsidRDefault="00C70A37" w:rsidP="00C70A3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GB"/>
        </w:rPr>
      </w:pPr>
      <w:bookmarkStart w:id="1" w:name="c2tope"/>
      <w:bookmarkEnd w:id="1"/>
      <w:r w:rsidRPr="00101A30">
        <w:rPr>
          <w:bCs/>
          <w:sz w:val="24"/>
          <w:szCs w:val="24"/>
          <w:lang w:val="en-GB"/>
        </w:rPr>
        <w:lastRenderedPageBreak/>
        <w:t>Foreword</w:t>
      </w:r>
    </w:p>
    <w:p w:rsidR="00C70A37" w:rsidRPr="00101A30" w:rsidRDefault="00C70A37" w:rsidP="00C70A37">
      <w:pPr>
        <w:spacing w:before="240"/>
        <w:rPr>
          <w:sz w:val="20"/>
          <w:lang w:val="en-GB"/>
        </w:rPr>
      </w:pPr>
      <w:r w:rsidRPr="00101A30">
        <w:rPr>
          <w:sz w:val="20"/>
          <w:lang w:val="en-GB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C70A37" w:rsidRPr="00101A30" w:rsidRDefault="00C70A37" w:rsidP="00C70A37">
      <w:pPr>
        <w:rPr>
          <w:sz w:val="20"/>
          <w:lang w:val="en-GB"/>
        </w:rPr>
      </w:pPr>
      <w:r w:rsidRPr="00101A30">
        <w:rPr>
          <w:sz w:val="20"/>
          <w:lang w:val="en-GB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C70A37" w:rsidRPr="00101A30" w:rsidRDefault="00C70A37" w:rsidP="00C70A37">
      <w:pPr>
        <w:pStyle w:val="Heading1"/>
        <w:spacing w:before="680"/>
        <w:jc w:val="center"/>
        <w:rPr>
          <w:szCs w:val="24"/>
          <w:lang w:val="en-GB"/>
        </w:rPr>
      </w:pPr>
      <w:r w:rsidRPr="00101A30">
        <w:rPr>
          <w:szCs w:val="24"/>
          <w:lang w:val="en-GB"/>
        </w:rPr>
        <w:t>Policy on Intellectual Property Right (IPR)</w:t>
      </w:r>
    </w:p>
    <w:p w:rsidR="00C70A37" w:rsidRPr="00101A30" w:rsidRDefault="00C70A37" w:rsidP="00C70A37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101A30">
        <w:rPr>
          <w:sz w:val="20"/>
          <w:lang w:val="en-GB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 w:rsidRPr="00101A30">
          <w:rPr>
            <w:rStyle w:val="Hyperlink"/>
            <w:sz w:val="20"/>
            <w:lang w:val="en-GB"/>
          </w:rPr>
          <w:t>http://www.itu.int/ITU-R/go/patents/en</w:t>
        </w:r>
      </w:hyperlink>
      <w:r w:rsidRPr="00101A30">
        <w:rPr>
          <w:sz w:val="20"/>
          <w:lang w:val="en-GB"/>
        </w:rPr>
        <w:t xml:space="preserve"> where the Guidelines for Implementation of the Common Patent Policy for ITU</w:t>
      </w:r>
      <w:r w:rsidRPr="00101A30">
        <w:rPr>
          <w:sz w:val="20"/>
          <w:lang w:val="en-GB"/>
        </w:rPr>
        <w:noBreakHyphen/>
        <w:t>T/ITU</w:t>
      </w:r>
      <w:r w:rsidRPr="00101A30">
        <w:rPr>
          <w:sz w:val="20"/>
          <w:lang w:val="en-GB"/>
        </w:rPr>
        <w:noBreakHyphen/>
        <w:t xml:space="preserve">R/ISO/IEC and the ITU-R patent information database can also be found. </w:t>
      </w:r>
    </w:p>
    <w:p w:rsidR="00C70A37" w:rsidRPr="00101A30" w:rsidRDefault="00C70A37" w:rsidP="00C70A37">
      <w:pPr>
        <w:jc w:val="center"/>
        <w:rPr>
          <w:sz w:val="22"/>
          <w:lang w:val="en-GB"/>
        </w:rPr>
      </w:pPr>
    </w:p>
    <w:p w:rsidR="00C70A37" w:rsidRPr="00101A30" w:rsidRDefault="00C70A37" w:rsidP="00C70A37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70A37" w:rsidRPr="0068528F" w:rsidTr="00CD4AD6">
        <w:tc>
          <w:tcPr>
            <w:tcW w:w="9360" w:type="dxa"/>
            <w:gridSpan w:val="2"/>
          </w:tcPr>
          <w:p w:rsidR="00C70A37" w:rsidRPr="00101A30" w:rsidRDefault="00C70A37" w:rsidP="00CD4AD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101A30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101A30">
              <w:rPr>
                <w:b w:val="0"/>
                <w:sz w:val="18"/>
                <w:szCs w:val="18"/>
                <w:lang w:val="en-GB"/>
              </w:rPr>
              <w:t xml:space="preserve">(Also available online at </w:t>
            </w:r>
            <w:hyperlink r:id="rId10" w:history="1">
              <w:r w:rsidRPr="00101A30">
                <w:rPr>
                  <w:rStyle w:val="Hyperlink"/>
                  <w:b w:val="0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101A30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C70A37" w:rsidRPr="00101A30" w:rsidTr="00CD4AD6">
        <w:tc>
          <w:tcPr>
            <w:tcW w:w="1140" w:type="dxa"/>
            <w:tcBorders>
              <w:bottom w:val="nil"/>
            </w:tcBorders>
          </w:tcPr>
          <w:p w:rsidR="00C70A37" w:rsidRPr="00101A30" w:rsidRDefault="00C70A37" w:rsidP="00CD4AD6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101A30">
              <w:rPr>
                <w:bCs/>
                <w:sz w:val="20"/>
                <w:lang w:val="en-GB"/>
              </w:rPr>
              <w:t>Title</w:t>
            </w:r>
          </w:p>
        </w:tc>
      </w:tr>
      <w:tr w:rsidR="00C70A37" w:rsidRPr="00101A30" w:rsidTr="00CD4AD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rFonts w:hAnsi="Times New Roman Bold"/>
                <w:b/>
                <w:color w:val="000080"/>
                <w:sz w:val="20"/>
                <w:lang w:val="en-GB"/>
              </w:rPr>
            </w:pPr>
            <w:r w:rsidRPr="00101A30">
              <w:rPr>
                <w:rFonts w:hAnsi="Times New Roman Bold"/>
                <w:b/>
                <w:color w:val="000080"/>
                <w:sz w:val="20"/>
                <w:lang w:val="en-GB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color w:val="000080"/>
                <w:sz w:val="20"/>
                <w:lang w:val="en-GB"/>
              </w:rPr>
            </w:pPr>
            <w:r w:rsidRPr="00101A30">
              <w:rPr>
                <w:rFonts w:hAnsi="Times New Roman Bold"/>
                <w:color w:val="000080"/>
                <w:sz w:val="20"/>
                <w:lang w:val="en-GB"/>
              </w:rPr>
              <w:t>Satellite delivery</w:t>
            </w:r>
          </w:p>
        </w:tc>
      </w:tr>
      <w:tr w:rsidR="00C70A37" w:rsidRPr="0068528F" w:rsidTr="00CD4AD6">
        <w:tc>
          <w:tcPr>
            <w:tcW w:w="1140" w:type="dxa"/>
            <w:tcBorders>
              <w:top w:val="nil"/>
            </w:tcBorders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</w:tcPr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BS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Broadcasting service (sound)</w:t>
            </w:r>
          </w:p>
        </w:tc>
      </w:tr>
      <w:tr w:rsidR="00C70A37" w:rsidRPr="00101A30" w:rsidTr="00CD4AD6">
        <w:tc>
          <w:tcPr>
            <w:tcW w:w="1140" w:type="dxa"/>
            <w:shd w:val="clear" w:color="auto" w:fill="auto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Broadcasting service (television)</w:t>
            </w:r>
          </w:p>
        </w:tc>
      </w:tr>
      <w:tr w:rsidR="00C70A37" w:rsidRPr="00101A30" w:rsidTr="00CD4AD6">
        <w:tc>
          <w:tcPr>
            <w:tcW w:w="1140" w:type="dxa"/>
            <w:shd w:val="clear" w:color="auto" w:fill="auto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C70A37" w:rsidRPr="00101A30" w:rsidRDefault="00C70A37" w:rsidP="00CD4AD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Fixed service</w:t>
            </w:r>
          </w:p>
        </w:tc>
      </w:tr>
      <w:tr w:rsidR="00C70A37" w:rsidRPr="00101A30" w:rsidTr="00CD4AD6">
        <w:tc>
          <w:tcPr>
            <w:tcW w:w="1140" w:type="dxa"/>
            <w:shd w:val="clear" w:color="auto" w:fill="auto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C70A37" w:rsidRPr="00101A30" w:rsidRDefault="00C70A37" w:rsidP="00CD4AD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01A30">
              <w:rPr>
                <w:b w:val="0"/>
                <w:sz w:val="20"/>
                <w:lang w:val="en-GB"/>
              </w:rPr>
              <w:t>Mobile, radiodetermination, amateur and related satellite services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P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Radiowave propagation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Radio astronomy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Remote sensing systems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Fixed-satellite service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Space applications and meteorology</w:t>
            </w:r>
          </w:p>
        </w:tc>
      </w:tr>
      <w:tr w:rsidR="00C70A37" w:rsidRPr="0068528F" w:rsidTr="00CD4AD6">
        <w:tc>
          <w:tcPr>
            <w:tcW w:w="1140" w:type="dxa"/>
            <w:tcBorders>
              <w:bottom w:val="nil"/>
            </w:tcBorders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C70A37" w:rsidRPr="00101A30" w:rsidRDefault="00C70A37" w:rsidP="00CD4AD6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C70A37" w:rsidRPr="00101A30" w:rsidTr="00CD4AD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GB"/>
              </w:rPr>
            </w:pPr>
            <w:r w:rsidRPr="00101A30">
              <w:rPr>
                <w:rFonts w:ascii="Times New Roman Bold" w:hAnsi="Times New Roman Bold" w:cs="Times New Roman Bold"/>
                <w:b/>
                <w:bCs/>
                <w:sz w:val="20"/>
                <w:lang w:val="en-GB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70A37" w:rsidRPr="00101A30" w:rsidRDefault="00C70A37" w:rsidP="00CD4AD6">
            <w:pPr>
              <w:spacing w:before="30" w:after="30"/>
              <w:jc w:val="left"/>
              <w:rPr>
                <w:rFonts w:hAnsi="Times New Roman Bold"/>
                <w:sz w:val="20"/>
                <w:lang w:val="en-GB"/>
              </w:rPr>
            </w:pPr>
            <w:r w:rsidRPr="00101A30">
              <w:rPr>
                <w:rFonts w:hAnsi="Times New Roman Bold"/>
                <w:sz w:val="20"/>
                <w:lang w:val="en-GB"/>
              </w:rPr>
              <w:t>Spectrum management</w:t>
            </w:r>
          </w:p>
        </w:tc>
      </w:tr>
      <w:tr w:rsidR="00C70A37" w:rsidRPr="00101A30" w:rsidTr="00CD4AD6">
        <w:tc>
          <w:tcPr>
            <w:tcW w:w="1140" w:type="dxa"/>
            <w:tcBorders>
              <w:top w:val="nil"/>
            </w:tcBorders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C70A37" w:rsidRPr="00101A30" w:rsidRDefault="00C70A37" w:rsidP="00CD4AD6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Satellite news gathering</w:t>
            </w:r>
          </w:p>
        </w:tc>
      </w:tr>
      <w:tr w:rsidR="00C70A37" w:rsidRPr="0068528F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C70A37" w:rsidRPr="00101A30" w:rsidTr="00CD4AD6">
        <w:tc>
          <w:tcPr>
            <w:tcW w:w="1140" w:type="dxa"/>
          </w:tcPr>
          <w:p w:rsidR="00C70A37" w:rsidRPr="00101A30" w:rsidRDefault="00C70A37" w:rsidP="00CD4AD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01A30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:rsidR="00C70A37" w:rsidRPr="00101A30" w:rsidRDefault="00C70A37" w:rsidP="00CD4AD6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101A30">
              <w:rPr>
                <w:sz w:val="20"/>
                <w:lang w:val="en-GB"/>
              </w:rPr>
              <w:t>Vocabulary and related subjects</w:t>
            </w:r>
          </w:p>
        </w:tc>
      </w:tr>
    </w:tbl>
    <w:p w:rsidR="00C70A37" w:rsidRPr="00101A30" w:rsidRDefault="00C70A37" w:rsidP="00C70A37">
      <w:pPr>
        <w:spacing w:before="30" w:after="30"/>
        <w:jc w:val="center"/>
        <w:rPr>
          <w:sz w:val="20"/>
          <w:lang w:val="en-GB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70A37" w:rsidRPr="00101A30" w:rsidTr="00CD4AD6">
        <w:tc>
          <w:tcPr>
            <w:tcW w:w="720" w:type="dxa"/>
          </w:tcPr>
          <w:p w:rsidR="00C70A37" w:rsidRPr="00101A30" w:rsidRDefault="00C70A37" w:rsidP="00CD4AD6">
            <w:pPr>
              <w:jc w:val="center"/>
              <w:rPr>
                <w:sz w:val="22"/>
                <w:lang w:val="en-GB"/>
              </w:rPr>
            </w:pPr>
          </w:p>
        </w:tc>
      </w:tr>
    </w:tbl>
    <w:p w:rsidR="00C70A37" w:rsidRPr="00101A30" w:rsidRDefault="00C70A37" w:rsidP="00C70A37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C70A37" w:rsidRPr="0068528F" w:rsidTr="00CD4AD6">
        <w:tc>
          <w:tcPr>
            <w:tcW w:w="9360" w:type="dxa"/>
          </w:tcPr>
          <w:p w:rsidR="00C70A37" w:rsidRPr="00101A30" w:rsidRDefault="00C70A37" w:rsidP="00CD4AD6">
            <w:pPr>
              <w:spacing w:after="120"/>
              <w:jc w:val="center"/>
              <w:rPr>
                <w:sz w:val="20"/>
                <w:lang w:val="en-GB"/>
              </w:rPr>
            </w:pPr>
            <w:r w:rsidRPr="00101A30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101A30">
              <w:rPr>
                <w:sz w:val="20"/>
                <w:lang w:val="en-GB"/>
              </w:rPr>
              <w:t xml:space="preserve">: </w:t>
            </w:r>
            <w:r w:rsidRPr="00101A30">
              <w:rPr>
                <w:i/>
                <w:iCs/>
                <w:sz w:val="20"/>
                <w:lang w:val="en-GB"/>
              </w:rPr>
              <w:t>This ITU-R Recommendation was approved in English under the procedure detailed in Resolution ITU-R 1.</w:t>
            </w:r>
          </w:p>
        </w:tc>
      </w:tr>
    </w:tbl>
    <w:p w:rsidR="00C70A37" w:rsidRPr="00101A30" w:rsidRDefault="00C70A37" w:rsidP="00C70A37">
      <w:pPr>
        <w:spacing w:before="0"/>
        <w:jc w:val="center"/>
        <w:rPr>
          <w:sz w:val="22"/>
          <w:lang w:val="en-GB"/>
        </w:rPr>
      </w:pPr>
    </w:p>
    <w:p w:rsidR="00C70A37" w:rsidRPr="00101A30" w:rsidRDefault="00C70A37" w:rsidP="00C70A37">
      <w:pPr>
        <w:spacing w:before="0"/>
        <w:jc w:val="center"/>
        <w:rPr>
          <w:sz w:val="22"/>
          <w:lang w:val="en-GB"/>
        </w:rPr>
      </w:pPr>
    </w:p>
    <w:p w:rsidR="00C70A37" w:rsidRPr="00101A30" w:rsidRDefault="00C70A37" w:rsidP="00C70A37">
      <w:pPr>
        <w:spacing w:before="0"/>
        <w:jc w:val="right"/>
        <w:rPr>
          <w:i/>
          <w:iCs/>
          <w:sz w:val="20"/>
          <w:lang w:val="en-GB"/>
        </w:rPr>
      </w:pPr>
      <w:r w:rsidRPr="00101A30">
        <w:rPr>
          <w:i/>
          <w:iCs/>
          <w:sz w:val="20"/>
          <w:lang w:val="en-GB"/>
        </w:rPr>
        <w:t>Electronic Publication</w:t>
      </w:r>
    </w:p>
    <w:p w:rsidR="00C70A37" w:rsidRPr="00101A30" w:rsidRDefault="00C70A37" w:rsidP="00C70A37">
      <w:pPr>
        <w:spacing w:before="0"/>
        <w:jc w:val="right"/>
        <w:rPr>
          <w:sz w:val="20"/>
          <w:lang w:val="en-GB"/>
        </w:rPr>
      </w:pPr>
      <w:r w:rsidRPr="00101A30">
        <w:rPr>
          <w:sz w:val="20"/>
          <w:lang w:val="en-GB"/>
        </w:rPr>
        <w:t>Geneva, 201</w:t>
      </w:r>
      <w:r>
        <w:rPr>
          <w:sz w:val="20"/>
          <w:lang w:val="en-GB"/>
        </w:rPr>
        <w:t>2</w:t>
      </w:r>
    </w:p>
    <w:p w:rsidR="00C70A37" w:rsidRPr="00101A30" w:rsidRDefault="00C70A37" w:rsidP="00C70A37">
      <w:pPr>
        <w:jc w:val="center"/>
        <w:rPr>
          <w:sz w:val="22"/>
          <w:lang w:val="en-GB"/>
        </w:rPr>
      </w:pPr>
    </w:p>
    <w:p w:rsidR="00C70A37" w:rsidRPr="00101A30" w:rsidRDefault="00C70A37" w:rsidP="00C70A37">
      <w:pPr>
        <w:jc w:val="center"/>
        <w:rPr>
          <w:sz w:val="20"/>
          <w:lang w:val="en-GB"/>
        </w:rPr>
      </w:pPr>
      <w:r w:rsidRPr="00101A30">
        <w:rPr>
          <w:sz w:val="20"/>
          <w:lang w:val="en-GB"/>
        </w:rPr>
        <w:sym w:font="Symbol" w:char="F0E3"/>
      </w:r>
      <w:r w:rsidRPr="00101A30">
        <w:rPr>
          <w:sz w:val="20"/>
          <w:lang w:val="en-GB"/>
        </w:rPr>
        <w:t xml:space="preserve"> ITU </w:t>
      </w:r>
      <w:bookmarkStart w:id="2" w:name="iiannee"/>
      <w:bookmarkEnd w:id="2"/>
      <w:r w:rsidRPr="00101A30">
        <w:rPr>
          <w:sz w:val="20"/>
          <w:lang w:val="en-GB"/>
        </w:rPr>
        <w:t>201</w:t>
      </w:r>
      <w:r>
        <w:rPr>
          <w:sz w:val="20"/>
          <w:lang w:val="en-GB"/>
        </w:rPr>
        <w:t>2</w:t>
      </w:r>
    </w:p>
    <w:p w:rsidR="00C70A37" w:rsidRPr="00101A30" w:rsidRDefault="00C70A37" w:rsidP="00C70A37">
      <w:pPr>
        <w:rPr>
          <w:sz w:val="18"/>
          <w:szCs w:val="18"/>
          <w:lang w:val="en-GB"/>
        </w:rPr>
      </w:pPr>
      <w:r w:rsidRPr="00101A30">
        <w:rPr>
          <w:sz w:val="18"/>
          <w:szCs w:val="18"/>
          <w:lang w:val="en-GB"/>
        </w:rPr>
        <w:t>All rights reserved. No part of this publication may be reproduced, by any means whatsoever, without written permission of ITU.</w:t>
      </w:r>
    </w:p>
    <w:p w:rsidR="00C70A37" w:rsidRPr="00101A30" w:rsidRDefault="00C70A37" w:rsidP="00C70A37">
      <w:pPr>
        <w:spacing w:before="160"/>
        <w:rPr>
          <w:i/>
          <w:sz w:val="20"/>
          <w:lang w:val="en-GB"/>
        </w:rPr>
        <w:sectPr w:rsidR="00C70A37" w:rsidRPr="00101A30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70A37" w:rsidRPr="00101A30" w:rsidRDefault="00C70A37" w:rsidP="00C70A37">
      <w:pPr>
        <w:pStyle w:val="RecNo"/>
        <w:spacing w:before="0"/>
        <w:rPr>
          <w:lang w:val="en-GB"/>
        </w:rPr>
      </w:pPr>
      <w:bookmarkStart w:id="3" w:name="irecnoe"/>
      <w:bookmarkEnd w:id="3"/>
      <w:r w:rsidRPr="00101A30">
        <w:rPr>
          <w:lang w:val="en-GB"/>
        </w:rPr>
        <w:lastRenderedPageBreak/>
        <w:t xml:space="preserve">RECOMMENDATION  </w:t>
      </w:r>
      <w:r w:rsidRPr="00101A30">
        <w:rPr>
          <w:rStyle w:val="href"/>
          <w:lang w:val="en-GB"/>
        </w:rPr>
        <w:t>ITU-R  BO.1898</w:t>
      </w:r>
      <w:r>
        <w:rPr>
          <w:rStyle w:val="href"/>
          <w:lang w:val="en-GB"/>
        </w:rPr>
        <w:t>-1</w:t>
      </w:r>
    </w:p>
    <w:p w:rsidR="00C70A37" w:rsidRPr="00101A30" w:rsidRDefault="00C70A37" w:rsidP="00C70A37">
      <w:pPr>
        <w:pStyle w:val="Rectitle"/>
        <w:rPr>
          <w:lang w:val="en-GB"/>
        </w:rPr>
      </w:pPr>
      <w:r w:rsidRPr="00101A30">
        <w:rPr>
          <w:lang w:val="en-GB"/>
        </w:rPr>
        <w:t>Power flux-density value required for the protection of receiving earth stations in the broadcasting-satellite service in Regions 1 and 3 from emissions by a station in the fixed and/or mobile services in the band 21.4-22 GHz</w:t>
      </w:r>
    </w:p>
    <w:p w:rsidR="00C70A37" w:rsidRPr="00101A30" w:rsidRDefault="00C70A37" w:rsidP="00C70A37">
      <w:pPr>
        <w:pStyle w:val="Recdate"/>
        <w:rPr>
          <w:lang w:val="en-GB"/>
        </w:rPr>
      </w:pPr>
      <w:r w:rsidRPr="00101A30">
        <w:rPr>
          <w:lang w:val="en-GB"/>
        </w:rPr>
        <w:t>(</w:t>
      </w:r>
      <w:r>
        <w:rPr>
          <w:lang w:val="en-GB"/>
        </w:rPr>
        <w:t>01/</w:t>
      </w:r>
      <w:r w:rsidRPr="00101A30">
        <w:rPr>
          <w:lang w:val="en-GB"/>
        </w:rPr>
        <w:t>2012</w:t>
      </w:r>
      <w:r>
        <w:rPr>
          <w:lang w:val="en-GB"/>
        </w:rPr>
        <w:t>, 12/2012</w:t>
      </w:r>
      <w:r w:rsidRPr="00101A30">
        <w:rPr>
          <w:lang w:val="en-GB"/>
        </w:rPr>
        <w:t>)</w:t>
      </w:r>
    </w:p>
    <w:p w:rsidR="00C70A37" w:rsidRPr="0068528F" w:rsidRDefault="00C70A37" w:rsidP="00572478">
      <w:pPr>
        <w:pStyle w:val="HeadingSum"/>
        <w:rPr>
          <w:lang w:val="en-US" w:eastAsia="ko-KR"/>
        </w:rPr>
      </w:pPr>
      <w:r w:rsidRPr="0068528F">
        <w:rPr>
          <w:lang w:val="en-US"/>
        </w:rPr>
        <w:t>Scope</w:t>
      </w:r>
    </w:p>
    <w:p w:rsidR="00C70A37" w:rsidRPr="00101A30" w:rsidRDefault="00C70A37" w:rsidP="00C70A37">
      <w:pPr>
        <w:pStyle w:val="Summary"/>
        <w:rPr>
          <w:lang w:val="en-GB" w:eastAsia="ko-KR"/>
        </w:rPr>
      </w:pPr>
      <w:r w:rsidRPr="00101A30">
        <w:rPr>
          <w:lang w:val="en-GB"/>
        </w:rPr>
        <w:t>This Recommendation provides the maximum permissible pfd value</w:t>
      </w:r>
      <w:r w:rsidRPr="00101A30">
        <w:rPr>
          <w:lang w:val="en-GB" w:eastAsia="ko-KR"/>
        </w:rPr>
        <w:t xml:space="preserve"> </w:t>
      </w:r>
      <w:r w:rsidRPr="00101A30">
        <w:rPr>
          <w:lang w:val="en-GB"/>
        </w:rPr>
        <w:t>to protect receiving earth stations in the BSS in Regions 1 and 3 from emissions generated by a single station in the fixed and/or mobile services in the band 21.4</w:t>
      </w:r>
      <w:r w:rsidRPr="00101A30">
        <w:rPr>
          <w:lang w:val="en-GB"/>
        </w:rPr>
        <w:noBreakHyphen/>
        <w:t>22.0 GHz</w:t>
      </w:r>
      <w:r w:rsidRPr="00101A30">
        <w:rPr>
          <w:lang w:val="en-GB" w:eastAsia="ja-JP"/>
        </w:rPr>
        <w:t xml:space="preserve">. </w:t>
      </w:r>
      <w:r w:rsidRPr="00CD4AD6">
        <w:rPr>
          <w:lang w:val="en-US" w:eastAsia="ko-KR"/>
        </w:rPr>
        <w:t xml:space="preserve">WRC-12 decided to include in Article </w:t>
      </w:r>
      <w:r w:rsidRPr="00A2366F">
        <w:rPr>
          <w:lang w:val="en-US" w:eastAsia="ko-KR"/>
        </w:rPr>
        <w:t>5</w:t>
      </w:r>
      <w:r w:rsidRPr="00CD4AD6">
        <w:rPr>
          <w:lang w:val="en-US" w:eastAsia="ko-KR"/>
        </w:rPr>
        <w:t xml:space="preserve"> of the Radio Regulations the </w:t>
      </w:r>
      <w:r w:rsidRPr="008A129D">
        <w:rPr>
          <w:lang w:val="en-US" w:eastAsia="ko-KR"/>
        </w:rPr>
        <w:t>pfd</w:t>
      </w:r>
      <w:r w:rsidRPr="00CD4AD6">
        <w:rPr>
          <w:lang w:val="en-US" w:eastAsia="ko-KR"/>
        </w:rPr>
        <w:t xml:space="preserve"> value contained in this Recommendation as a hard limit.</w:t>
      </w:r>
    </w:p>
    <w:p w:rsidR="00C70A37" w:rsidRPr="00101A30" w:rsidRDefault="00C70A37" w:rsidP="00C70A37">
      <w:pPr>
        <w:pStyle w:val="Normalaftertitle"/>
        <w:rPr>
          <w:lang w:val="en-GB" w:eastAsia="ko-KR"/>
        </w:rPr>
      </w:pPr>
      <w:r w:rsidRPr="00101A30">
        <w:rPr>
          <w:lang w:val="en-GB"/>
        </w:rPr>
        <w:t>The ITU Radiocommunication Assembly,</w:t>
      </w:r>
    </w:p>
    <w:p w:rsidR="00C70A37" w:rsidRPr="00101A30" w:rsidRDefault="00C70A37" w:rsidP="00C70A37">
      <w:pPr>
        <w:pStyle w:val="Call"/>
        <w:rPr>
          <w:lang w:val="en-GB" w:eastAsia="ko-KR"/>
        </w:rPr>
      </w:pPr>
      <w:r w:rsidRPr="00101A30">
        <w:rPr>
          <w:lang w:val="en-GB"/>
        </w:rPr>
        <w:t>considering</w:t>
      </w:r>
    </w:p>
    <w:p w:rsidR="00C70A37" w:rsidRPr="00101A30" w:rsidRDefault="00C70A37" w:rsidP="00C70A37">
      <w:pPr>
        <w:rPr>
          <w:lang w:val="en-GB"/>
        </w:rPr>
      </w:pPr>
      <w:r w:rsidRPr="000733D9">
        <w:rPr>
          <w:iCs/>
          <w:lang w:val="en-GB"/>
        </w:rPr>
        <w:t>a)</w:t>
      </w:r>
      <w:r w:rsidRPr="00101A30">
        <w:rPr>
          <w:lang w:val="en-GB"/>
        </w:rPr>
        <w:tab/>
        <w:t xml:space="preserve">that emissions from terrestrial stations may produce interference exceeding permissible levels into receiving </w:t>
      </w:r>
      <w:r w:rsidRPr="00101A30">
        <w:rPr>
          <w:lang w:val="en-GB" w:eastAsia="ja-JP"/>
        </w:rPr>
        <w:t xml:space="preserve">earth </w:t>
      </w:r>
      <w:r w:rsidRPr="00101A30">
        <w:rPr>
          <w:lang w:val="en-GB"/>
        </w:rPr>
        <w:t xml:space="preserve">stations in the BSS in Regions 1 and </w:t>
      </w:r>
      <w:smartTag w:uri="urn:schemas-microsoft-com:office:smarttags" w:element="metricconverter">
        <w:smartTagPr>
          <w:attr w:name="ProductID" w:val="3 m"/>
        </w:smartTagPr>
        <w:r w:rsidRPr="00101A30">
          <w:rPr>
            <w:lang w:val="en-GB"/>
          </w:rPr>
          <w:t>3 in</w:t>
        </w:r>
      </w:smartTag>
      <w:r w:rsidRPr="00101A30">
        <w:rPr>
          <w:lang w:val="en-GB"/>
        </w:rPr>
        <w:t xml:space="preserve"> the band 21.4-22.0 GHz;</w:t>
      </w:r>
    </w:p>
    <w:p w:rsidR="00C70A37" w:rsidRDefault="00C70A37" w:rsidP="00C70A37">
      <w:pPr>
        <w:rPr>
          <w:lang w:val="en-GB"/>
        </w:rPr>
      </w:pPr>
      <w:r w:rsidRPr="000733D9">
        <w:rPr>
          <w:iCs/>
          <w:lang w:val="en-GB"/>
        </w:rPr>
        <w:t>b)</w:t>
      </w:r>
      <w:r w:rsidRPr="00101A30">
        <w:rPr>
          <w:lang w:val="en-GB"/>
        </w:rPr>
        <w:tab/>
        <w:t xml:space="preserve">that in order to protect BSS receiving </w:t>
      </w:r>
      <w:r w:rsidRPr="00101A30">
        <w:rPr>
          <w:lang w:val="en-GB" w:eastAsia="ja-JP"/>
        </w:rPr>
        <w:t xml:space="preserve">earth </w:t>
      </w:r>
      <w:r w:rsidRPr="00101A30">
        <w:rPr>
          <w:lang w:val="en-GB"/>
        </w:rPr>
        <w:t xml:space="preserve">stations in Regions 1 and 3 from unacceptable interference of terrestrial stations, an appropriate maximum permissible </w:t>
      </w:r>
      <w:r>
        <w:rPr>
          <w:lang w:val="en-GB"/>
        </w:rPr>
        <w:t>power flux-density (</w:t>
      </w:r>
      <w:r w:rsidRPr="00101A30">
        <w:rPr>
          <w:lang w:val="en-GB"/>
        </w:rPr>
        <w:t>pfd</w:t>
      </w:r>
      <w:r>
        <w:rPr>
          <w:lang w:val="en-GB"/>
        </w:rPr>
        <w:t>)</w:t>
      </w:r>
      <w:r w:rsidRPr="00101A30">
        <w:rPr>
          <w:lang w:val="en-GB"/>
        </w:rPr>
        <w:t xml:space="preserve"> value applicable to emissions from a terrestrial station in this band needs to be determined,</w:t>
      </w:r>
    </w:p>
    <w:p w:rsidR="00C70A37" w:rsidRDefault="00C70A37" w:rsidP="00C70A37">
      <w:pPr>
        <w:pStyle w:val="Call"/>
        <w:rPr>
          <w:lang w:val="en-GB"/>
        </w:rPr>
      </w:pPr>
      <w:r>
        <w:rPr>
          <w:lang w:val="en-GB"/>
        </w:rPr>
        <w:t>recognizing</w:t>
      </w:r>
    </w:p>
    <w:p w:rsidR="00C70A37" w:rsidRPr="00CD4AD6" w:rsidRDefault="00C70A37" w:rsidP="003E7026">
      <w:pPr>
        <w:rPr>
          <w:lang w:val="en-US" w:eastAsia="ko-KR"/>
        </w:rPr>
      </w:pPr>
      <w:r w:rsidRPr="003E7026">
        <w:rPr>
          <w:iCs/>
          <w:lang w:val="en-US"/>
        </w:rPr>
        <w:t>a)</w:t>
      </w:r>
      <w:r w:rsidRPr="00CD4AD6">
        <w:rPr>
          <w:iCs/>
          <w:lang w:val="en-US"/>
        </w:rPr>
        <w:tab/>
      </w:r>
      <w:r w:rsidRPr="00CD4AD6">
        <w:rPr>
          <w:lang w:val="en-US"/>
        </w:rPr>
        <w:t xml:space="preserve">that </w:t>
      </w:r>
      <w:r w:rsidRPr="00CD4AD6">
        <w:rPr>
          <w:lang w:val="en-US" w:eastAsia="ko-KR"/>
        </w:rPr>
        <w:t xml:space="preserve">WRC-12 approved the limit of emissions by a terrestrial station to protect BSS receiving earth stations in the band 21.4-22.0 GHz. The limit is specified in Article </w:t>
      </w:r>
      <w:r w:rsidRPr="003E7026">
        <w:rPr>
          <w:bCs/>
          <w:lang w:val="en-US" w:eastAsia="ko-KR"/>
        </w:rPr>
        <w:t>5</w:t>
      </w:r>
      <w:r w:rsidRPr="00CD4AD6">
        <w:rPr>
          <w:lang w:val="en-US" w:eastAsia="ko-KR"/>
        </w:rPr>
        <w:t xml:space="preserve"> of the Radio Regulations,</w:t>
      </w:r>
    </w:p>
    <w:p w:rsidR="00C70A37" w:rsidRPr="00101A30" w:rsidRDefault="00C70A37" w:rsidP="00C70A37">
      <w:pPr>
        <w:pStyle w:val="Call"/>
        <w:rPr>
          <w:lang w:val="en-GB"/>
        </w:rPr>
      </w:pPr>
      <w:r w:rsidRPr="00101A30">
        <w:rPr>
          <w:lang w:val="en-GB"/>
        </w:rPr>
        <w:t>recommends</w:t>
      </w:r>
    </w:p>
    <w:p w:rsidR="00C70A37" w:rsidRPr="00101A30" w:rsidRDefault="00C70A37" w:rsidP="004D4301">
      <w:pPr>
        <w:rPr>
          <w:lang w:val="en-GB" w:eastAsia="ko-KR"/>
        </w:rPr>
      </w:pPr>
      <w:r w:rsidRPr="00101A30">
        <w:rPr>
          <w:b/>
          <w:bCs/>
          <w:iCs/>
          <w:lang w:val="en-GB"/>
        </w:rPr>
        <w:t>1</w:t>
      </w:r>
      <w:r w:rsidRPr="00101A30">
        <w:rPr>
          <w:lang w:val="en-GB"/>
        </w:rPr>
        <w:tab/>
        <w:t xml:space="preserve">that, in order to protect BSS receiving earth stations, a value of </w:t>
      </w:r>
      <w:r w:rsidRPr="00101A30">
        <w:rPr>
          <w:lang w:val="en-GB" w:eastAsia="ko-KR"/>
        </w:rPr>
        <w:t>–120.4</w:t>
      </w:r>
      <w:r w:rsidRPr="00101A30">
        <w:rPr>
          <w:lang w:val="en-GB"/>
        </w:rPr>
        <w:t xml:space="preserve"> dB(W/(m</w:t>
      </w:r>
      <w:r w:rsidRPr="00101A30">
        <w:rPr>
          <w:vertAlign w:val="superscript"/>
          <w:lang w:val="en-GB"/>
        </w:rPr>
        <w:t>2</w:t>
      </w:r>
      <w:r w:rsidRPr="00101A30">
        <w:rPr>
          <w:lang w:val="en-GB"/>
        </w:rPr>
        <w:t>·</w:t>
      </w:r>
      <w:r w:rsidRPr="00101A30">
        <w:rPr>
          <w:lang w:val="en-GB" w:eastAsia="ko-KR"/>
        </w:rPr>
        <w:t>M</w:t>
      </w:r>
      <w:r w:rsidRPr="00101A30">
        <w:rPr>
          <w:lang w:val="en-GB"/>
        </w:rPr>
        <w:t>Hz)</w:t>
      </w:r>
      <w:r w:rsidRPr="00101A30">
        <w:rPr>
          <w:lang w:val="en-GB" w:eastAsia="ko-KR"/>
        </w:rPr>
        <w:t xml:space="preserve">) should be used as </w:t>
      </w:r>
      <w:r w:rsidRPr="00101A30">
        <w:rPr>
          <w:lang w:val="en-GB"/>
        </w:rPr>
        <w:t>the single-entry maximum permissible level of the pfd</w:t>
      </w:r>
      <w:r w:rsidRPr="00101A30">
        <w:rPr>
          <w:lang w:val="en-GB" w:eastAsia="ja-JP"/>
        </w:rPr>
        <w:t xml:space="preserve"> </w:t>
      </w:r>
      <w:r w:rsidRPr="00101A30">
        <w:rPr>
          <w:lang w:val="en-GB"/>
        </w:rPr>
        <w:t>produced by emissions from a terrestrial station in the band 21.4-22.0 GHz;</w:t>
      </w:r>
      <w:r w:rsidRPr="00101A30">
        <w:rPr>
          <w:lang w:val="en-GB" w:eastAsia="ja-JP"/>
        </w:rPr>
        <w:t xml:space="preserve"> </w:t>
      </w:r>
    </w:p>
    <w:p w:rsidR="00C70A37" w:rsidRPr="00101A30" w:rsidRDefault="00C70A37" w:rsidP="00C70A37">
      <w:pPr>
        <w:rPr>
          <w:lang w:val="en-GB"/>
        </w:rPr>
      </w:pPr>
      <w:r w:rsidRPr="00101A30">
        <w:rPr>
          <w:b/>
          <w:iCs/>
          <w:lang w:val="en-GB"/>
        </w:rPr>
        <w:t>2</w:t>
      </w:r>
      <w:r w:rsidRPr="00101A30">
        <w:rPr>
          <w:lang w:val="en-GB"/>
        </w:rPr>
        <w:tab/>
      </w:r>
      <w:r w:rsidRPr="00101A30">
        <w:rPr>
          <w:lang w:val="en-GB" w:eastAsia="ja-JP"/>
        </w:rPr>
        <w:t xml:space="preserve">that this value should not be exceeded </w:t>
      </w:r>
      <w:smartTag w:uri="urn:schemas-microsoft-com:office:smarttags" w:element="metricconverter">
        <w:smartTagPr>
          <w:attr w:name="ProductID" w:val="3 m"/>
        </w:smartTagPr>
        <w:r w:rsidRPr="00101A30">
          <w:rPr>
            <w:lang w:val="en-GB"/>
          </w:rPr>
          <w:t xml:space="preserve">at </w:t>
        </w:r>
        <w:smartTag w:uri="urn:schemas-microsoft-com:office:smarttags" w:element="metricconverter">
          <w:smartTagPr>
            <w:attr w:name="ProductID" w:val="3 m"/>
          </w:smartTagPr>
          <w:r w:rsidRPr="00101A30">
            <w:rPr>
              <w:lang w:val="en-GB"/>
            </w:rPr>
            <w:t>3</w:t>
          </w:r>
        </w:smartTag>
        <w:r w:rsidRPr="00101A30">
          <w:rPr>
            <w:lang w:val="en-GB"/>
          </w:rPr>
          <w:t xml:space="preserve"> m</w:t>
        </w:r>
      </w:smartTag>
      <w:r w:rsidRPr="00101A30">
        <w:rPr>
          <w:lang w:val="en-GB"/>
        </w:rPr>
        <w:t xml:space="preserve"> above </w:t>
      </w:r>
      <w:r w:rsidRPr="00101A30">
        <w:rPr>
          <w:lang w:val="en-GB" w:eastAsia="ja-JP"/>
        </w:rPr>
        <w:t xml:space="preserve">the </w:t>
      </w:r>
      <w:r w:rsidRPr="00101A30">
        <w:rPr>
          <w:lang w:val="en-GB"/>
        </w:rPr>
        <w:t xml:space="preserve">ground at </w:t>
      </w:r>
      <w:r w:rsidRPr="00101A30">
        <w:rPr>
          <w:lang w:val="en-GB" w:eastAsia="ja-JP"/>
        </w:rPr>
        <w:t>any point</w:t>
      </w:r>
      <w:r w:rsidRPr="00101A30">
        <w:rPr>
          <w:lang w:val="en-GB"/>
        </w:rPr>
        <w:t xml:space="preserve"> of the territory of any other </w:t>
      </w:r>
      <w:r w:rsidRPr="00101A30">
        <w:rPr>
          <w:lang w:val="en-GB" w:eastAsia="ja-JP"/>
        </w:rPr>
        <w:t>a</w:t>
      </w:r>
      <w:r w:rsidRPr="00101A30">
        <w:rPr>
          <w:lang w:val="en-GB"/>
        </w:rPr>
        <w:t>dministration</w:t>
      </w:r>
      <w:r w:rsidRPr="00101A30">
        <w:rPr>
          <w:lang w:val="en-GB" w:eastAsia="ja-JP"/>
        </w:rPr>
        <w:t xml:space="preserve">s in Regions 1 and 3 </w:t>
      </w:r>
      <w:r w:rsidRPr="00101A30">
        <w:rPr>
          <w:lang w:val="en-GB"/>
        </w:rPr>
        <w:t>for</w:t>
      </w:r>
      <w:r w:rsidRPr="00101A30">
        <w:rPr>
          <w:lang w:val="en-GB" w:eastAsia="ja-JP"/>
        </w:rPr>
        <w:t xml:space="preserve"> </w:t>
      </w:r>
      <w:r w:rsidRPr="00101A30">
        <w:rPr>
          <w:lang w:val="en-GB"/>
        </w:rPr>
        <w:t xml:space="preserve">more than </w:t>
      </w:r>
      <w:r w:rsidRPr="00101A30">
        <w:rPr>
          <w:lang w:val="en-GB" w:eastAsia="ko-KR"/>
        </w:rPr>
        <w:t>20</w:t>
      </w:r>
      <w:r w:rsidRPr="00101A30">
        <w:rPr>
          <w:lang w:val="en-GB"/>
        </w:rPr>
        <w:t>% of the time, calculated in accordance with Recommendation ITU-R P.452-14;</w:t>
      </w:r>
    </w:p>
    <w:p w:rsidR="00C70A37" w:rsidRPr="00101A30" w:rsidRDefault="00C70A37" w:rsidP="00C70A37">
      <w:pPr>
        <w:rPr>
          <w:lang w:val="en-GB" w:eastAsia="ja-JP"/>
        </w:rPr>
      </w:pPr>
      <w:r w:rsidRPr="00101A30">
        <w:rPr>
          <w:b/>
          <w:iCs/>
          <w:lang w:val="en-GB" w:eastAsia="ja-JP"/>
        </w:rPr>
        <w:t>3</w:t>
      </w:r>
      <w:r w:rsidRPr="00101A30">
        <w:rPr>
          <w:lang w:val="en-GB" w:eastAsia="ja-JP"/>
        </w:rPr>
        <w:tab/>
        <w:t>that the following Notes should be considered as part of this Recommendation.</w:t>
      </w:r>
    </w:p>
    <w:p w:rsidR="00C70A37" w:rsidRPr="00101A30" w:rsidRDefault="00C70A37" w:rsidP="00C70A37">
      <w:pPr>
        <w:rPr>
          <w:lang w:val="en-GB"/>
        </w:rPr>
      </w:pPr>
      <w:r w:rsidRPr="00101A30">
        <w:rPr>
          <w:lang w:val="en-GB"/>
        </w:rPr>
        <w:t xml:space="preserve">NOTE 1 – The pfd value in </w:t>
      </w:r>
      <w:r w:rsidRPr="00101A30">
        <w:rPr>
          <w:i/>
          <w:lang w:val="en-GB"/>
        </w:rPr>
        <w:t xml:space="preserve">recommends </w:t>
      </w:r>
      <w:r w:rsidRPr="00101A30">
        <w:rPr>
          <w:iCs/>
          <w:lang w:val="en-GB"/>
        </w:rPr>
        <w:t>1</w:t>
      </w:r>
      <w:r w:rsidRPr="00101A30">
        <w:rPr>
          <w:lang w:val="en-GB"/>
        </w:rPr>
        <w:t xml:space="preserve"> was derived using the methodology contained in Annex 1.</w:t>
      </w:r>
    </w:p>
    <w:p w:rsidR="00C70A37" w:rsidRPr="00101A30" w:rsidRDefault="00C70A37" w:rsidP="00C70A37">
      <w:pPr>
        <w:rPr>
          <w:szCs w:val="24"/>
          <w:lang w:val="en-GB"/>
        </w:rPr>
      </w:pPr>
      <w:r w:rsidRPr="00101A30">
        <w:rPr>
          <w:lang w:val="en-GB"/>
        </w:rPr>
        <w:t xml:space="preserve">NOTE 2 – </w:t>
      </w:r>
      <w:r w:rsidRPr="00101A30">
        <w:rPr>
          <w:lang w:val="en-GB" w:eastAsia="ja-JP"/>
        </w:rPr>
        <w:t>The single</w:t>
      </w:r>
      <w:r>
        <w:rPr>
          <w:lang w:val="en-GB" w:eastAsia="ja-JP"/>
        </w:rPr>
        <w:t>-</w:t>
      </w:r>
      <w:r w:rsidRPr="00101A30">
        <w:rPr>
          <w:lang w:val="en-GB" w:eastAsia="ja-JP"/>
        </w:rPr>
        <w:t xml:space="preserve">entry pfd in </w:t>
      </w:r>
      <w:r w:rsidRPr="00101A30">
        <w:rPr>
          <w:i/>
          <w:lang w:val="en-GB" w:eastAsia="ja-JP"/>
        </w:rPr>
        <w:t xml:space="preserve">recommends </w:t>
      </w:r>
      <w:r w:rsidRPr="00101A30">
        <w:rPr>
          <w:iCs/>
          <w:lang w:val="en-GB" w:eastAsia="ja-JP"/>
        </w:rPr>
        <w:t>1</w:t>
      </w:r>
      <w:r w:rsidRPr="00101A30">
        <w:rPr>
          <w:lang w:val="en-GB" w:eastAsia="ja-JP"/>
        </w:rPr>
        <w:t xml:space="preserve"> is derived from an aggregate </w:t>
      </w:r>
      <w:r w:rsidRPr="00101A30">
        <w:rPr>
          <w:i/>
          <w:iCs/>
          <w:lang w:val="en-GB" w:eastAsia="ja-JP"/>
        </w:rPr>
        <w:t>I</w:t>
      </w:r>
      <w:r w:rsidRPr="00101A30">
        <w:rPr>
          <w:lang w:val="en-GB" w:eastAsia="ja-JP"/>
        </w:rPr>
        <w:t>/</w:t>
      </w:r>
      <w:r w:rsidRPr="00101A30">
        <w:rPr>
          <w:i/>
          <w:iCs/>
          <w:lang w:val="en-GB" w:eastAsia="ja-JP"/>
        </w:rPr>
        <w:t>N</w:t>
      </w:r>
      <w:r w:rsidRPr="00101A30">
        <w:rPr>
          <w:lang w:val="en-GB" w:eastAsia="ja-JP"/>
        </w:rPr>
        <w:t xml:space="preserve"> = –12.2 dB (corresponding to a 6% increase of the equivalent system noise temperature), assuming an equivalent number of 3.3 interfering sources, each transmitting at maximum single</w:t>
      </w:r>
      <w:r>
        <w:rPr>
          <w:lang w:val="en-GB" w:eastAsia="ja-JP"/>
        </w:rPr>
        <w:t>-</w:t>
      </w:r>
      <w:r w:rsidRPr="00101A30">
        <w:rPr>
          <w:lang w:val="en-GB" w:eastAsia="ja-JP"/>
        </w:rPr>
        <w:t>entry pfd.</w:t>
      </w:r>
    </w:p>
    <w:p w:rsidR="00C70A37" w:rsidRPr="00101A30" w:rsidRDefault="00C70A37" w:rsidP="00C70A37">
      <w:pPr>
        <w:rPr>
          <w:szCs w:val="24"/>
          <w:lang w:val="en-GB" w:eastAsia="ko-KR"/>
        </w:rPr>
      </w:pPr>
      <w:r w:rsidRPr="00101A30">
        <w:rPr>
          <w:szCs w:val="24"/>
          <w:lang w:val="en-GB" w:eastAsia="ko-KR"/>
        </w:rPr>
        <w:t xml:space="preserve">NOTE </w:t>
      </w:r>
      <w:r w:rsidRPr="00101A30">
        <w:rPr>
          <w:szCs w:val="24"/>
          <w:lang w:val="en-GB" w:eastAsia="ja-JP"/>
        </w:rPr>
        <w:t xml:space="preserve">3 </w:t>
      </w:r>
      <w:r w:rsidRPr="00101A30">
        <w:rPr>
          <w:lang w:val="en-GB"/>
        </w:rPr>
        <w:t>–</w:t>
      </w:r>
      <w:r w:rsidRPr="00101A30">
        <w:rPr>
          <w:szCs w:val="24"/>
          <w:lang w:val="en-GB" w:eastAsia="ja-JP"/>
        </w:rPr>
        <w:t xml:space="preserve"> </w:t>
      </w:r>
      <w:r w:rsidRPr="00101A30">
        <w:rPr>
          <w:szCs w:val="24"/>
          <w:lang w:val="en-GB" w:eastAsia="ko-KR"/>
        </w:rPr>
        <w:t xml:space="preserve">The </w:t>
      </w:r>
      <w:r>
        <w:rPr>
          <w:szCs w:val="24"/>
          <w:lang w:val="en-GB" w:eastAsia="ko-KR"/>
        </w:rPr>
        <w:t xml:space="preserve">pfd </w:t>
      </w:r>
      <w:r w:rsidRPr="00101A30">
        <w:rPr>
          <w:szCs w:val="24"/>
          <w:lang w:val="en-GB" w:eastAsia="ko-KR"/>
        </w:rPr>
        <w:t xml:space="preserve">value in </w:t>
      </w:r>
      <w:r w:rsidRPr="00101A30">
        <w:rPr>
          <w:i/>
          <w:szCs w:val="24"/>
          <w:lang w:val="en-GB" w:eastAsia="ko-KR"/>
        </w:rPr>
        <w:t>recommends</w:t>
      </w:r>
      <w:r w:rsidRPr="00101A30">
        <w:rPr>
          <w:szCs w:val="24"/>
          <w:lang w:val="en-GB" w:eastAsia="ko-KR"/>
        </w:rPr>
        <w:t xml:space="preserve"> </w:t>
      </w:r>
      <w:r w:rsidRPr="00101A30">
        <w:rPr>
          <w:iCs/>
          <w:szCs w:val="24"/>
          <w:lang w:val="en-GB" w:eastAsia="ko-KR"/>
        </w:rPr>
        <w:t>1</w:t>
      </w:r>
      <w:r w:rsidRPr="00101A30">
        <w:rPr>
          <w:szCs w:val="24"/>
          <w:lang w:val="en-GB" w:eastAsia="ko-KR"/>
        </w:rPr>
        <w:t xml:space="preserve"> is derived under the assumption that the minimum</w:t>
      </w:r>
      <w:r w:rsidRPr="00101A30">
        <w:rPr>
          <w:szCs w:val="24"/>
          <w:lang w:val="en-GB" w:eastAsia="ja-JP"/>
        </w:rPr>
        <w:t xml:space="preserve"> angle between the direction of maximum antenna gain of the BSS </w:t>
      </w:r>
      <w:r>
        <w:rPr>
          <w:szCs w:val="24"/>
          <w:lang w:val="en-GB" w:eastAsia="ja-JP"/>
        </w:rPr>
        <w:t xml:space="preserve">receiving </w:t>
      </w:r>
      <w:r w:rsidRPr="00101A30">
        <w:rPr>
          <w:szCs w:val="24"/>
          <w:lang w:val="en-GB" w:eastAsia="ja-JP"/>
        </w:rPr>
        <w:t>earth station and the direction to the interfering transmitter</w:t>
      </w:r>
      <w:r w:rsidRPr="00101A30">
        <w:rPr>
          <w:szCs w:val="24"/>
          <w:lang w:val="en-GB" w:eastAsia="ko-KR"/>
        </w:rPr>
        <w:t xml:space="preserve"> is 10 degrees.</w:t>
      </w:r>
    </w:p>
    <w:p w:rsidR="00C70A37" w:rsidRPr="00101A30" w:rsidRDefault="00C70A37" w:rsidP="00C70A37">
      <w:pPr>
        <w:pStyle w:val="AnnexNoTitle"/>
        <w:rPr>
          <w:b w:val="0"/>
          <w:lang w:val="en-GB" w:eastAsia="ko-KR"/>
        </w:rPr>
      </w:pPr>
      <w:r w:rsidRPr="00101A30">
        <w:rPr>
          <w:lang w:val="en-GB"/>
        </w:rPr>
        <w:lastRenderedPageBreak/>
        <w:t xml:space="preserve">Annex </w:t>
      </w:r>
      <w:r w:rsidRPr="00101A30">
        <w:rPr>
          <w:caps/>
          <w:lang w:val="en-GB"/>
        </w:rPr>
        <w:t>1</w:t>
      </w:r>
      <w:r w:rsidRPr="00101A30">
        <w:rPr>
          <w:caps/>
          <w:lang w:val="en-GB"/>
        </w:rPr>
        <w:br/>
      </w:r>
      <w:r w:rsidRPr="00101A30">
        <w:rPr>
          <w:caps/>
          <w:lang w:val="en-GB"/>
        </w:rPr>
        <w:br/>
      </w:r>
      <w:r w:rsidRPr="00101A30">
        <w:rPr>
          <w:lang w:val="en-GB" w:eastAsia="ko-KR"/>
        </w:rPr>
        <w:t xml:space="preserve">Methodology and assumptions to calculate the maximum permissible power flux-density value required for the protection of the BSS </w:t>
      </w:r>
      <w:r w:rsidRPr="00101A30">
        <w:rPr>
          <w:lang w:val="en-GB" w:eastAsia="ja-JP"/>
        </w:rPr>
        <w:t>receiving earth</w:t>
      </w:r>
      <w:r w:rsidRPr="00101A30">
        <w:rPr>
          <w:lang w:val="en-GB" w:eastAsia="ja-JP"/>
        </w:rPr>
        <w:br/>
        <w:t xml:space="preserve">stations </w:t>
      </w:r>
      <w:r w:rsidRPr="00101A30">
        <w:rPr>
          <w:lang w:val="en-GB" w:eastAsia="ko-KR"/>
        </w:rPr>
        <w:t>in Regions 1 and 3, from emission</w:t>
      </w:r>
      <w:r>
        <w:rPr>
          <w:lang w:val="en-GB" w:eastAsia="ko-KR"/>
        </w:rPr>
        <w:t>s</w:t>
      </w:r>
      <w:r w:rsidRPr="00101A30">
        <w:rPr>
          <w:lang w:val="en-GB" w:eastAsia="ko-KR"/>
        </w:rPr>
        <w:t xml:space="preserve"> by a terrestrial station</w:t>
      </w:r>
      <w:r w:rsidRPr="00101A30">
        <w:rPr>
          <w:lang w:val="en-GB" w:eastAsia="ko-KR"/>
        </w:rPr>
        <w:br/>
        <w:t>in the band 21.4-22.0 GHz</w:t>
      </w:r>
    </w:p>
    <w:p w:rsidR="00C70A37" w:rsidRPr="00101A30" w:rsidRDefault="00C70A37" w:rsidP="00C70A37">
      <w:pPr>
        <w:pStyle w:val="Normalaftertitle"/>
        <w:rPr>
          <w:lang w:val="en-GB"/>
        </w:rPr>
      </w:pPr>
      <w:r w:rsidRPr="00101A30">
        <w:rPr>
          <w:lang w:val="en-GB"/>
        </w:rPr>
        <w:t xml:space="preserve">In order to protect the BSS receiving earth station, the maximum permissible power flux-density (pfd) value produced by emissions from a terrestrial station </w:t>
      </w:r>
      <w:r w:rsidRPr="00101A30">
        <w:rPr>
          <w:lang w:val="en-GB" w:eastAsia="ko-KR"/>
        </w:rPr>
        <w:t xml:space="preserve">in the band 21.4-22.0 GHz </w:t>
      </w:r>
      <w:r w:rsidRPr="00101A30">
        <w:rPr>
          <w:lang w:val="en-GB"/>
        </w:rPr>
        <w:t>is given by the equation:</w:t>
      </w:r>
    </w:p>
    <w:p w:rsidR="00C70A37" w:rsidRPr="00101A30" w:rsidRDefault="00C70A37" w:rsidP="00C70A37">
      <w:pPr>
        <w:pStyle w:val="Equation"/>
        <w:rPr>
          <w:szCs w:val="24"/>
          <w:lang w:val="en-GB"/>
        </w:rPr>
      </w:pPr>
      <w:r w:rsidRPr="00101A30">
        <w:rPr>
          <w:lang w:val="en-GB"/>
        </w:rPr>
        <w:tab/>
      </w:r>
      <w:r w:rsidRPr="00101A30">
        <w:rPr>
          <w:lang w:val="en-GB"/>
        </w:rPr>
        <w:tab/>
      </w:r>
      <w:r w:rsidRPr="00101A30">
        <w:rPr>
          <w:position w:val="-12"/>
          <w:lang w:val="en-GB"/>
        </w:rPr>
        <w:object w:dxaOrig="29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8pt" o:ole="">
            <v:imagedata r:id="rId13" o:title=""/>
          </v:shape>
          <o:OLEObject Type="Embed" ProgID="Equation.3" ShapeID="_x0000_i1025" DrawAspect="Content" ObjectID="_1417409282" r:id="rId14"/>
        </w:object>
      </w:r>
      <w:r w:rsidRPr="00101A30">
        <w:rPr>
          <w:szCs w:val="24"/>
          <w:lang w:val="en-GB"/>
        </w:rPr>
        <w:tab/>
        <w:t>(1)</w:t>
      </w:r>
    </w:p>
    <w:p w:rsidR="00C70A37" w:rsidRPr="00101A30" w:rsidRDefault="00C70A37" w:rsidP="00C70A37">
      <w:pPr>
        <w:rPr>
          <w:lang w:val="en-GB"/>
        </w:rPr>
      </w:pPr>
      <w:r w:rsidRPr="00101A30">
        <w:rPr>
          <w:lang w:val="en-GB"/>
        </w:rPr>
        <w:t>where:</w:t>
      </w:r>
    </w:p>
    <w:p w:rsidR="00C70A37" w:rsidRPr="00101A30" w:rsidRDefault="00C70A37" w:rsidP="004D4301">
      <w:pPr>
        <w:pStyle w:val="Equationlegend"/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ab/>
      </w:r>
      <w:r w:rsidRPr="00101A30">
        <w:rPr>
          <w:i/>
          <w:iCs/>
          <w:lang w:val="en-GB"/>
        </w:rPr>
        <w:t>PFD</w:t>
      </w:r>
      <w:r w:rsidRPr="00101A30">
        <w:rPr>
          <w:i/>
          <w:iCs/>
          <w:vertAlign w:val="subscript"/>
          <w:lang w:val="en-GB"/>
        </w:rPr>
        <w:t>n</w:t>
      </w:r>
      <w:r w:rsidRPr="00101A30">
        <w:rPr>
          <w:lang w:val="en-GB" w:eastAsia="ko-KR"/>
        </w:rPr>
        <w:t>:</w:t>
      </w:r>
      <w:r w:rsidRPr="00101A30">
        <w:rPr>
          <w:lang w:val="en-GB" w:eastAsia="ko-KR"/>
        </w:rPr>
        <w:tab/>
        <w:t xml:space="preserve">maximum </w:t>
      </w:r>
      <w:r w:rsidRPr="00101A30">
        <w:rPr>
          <w:lang w:val="en-GB"/>
        </w:rPr>
        <w:t>permissible pfd value</w:t>
      </w:r>
      <w:r w:rsidRPr="00101A30">
        <w:rPr>
          <w:lang w:val="en-GB" w:eastAsia="ko-KR"/>
        </w:rPr>
        <w:t xml:space="preserve"> for a single terrestrial station (</w:t>
      </w:r>
      <w:r w:rsidRPr="00101A30">
        <w:rPr>
          <w:szCs w:val="24"/>
          <w:lang w:val="en-GB"/>
        </w:rPr>
        <w:t>dB(W/(m</w:t>
      </w:r>
      <w:r w:rsidRPr="00101A30">
        <w:rPr>
          <w:szCs w:val="24"/>
          <w:vertAlign w:val="superscript"/>
          <w:lang w:val="en-GB"/>
        </w:rPr>
        <w:t>2</w:t>
      </w:r>
      <w:r w:rsidRPr="00101A30">
        <w:rPr>
          <w:rFonts w:eastAsia="HYMyeongJo-Extra"/>
          <w:szCs w:val="24"/>
          <w:lang w:val="en-GB"/>
        </w:rPr>
        <w:t>·</w:t>
      </w:r>
      <w:r w:rsidRPr="00101A30">
        <w:rPr>
          <w:szCs w:val="24"/>
          <w:lang w:val="en-GB" w:eastAsia="ko-KR"/>
        </w:rPr>
        <w:t>M</w:t>
      </w:r>
      <w:r w:rsidRPr="00101A30">
        <w:rPr>
          <w:szCs w:val="24"/>
          <w:lang w:val="en-GB"/>
        </w:rPr>
        <w:t>Hz)</w:t>
      </w:r>
      <w:r w:rsidRPr="00101A30">
        <w:rPr>
          <w:szCs w:val="24"/>
          <w:lang w:val="en-GB" w:eastAsia="ko-KR"/>
        </w:rPr>
        <w:t>))</w:t>
      </w:r>
    </w:p>
    <w:p w:rsidR="00C70A37" w:rsidRDefault="00C70A37" w:rsidP="00C70A37">
      <w:pPr>
        <w:pStyle w:val="Equationlegend"/>
        <w:rPr>
          <w:lang w:val="en-GB" w:eastAsia="ko-KR"/>
        </w:rPr>
      </w:pPr>
      <w:r w:rsidRPr="00101A30">
        <w:rPr>
          <w:lang w:val="en-GB" w:eastAsia="ko-KR"/>
        </w:rPr>
        <w:tab/>
      </w:r>
      <w:r w:rsidRPr="00101A30">
        <w:rPr>
          <w:i/>
          <w:iCs/>
          <w:lang w:val="en-GB"/>
        </w:rPr>
        <w:t>P</w:t>
      </w:r>
      <w:r w:rsidRPr="00101A30">
        <w:rPr>
          <w:i/>
          <w:iCs/>
          <w:vertAlign w:val="subscript"/>
          <w:lang w:val="en-GB"/>
        </w:rPr>
        <w:t>n</w:t>
      </w:r>
      <w:r w:rsidRPr="00101A30">
        <w:rPr>
          <w:lang w:val="en-GB"/>
        </w:rPr>
        <w:t xml:space="preserve"> = k</w:t>
      </w:r>
      <w:r w:rsidRPr="00101A30">
        <w:rPr>
          <w:i/>
          <w:iCs/>
          <w:lang w:val="en-GB"/>
        </w:rPr>
        <w:t>T</w:t>
      </w:r>
      <w:r w:rsidRPr="00101A30">
        <w:rPr>
          <w:lang w:val="en-GB"/>
        </w:rPr>
        <w:t xml:space="preserve"> × </w:t>
      </w:r>
      <w:r w:rsidRPr="00101A30">
        <w:rPr>
          <w:lang w:val="en-GB" w:eastAsia="ko-KR"/>
        </w:rPr>
        <w:t>(10</w:t>
      </w:r>
      <w:r w:rsidRPr="00101A30">
        <w:rPr>
          <w:vertAlign w:val="superscript"/>
          <w:lang w:val="en-GB" w:eastAsia="ko-KR"/>
        </w:rPr>
        <w:t>6</w:t>
      </w:r>
      <w:r w:rsidRPr="00101A30">
        <w:rPr>
          <w:lang w:val="en-GB" w:eastAsia="ko-KR"/>
        </w:rPr>
        <w:t>)</w:t>
      </w:r>
      <w:r w:rsidRPr="00101A30">
        <w:rPr>
          <w:lang w:val="en-GB" w:eastAsia="ja-JP"/>
        </w:rPr>
        <w:t>:</w:t>
      </w:r>
      <w:r w:rsidRPr="00101A30">
        <w:rPr>
          <w:lang w:val="en-GB"/>
        </w:rPr>
        <w:tab/>
        <w:t xml:space="preserve">BSS </w:t>
      </w:r>
      <w:r w:rsidRPr="00101A30">
        <w:rPr>
          <w:lang w:val="en-GB" w:eastAsia="ko-KR"/>
        </w:rPr>
        <w:t xml:space="preserve">receiving </w:t>
      </w:r>
      <w:r w:rsidRPr="00101A30">
        <w:rPr>
          <w:lang w:val="en-GB" w:eastAsia="ja-JP"/>
        </w:rPr>
        <w:t xml:space="preserve">earth </w:t>
      </w:r>
      <w:r w:rsidRPr="00101A30">
        <w:rPr>
          <w:lang w:val="en-GB"/>
        </w:rPr>
        <w:t>station noise power (</w:t>
      </w:r>
      <w:r w:rsidRPr="00101A30">
        <w:rPr>
          <w:lang w:val="en-GB" w:eastAsia="ko-KR"/>
        </w:rPr>
        <w:t>dB(W/</w:t>
      </w:r>
      <w:r w:rsidR="00247339">
        <w:rPr>
          <w:lang w:val="en-GB" w:eastAsia="ko-KR"/>
        </w:rPr>
        <w:t>MHz))</w:t>
      </w:r>
    </w:p>
    <w:p w:rsidR="00C70A37" w:rsidRDefault="00C70A37" w:rsidP="00C70A37">
      <w:pPr>
        <w:pStyle w:val="Equationlegend"/>
        <w:rPr>
          <w:color w:val="000000"/>
          <w:szCs w:val="24"/>
          <w:lang w:eastAsia="ko-KR"/>
        </w:rPr>
      </w:pPr>
      <w:r w:rsidRPr="00CD4AD6">
        <w:rPr>
          <w:color w:val="000000"/>
          <w:szCs w:val="24"/>
          <w:lang w:eastAsia="ko-KR"/>
        </w:rPr>
        <w:tab/>
      </w:r>
      <w:r w:rsidRPr="00CD4AD6">
        <w:rPr>
          <w:i/>
          <w:color w:val="000000"/>
          <w:szCs w:val="24"/>
          <w:lang w:eastAsia="ko-KR"/>
        </w:rPr>
        <w:t>I / N</w:t>
      </w:r>
      <w:r>
        <w:rPr>
          <w:color w:val="000000"/>
          <w:szCs w:val="24"/>
          <w:lang w:eastAsia="ko-KR"/>
        </w:rPr>
        <w:t>:</w:t>
      </w:r>
      <w:r>
        <w:rPr>
          <w:color w:val="000000"/>
          <w:szCs w:val="24"/>
          <w:lang w:eastAsia="ko-KR"/>
        </w:rPr>
        <w:tab/>
        <w:t>permissible interfe</w:t>
      </w:r>
      <w:r w:rsidR="00247339">
        <w:rPr>
          <w:color w:val="000000"/>
          <w:szCs w:val="24"/>
          <w:lang w:eastAsia="ko-KR"/>
        </w:rPr>
        <w:t>rence-to-noise power ratio (dB)</w:t>
      </w:r>
    </w:p>
    <w:p w:rsidR="00C70A37" w:rsidRPr="00101A30" w:rsidRDefault="00C70A37" w:rsidP="00C70A37">
      <w:pPr>
        <w:pStyle w:val="Equationlegend"/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ab/>
      </w:r>
      <w:r w:rsidRPr="00101A30">
        <w:rPr>
          <w:i/>
          <w:iCs/>
          <w:lang w:val="en-GB"/>
        </w:rPr>
        <w:t>S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>)</w:t>
      </w:r>
      <w:r w:rsidRPr="00101A30">
        <w:rPr>
          <w:lang w:val="en-GB" w:eastAsia="ko-KR"/>
        </w:rPr>
        <w:t>:</w:t>
      </w:r>
      <w:r w:rsidRPr="00101A30">
        <w:rPr>
          <w:lang w:val="en-GB"/>
        </w:rPr>
        <w:t xml:space="preserve"> </w:t>
      </w:r>
      <w:r w:rsidRPr="00101A30">
        <w:rPr>
          <w:lang w:val="en-GB"/>
        </w:rPr>
        <w:tab/>
        <w:t xml:space="preserve">BSS </w:t>
      </w:r>
      <w:r w:rsidRPr="00101A30">
        <w:rPr>
          <w:lang w:val="en-GB" w:eastAsia="ko-KR"/>
        </w:rPr>
        <w:t xml:space="preserve">receiving </w:t>
      </w:r>
      <w:r w:rsidRPr="00101A30">
        <w:rPr>
          <w:lang w:val="en-GB" w:eastAsia="ja-JP"/>
        </w:rPr>
        <w:t>earth</w:t>
      </w:r>
      <w:r w:rsidRPr="00101A30">
        <w:rPr>
          <w:lang w:val="en-GB"/>
        </w:rPr>
        <w:t xml:space="preserve"> station antenna-effective area </w:t>
      </w:r>
      <w:r w:rsidRPr="00101A30">
        <w:rPr>
          <w:lang w:val="en-GB" w:eastAsia="ko-KR"/>
        </w:rPr>
        <w:t>(</w:t>
      </w:r>
      <w:r w:rsidRPr="00101A30">
        <w:rPr>
          <w:lang w:val="en-GB"/>
        </w:rPr>
        <w:t>dBm</w:t>
      </w:r>
      <w:r w:rsidRPr="00101A30">
        <w:rPr>
          <w:vertAlign w:val="superscript"/>
          <w:lang w:val="en-GB"/>
        </w:rPr>
        <w:t>2</w:t>
      </w:r>
      <w:r w:rsidRPr="00101A30">
        <w:rPr>
          <w:lang w:val="en-GB" w:eastAsia="ko-KR"/>
        </w:rPr>
        <w:t>)</w:t>
      </w:r>
      <w:r w:rsidRPr="00101A30">
        <w:rPr>
          <w:lang w:val="en-GB"/>
        </w:rPr>
        <w:t>.</w:t>
      </w:r>
    </w:p>
    <w:p w:rsidR="00C70A37" w:rsidRPr="00101A30" w:rsidRDefault="00C70A37" w:rsidP="00247339">
      <w:pPr>
        <w:rPr>
          <w:lang w:val="en-GB" w:eastAsia="ko-KR"/>
        </w:rPr>
      </w:pPr>
      <w:r w:rsidRPr="00101A30">
        <w:rPr>
          <w:lang w:val="en-GB"/>
        </w:rPr>
        <w:t xml:space="preserve">The </w:t>
      </w:r>
      <w:r>
        <w:rPr>
          <w:lang w:val="en-GB"/>
        </w:rPr>
        <w:t xml:space="preserve">equivalent </w:t>
      </w:r>
      <w:r w:rsidRPr="00101A30">
        <w:rPr>
          <w:lang w:val="en-GB"/>
        </w:rPr>
        <w:t xml:space="preserve">noise temperature </w:t>
      </w:r>
      <w:r>
        <w:rPr>
          <w:lang w:val="en-GB"/>
        </w:rPr>
        <w:t xml:space="preserve">of the BSS receiving earth station </w:t>
      </w:r>
      <w:r w:rsidRPr="00101A30">
        <w:rPr>
          <w:lang w:val="en-GB" w:eastAsia="ko-KR"/>
        </w:rPr>
        <w:t>is assumed as 140</w:t>
      </w:r>
      <w:r w:rsidRPr="00101A30">
        <w:rPr>
          <w:lang w:val="en-GB"/>
        </w:rPr>
        <w:t> </w:t>
      </w:r>
      <w:r w:rsidRPr="00101A30">
        <w:rPr>
          <w:lang w:val="en-GB" w:eastAsia="ko-KR"/>
        </w:rPr>
        <w:t xml:space="preserve">K. Therefore, the noise power, </w:t>
      </w:r>
      <w:r w:rsidRPr="00101A30">
        <w:rPr>
          <w:i/>
          <w:iCs/>
          <w:lang w:val="en-GB" w:eastAsia="ko-KR"/>
        </w:rPr>
        <w:t>P</w:t>
      </w:r>
      <w:r w:rsidRPr="00101A30">
        <w:rPr>
          <w:i/>
          <w:iCs/>
          <w:vertAlign w:val="subscript"/>
          <w:lang w:val="en-GB" w:eastAsia="ko-KR"/>
        </w:rPr>
        <w:t>n</w:t>
      </w:r>
      <w:r w:rsidRPr="00101A30">
        <w:rPr>
          <w:lang w:val="en-GB"/>
        </w:rPr>
        <w:t>,</w:t>
      </w:r>
      <w:r w:rsidRPr="00101A30">
        <w:rPr>
          <w:lang w:val="en-GB" w:eastAsia="ko-KR"/>
        </w:rPr>
        <w:t xml:space="preserve"> for the BSS receiving s</w:t>
      </w:r>
      <w:r w:rsidR="00247339">
        <w:rPr>
          <w:lang w:val="en-GB" w:eastAsia="ko-KR"/>
        </w:rPr>
        <w:t>tation is calculated as follows:</w:t>
      </w:r>
    </w:p>
    <w:p w:rsidR="00C70A37" w:rsidRPr="00101A30" w:rsidRDefault="00C70A37" w:rsidP="00C70A37">
      <w:pPr>
        <w:pStyle w:val="Equation"/>
        <w:rPr>
          <w:lang w:val="en-GB" w:eastAsia="ko-KR"/>
        </w:rPr>
      </w:pPr>
      <w:r w:rsidRPr="00101A30">
        <w:rPr>
          <w:lang w:val="en-GB" w:eastAsia="ko-KR"/>
        </w:rPr>
        <w:tab/>
      </w:r>
      <w:r w:rsidRPr="00101A30">
        <w:rPr>
          <w:lang w:val="en-GB" w:eastAsia="ko-KR"/>
        </w:rPr>
        <w:tab/>
      </w:r>
      <w:r w:rsidRPr="00101A30">
        <w:rPr>
          <w:i/>
          <w:iCs/>
          <w:lang w:val="en-GB" w:eastAsia="ko-KR"/>
        </w:rPr>
        <w:t>P</w:t>
      </w:r>
      <w:r w:rsidRPr="00101A30">
        <w:rPr>
          <w:i/>
          <w:iCs/>
          <w:vertAlign w:val="subscript"/>
          <w:lang w:val="en-GB" w:eastAsia="ko-KR"/>
        </w:rPr>
        <w:t>n</w:t>
      </w:r>
      <w:r w:rsidRPr="00101A30">
        <w:rPr>
          <w:lang w:val="en-GB" w:eastAsia="ko-KR"/>
        </w:rPr>
        <w:t xml:space="preserve"> = –228.6 + 10 log(140) + 10 log(10</w:t>
      </w:r>
      <w:r w:rsidRPr="00101A30">
        <w:rPr>
          <w:vertAlign w:val="superscript"/>
          <w:lang w:val="en-GB" w:eastAsia="ko-KR"/>
        </w:rPr>
        <w:t>6</w:t>
      </w:r>
      <w:r w:rsidRPr="00101A30">
        <w:rPr>
          <w:lang w:val="en-GB" w:eastAsia="ko-KR"/>
        </w:rPr>
        <w:t>) = –147.1 dB(W/MHz)</w:t>
      </w:r>
      <w:r w:rsidRPr="00101A30">
        <w:rPr>
          <w:lang w:val="en-GB" w:eastAsia="ko-KR"/>
        </w:rPr>
        <w:tab/>
      </w:r>
      <w:r w:rsidRPr="00101A30">
        <w:rPr>
          <w:szCs w:val="24"/>
          <w:lang w:val="en-GB"/>
        </w:rPr>
        <w:t>(2)</w:t>
      </w:r>
    </w:p>
    <w:p w:rsidR="00C70A37" w:rsidRPr="00101A30" w:rsidRDefault="00C70A37" w:rsidP="00C70A37">
      <w:pPr>
        <w:rPr>
          <w:lang w:val="en-GB" w:eastAsia="ko-KR"/>
        </w:rPr>
      </w:pPr>
      <w:r w:rsidRPr="00101A30">
        <w:rPr>
          <w:lang w:val="en-GB" w:eastAsia="ja-JP"/>
        </w:rPr>
        <w:t xml:space="preserve">The permissible </w:t>
      </w:r>
      <w:r w:rsidRPr="000E54A2">
        <w:rPr>
          <w:i/>
          <w:iCs/>
          <w:lang w:val="en-GB" w:eastAsia="ko-KR"/>
        </w:rPr>
        <w:t>I</w:t>
      </w:r>
      <w:r w:rsidRPr="00101A30">
        <w:rPr>
          <w:lang w:val="en-GB" w:eastAsia="ko-KR"/>
        </w:rPr>
        <w:t>/</w:t>
      </w:r>
      <w:r w:rsidRPr="000E54A2">
        <w:rPr>
          <w:i/>
          <w:iCs/>
          <w:lang w:val="en-GB" w:eastAsia="ko-KR"/>
        </w:rPr>
        <w:t>N</w:t>
      </w:r>
      <w:r w:rsidRPr="00101A30">
        <w:rPr>
          <w:lang w:val="en-GB" w:eastAsia="ko-KR"/>
        </w:rPr>
        <w:t xml:space="preserve"> </w:t>
      </w:r>
      <w:r w:rsidRPr="00101A30">
        <w:rPr>
          <w:lang w:val="en-GB" w:eastAsia="ja-JP"/>
        </w:rPr>
        <w:t>ratio from</w:t>
      </w:r>
      <w:r w:rsidRPr="00101A30">
        <w:rPr>
          <w:lang w:val="en-GB" w:eastAsia="ko-KR"/>
        </w:rPr>
        <w:t xml:space="preserve"> a single terrestrial station is assumed as –17.4 dB</w:t>
      </w:r>
      <w:r w:rsidRPr="00101A30">
        <w:rPr>
          <w:rStyle w:val="FootnoteReference"/>
          <w:lang w:val="en-GB" w:eastAsia="ko-KR"/>
        </w:rPr>
        <w:footnoteReference w:id="1"/>
      </w:r>
      <w:r w:rsidRPr="00101A30">
        <w:rPr>
          <w:lang w:val="en-GB" w:eastAsia="ko-KR"/>
        </w:rPr>
        <w:t>.</w:t>
      </w:r>
    </w:p>
    <w:p w:rsidR="00C70A37" w:rsidRPr="00101A30" w:rsidRDefault="00C70A37" w:rsidP="00C70A37">
      <w:pPr>
        <w:rPr>
          <w:color w:val="000000"/>
          <w:sz w:val="20"/>
          <w:lang w:val="en-GB"/>
        </w:rPr>
      </w:pPr>
      <w:r w:rsidRPr="000E54A2">
        <w:rPr>
          <w:i/>
          <w:iCs/>
          <w:lang w:val="en-GB"/>
        </w:rPr>
        <w:t>S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>) is defined by the following equation</w:t>
      </w:r>
      <w:r w:rsidRPr="00101A30">
        <w:rPr>
          <w:color w:val="000000"/>
          <w:sz w:val="20"/>
          <w:lang w:val="en-GB"/>
        </w:rPr>
        <w:t>:</w:t>
      </w:r>
    </w:p>
    <w:p w:rsidR="00C70A37" w:rsidRPr="00101A30" w:rsidRDefault="00C70A37" w:rsidP="00C70A37">
      <w:pPr>
        <w:pStyle w:val="Equation"/>
        <w:rPr>
          <w:color w:val="000000"/>
          <w:sz w:val="20"/>
          <w:lang w:val="en-GB"/>
        </w:rPr>
      </w:pPr>
      <w:r w:rsidRPr="00101A30">
        <w:rPr>
          <w:lang w:val="en-GB"/>
        </w:rPr>
        <w:tab/>
      </w:r>
      <w:r w:rsidRPr="00101A30">
        <w:rPr>
          <w:lang w:val="en-GB"/>
        </w:rPr>
        <w:tab/>
      </w:r>
      <w:r w:rsidRPr="00F959B9">
        <w:rPr>
          <w:position w:val="-12"/>
          <w:lang w:val="en-GB"/>
        </w:rPr>
        <w:object w:dxaOrig="3440" w:dyaOrig="420">
          <v:shape id="_x0000_i1026" type="#_x0000_t75" style="width:171.75pt;height:21pt" o:ole="">
            <v:imagedata r:id="rId15" o:title=""/>
          </v:shape>
          <o:OLEObject Type="Embed" ProgID="Equation.3" ShapeID="_x0000_i1026" DrawAspect="Content" ObjectID="_1417409283" r:id="rId16"/>
        </w:object>
      </w:r>
      <w:r>
        <w:rPr>
          <w:lang w:val="en-GB"/>
        </w:rPr>
        <w:tab/>
      </w:r>
      <w:r w:rsidRPr="00101A30">
        <w:rPr>
          <w:szCs w:val="24"/>
          <w:lang w:val="en-GB"/>
        </w:rPr>
        <w:t>(3)</w:t>
      </w:r>
    </w:p>
    <w:p w:rsidR="00C70A37" w:rsidRPr="00101A30" w:rsidRDefault="00C70A37" w:rsidP="00C70A37">
      <w:pPr>
        <w:rPr>
          <w:color w:val="000000"/>
          <w:sz w:val="20"/>
          <w:lang w:val="en-GB"/>
        </w:rPr>
      </w:pPr>
      <w:r w:rsidRPr="00101A30">
        <w:rPr>
          <w:lang w:val="en-GB" w:eastAsia="ko-KR"/>
        </w:rPr>
        <w:t>w</w:t>
      </w:r>
      <w:r w:rsidRPr="00101A30">
        <w:rPr>
          <w:lang w:val="en-GB"/>
        </w:rPr>
        <w:t xml:space="preserve">here </w:t>
      </w:r>
      <w:r w:rsidRPr="00101A30">
        <w:rPr>
          <w:i/>
          <w:iCs/>
          <w:lang w:val="en-GB"/>
        </w:rPr>
        <w:t>G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) </w:t>
      </w:r>
      <w:r w:rsidRPr="00101A30">
        <w:rPr>
          <w:lang w:val="en-GB" w:eastAsia="ja-JP"/>
        </w:rPr>
        <w:t>is</w:t>
      </w:r>
      <w:r w:rsidRPr="00101A30">
        <w:rPr>
          <w:lang w:val="en-GB"/>
        </w:rPr>
        <w:t xml:space="preserve"> BSS receiv</w:t>
      </w:r>
      <w:r w:rsidRPr="00101A30">
        <w:rPr>
          <w:lang w:val="en-GB" w:eastAsia="ja-JP"/>
        </w:rPr>
        <w:t>ing earth</w:t>
      </w:r>
      <w:r w:rsidRPr="00101A30">
        <w:rPr>
          <w:lang w:val="en-GB"/>
        </w:rPr>
        <w:t xml:space="preserve"> station antenna gain in the direction φ</w:t>
      </w:r>
      <w:r w:rsidRPr="00FB4893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 from the axis of the main beam and in a corresponding range of φ</w:t>
      </w:r>
      <w:r w:rsidRPr="00FB4893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 values, the antenna gain is equal</w:t>
      </w:r>
      <w:r w:rsidRPr="00101A30">
        <w:rPr>
          <w:lang w:val="en-GB" w:eastAsia="ja-JP"/>
        </w:rPr>
        <w:t xml:space="preserve"> to</w:t>
      </w:r>
      <w:r w:rsidRPr="00101A30">
        <w:rPr>
          <w:lang w:val="en-GB"/>
        </w:rPr>
        <w:t>:</w:t>
      </w:r>
    </w:p>
    <w:p w:rsidR="00C70A37" w:rsidRPr="00101A30" w:rsidRDefault="00C70A37" w:rsidP="00C70A37">
      <w:pPr>
        <w:pStyle w:val="Equation"/>
        <w:rPr>
          <w:lang w:val="en-GB" w:eastAsia="ja-JP"/>
        </w:rPr>
      </w:pPr>
      <w:r w:rsidRPr="00101A30">
        <w:rPr>
          <w:lang w:val="en-GB"/>
        </w:rPr>
        <w:tab/>
      </w:r>
      <w:r w:rsidRPr="00101A30">
        <w:rPr>
          <w:lang w:val="en-GB"/>
        </w:rPr>
        <w:tab/>
      </w:r>
      <w:r w:rsidRPr="00C32382">
        <w:rPr>
          <w:position w:val="-12"/>
          <w:lang w:val="en-GB"/>
        </w:rPr>
        <w:object w:dxaOrig="3600" w:dyaOrig="360">
          <v:shape id="_x0000_i1027" type="#_x0000_t75" style="width:180pt;height:18pt" o:ole="">
            <v:imagedata r:id="rId17" o:title=""/>
          </v:shape>
          <o:OLEObject Type="Embed" ProgID="Equation.3" ShapeID="_x0000_i1027" DrawAspect="Content" ObjectID="_1417409284" r:id="rId18"/>
        </w:object>
      </w:r>
      <w:r w:rsidRPr="00101A30">
        <w:rPr>
          <w:lang w:val="en-GB"/>
        </w:rPr>
        <w:tab/>
      </w:r>
      <w:r w:rsidRPr="00101A30">
        <w:rPr>
          <w:szCs w:val="24"/>
          <w:lang w:val="en-GB"/>
        </w:rPr>
        <w:t>(4)</w:t>
      </w:r>
    </w:p>
    <w:p w:rsidR="00C70A37" w:rsidRPr="00101A30" w:rsidRDefault="00C70A37" w:rsidP="00C70A37">
      <w:pPr>
        <w:spacing w:after="120"/>
        <w:rPr>
          <w:szCs w:val="24"/>
          <w:lang w:val="en-GB" w:eastAsia="ko-KR"/>
        </w:rPr>
      </w:pPr>
      <w:r w:rsidRPr="00101A30">
        <w:rPr>
          <w:lang w:val="en-GB" w:eastAsia="ko-KR"/>
        </w:rPr>
        <w:t xml:space="preserve">where </w:t>
      </w:r>
      <w:r w:rsidRPr="00101A30">
        <w:rPr>
          <w:szCs w:val="24"/>
          <w:lang w:val="en-GB" w:eastAsia="ko-KR"/>
        </w:rPr>
        <w:t xml:space="preserve">the minimum </w:t>
      </w:r>
      <w:r w:rsidRPr="00101A30">
        <w:rPr>
          <w:szCs w:val="24"/>
          <w:lang w:val="en-GB" w:eastAsia="ja-JP"/>
        </w:rPr>
        <w:t xml:space="preserve">angle between the direction of maximum antenna gain of the BSS </w:t>
      </w:r>
      <w:r>
        <w:rPr>
          <w:szCs w:val="24"/>
          <w:lang w:val="en-GB" w:eastAsia="ja-JP"/>
        </w:rPr>
        <w:t xml:space="preserve">receiving </w:t>
      </w:r>
      <w:r w:rsidRPr="00101A30">
        <w:rPr>
          <w:szCs w:val="24"/>
          <w:lang w:val="en-GB" w:eastAsia="ja-JP"/>
        </w:rPr>
        <w:t>earth station and the direction to the interfering transmitter,</w:t>
      </w:r>
      <w:r w:rsidRPr="00101A30">
        <w:rPr>
          <w:lang w:val="en-GB"/>
        </w:rPr>
        <w:t xml:space="preserve"> 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>,</w:t>
      </w:r>
      <w:r w:rsidRPr="00101A30">
        <w:rPr>
          <w:lang w:val="en-GB" w:eastAsia="ko-KR"/>
        </w:rPr>
        <w:t xml:space="preserve"> </w:t>
      </w:r>
      <w:r w:rsidRPr="00101A30">
        <w:rPr>
          <w:szCs w:val="24"/>
          <w:lang w:val="en-GB" w:eastAsia="ko-KR"/>
        </w:rPr>
        <w:t>for the broadcasting-satellite network in the band 21.4</w:t>
      </w:r>
      <w:r w:rsidRPr="00101A30">
        <w:rPr>
          <w:szCs w:val="24"/>
          <w:lang w:val="en-GB" w:eastAsia="ko-KR"/>
        </w:rPr>
        <w:noBreakHyphen/>
        <w:t>22.0 GHz is assumed as 10 degrees.</w:t>
      </w:r>
      <w:r w:rsidRPr="00101A30">
        <w:rPr>
          <w:szCs w:val="24"/>
          <w:lang w:val="en-GB" w:eastAsia="ja-JP"/>
        </w:rPr>
        <w:t xml:space="preserve"> </w:t>
      </w:r>
    </w:p>
    <w:p w:rsidR="00C70A37" w:rsidRPr="00101A30" w:rsidRDefault="00C70A37" w:rsidP="00C70A37">
      <w:pPr>
        <w:rPr>
          <w:color w:val="000000"/>
          <w:sz w:val="20"/>
          <w:lang w:val="en-GB" w:eastAsia="ko-KR"/>
        </w:rPr>
      </w:pPr>
      <w:r w:rsidRPr="00101A30">
        <w:rPr>
          <w:lang w:val="en-GB" w:eastAsia="ko-KR"/>
        </w:rPr>
        <w:t>Then,</w:t>
      </w:r>
      <w:r w:rsidRPr="00101A30">
        <w:rPr>
          <w:lang w:val="en-GB"/>
        </w:rPr>
        <w:t xml:space="preserve"> </w:t>
      </w:r>
      <w:r w:rsidRPr="00101A30">
        <w:rPr>
          <w:i/>
          <w:iCs/>
          <w:lang w:val="en-GB"/>
        </w:rPr>
        <w:t>S</w:t>
      </w:r>
      <w:r w:rsidRPr="00101A30">
        <w:rPr>
          <w:lang w:val="en-GB"/>
        </w:rPr>
        <w:t>(φ</w:t>
      </w:r>
      <w:r w:rsidRPr="00C32382">
        <w:rPr>
          <w:i/>
          <w:iCs/>
          <w:vertAlign w:val="subscript"/>
          <w:lang w:val="en-GB"/>
        </w:rPr>
        <w:t>min</w:t>
      </w:r>
      <w:r w:rsidRPr="00101A30">
        <w:rPr>
          <w:lang w:val="en-GB"/>
        </w:rPr>
        <w:t xml:space="preserve">) = </w:t>
      </w:r>
      <w:r w:rsidRPr="00101A30">
        <w:rPr>
          <w:lang w:val="en-GB" w:eastAsia="ko-KR"/>
        </w:rPr>
        <w:t>–</w:t>
      </w:r>
      <w:r w:rsidRPr="00101A30">
        <w:rPr>
          <w:lang w:val="en-GB"/>
        </w:rPr>
        <w:t>44.2 dBm</w:t>
      </w:r>
      <w:r w:rsidRPr="00101A30">
        <w:rPr>
          <w:vertAlign w:val="superscript"/>
          <w:lang w:val="en-GB"/>
        </w:rPr>
        <w:t>2</w:t>
      </w:r>
      <w:r w:rsidRPr="00101A30">
        <w:rPr>
          <w:lang w:val="en-GB" w:eastAsia="ko-KR"/>
        </w:rPr>
        <w:t xml:space="preserve"> (at 21.7 GHz).</w:t>
      </w:r>
    </w:p>
    <w:p w:rsidR="00C70A37" w:rsidRPr="00101A30" w:rsidRDefault="00C70A37" w:rsidP="00C70A37">
      <w:pPr>
        <w:rPr>
          <w:color w:val="000000"/>
          <w:sz w:val="20"/>
          <w:lang w:val="en-GB"/>
        </w:rPr>
      </w:pPr>
      <w:r w:rsidRPr="00101A30">
        <w:rPr>
          <w:lang w:val="en-GB"/>
        </w:rPr>
        <w:t xml:space="preserve">Using these values </w:t>
      </w:r>
      <w:r w:rsidRPr="00101A30">
        <w:rPr>
          <w:lang w:val="en-GB" w:eastAsia="ko-KR"/>
        </w:rPr>
        <w:t xml:space="preserve">above </w:t>
      </w:r>
      <w:r w:rsidRPr="00101A30">
        <w:rPr>
          <w:lang w:val="en-GB"/>
        </w:rPr>
        <w:t>and equation (1)</w:t>
      </w:r>
      <w:r w:rsidRPr="00101A30">
        <w:rPr>
          <w:lang w:val="en-GB" w:eastAsia="ko-KR"/>
        </w:rPr>
        <w:t>,</w:t>
      </w:r>
      <w:r w:rsidRPr="00101A30">
        <w:rPr>
          <w:lang w:val="en-GB"/>
        </w:rPr>
        <w:t xml:space="preserve"> the maximum permissible </w:t>
      </w:r>
      <w:r w:rsidRPr="00101A30">
        <w:rPr>
          <w:lang w:val="en-GB" w:eastAsia="ko-KR"/>
        </w:rPr>
        <w:t>single</w:t>
      </w:r>
      <w:r>
        <w:rPr>
          <w:lang w:val="en-GB" w:eastAsia="ko-KR"/>
        </w:rPr>
        <w:t>-</w:t>
      </w:r>
      <w:r w:rsidRPr="00101A30">
        <w:rPr>
          <w:lang w:val="en-GB"/>
        </w:rPr>
        <w:t xml:space="preserve">entry </w:t>
      </w:r>
      <w:r w:rsidRPr="00101A30">
        <w:rPr>
          <w:i/>
          <w:iCs/>
          <w:lang w:val="en-GB" w:eastAsia="ko-KR"/>
        </w:rPr>
        <w:t>PFD</w:t>
      </w:r>
      <w:r w:rsidRPr="00101A30">
        <w:rPr>
          <w:i/>
          <w:iCs/>
          <w:vertAlign w:val="subscript"/>
          <w:lang w:val="en-GB" w:eastAsia="ko-KR"/>
        </w:rPr>
        <w:t>n</w:t>
      </w:r>
      <w:r w:rsidRPr="00101A30">
        <w:rPr>
          <w:lang w:val="en-GB"/>
        </w:rPr>
        <w:t xml:space="preserve"> is c</w:t>
      </w:r>
      <w:r w:rsidRPr="00101A30">
        <w:rPr>
          <w:lang w:val="en-GB" w:eastAsia="ko-KR"/>
        </w:rPr>
        <w:t>alculated to be:</w:t>
      </w:r>
    </w:p>
    <w:p w:rsidR="00C70A37" w:rsidRPr="00101A30" w:rsidRDefault="00C70A37" w:rsidP="00C70A37">
      <w:pPr>
        <w:pStyle w:val="Equation"/>
        <w:rPr>
          <w:rFonts w:eastAsia="Dotum"/>
          <w:lang w:val="en-GB"/>
        </w:rPr>
      </w:pPr>
      <w:r w:rsidRPr="00101A30">
        <w:rPr>
          <w:i/>
          <w:iCs/>
          <w:lang w:val="en-GB"/>
        </w:rPr>
        <w:tab/>
      </w:r>
      <w:r w:rsidRPr="00101A30">
        <w:rPr>
          <w:i/>
          <w:iCs/>
          <w:lang w:val="en-GB"/>
        </w:rPr>
        <w:tab/>
        <w:t>PFD</w:t>
      </w:r>
      <w:r w:rsidRPr="00101A30">
        <w:rPr>
          <w:i/>
          <w:iCs/>
          <w:vertAlign w:val="subscript"/>
          <w:lang w:val="en-GB"/>
        </w:rPr>
        <w:t>n</w:t>
      </w:r>
      <w:r w:rsidRPr="00101A30">
        <w:rPr>
          <w:lang w:val="en-GB"/>
        </w:rPr>
        <w:t xml:space="preserve"> = </w:t>
      </w:r>
      <w:r w:rsidRPr="00101A30">
        <w:rPr>
          <w:lang w:val="en-GB" w:eastAsia="ko-KR"/>
        </w:rPr>
        <w:t xml:space="preserve">–120.4 </w:t>
      </w:r>
      <w:r w:rsidRPr="00101A30">
        <w:rPr>
          <w:rFonts w:eastAsia="Dotum"/>
          <w:lang w:val="en-GB"/>
        </w:rPr>
        <w:t>dB(W/(m</w:t>
      </w:r>
      <w:r w:rsidRPr="00101A30">
        <w:rPr>
          <w:rFonts w:eastAsia="Dotum"/>
          <w:vertAlign w:val="superscript"/>
          <w:lang w:val="en-GB"/>
        </w:rPr>
        <w:t>2</w:t>
      </w:r>
      <w:r w:rsidRPr="00101A30">
        <w:rPr>
          <w:rFonts w:eastAsia="Dotum"/>
          <w:lang w:val="en-GB"/>
        </w:rPr>
        <w:t> · </w:t>
      </w:r>
      <w:r w:rsidRPr="00101A30">
        <w:rPr>
          <w:rFonts w:eastAsia="SimSun"/>
          <w:lang w:val="en-GB" w:eastAsia="ko-KR"/>
        </w:rPr>
        <w:t>M</w:t>
      </w:r>
      <w:r w:rsidRPr="00101A30">
        <w:rPr>
          <w:rFonts w:eastAsia="Dotum"/>
          <w:lang w:val="en-GB"/>
        </w:rPr>
        <w:t>Hz))</w:t>
      </w:r>
    </w:p>
    <w:p w:rsidR="00C70A37" w:rsidRPr="00101A30" w:rsidRDefault="00C70A37" w:rsidP="00C70A37">
      <w:pPr>
        <w:jc w:val="center"/>
        <w:rPr>
          <w:snapToGrid w:val="0"/>
          <w:lang w:val="en-GB" w:eastAsia="ja-JP"/>
        </w:rPr>
      </w:pPr>
    </w:p>
    <w:p w:rsidR="00C70A37" w:rsidRPr="00101A30" w:rsidRDefault="00C70A37" w:rsidP="00C70A37">
      <w:pPr>
        <w:jc w:val="center"/>
        <w:rPr>
          <w:snapToGrid w:val="0"/>
          <w:lang w:val="en-GB" w:eastAsia="ja-JP"/>
        </w:rPr>
      </w:pPr>
      <w:r w:rsidRPr="00101A30">
        <w:rPr>
          <w:snapToGrid w:val="0"/>
          <w:lang w:val="en-GB" w:eastAsia="ja-JP"/>
        </w:rPr>
        <w:t>_______________</w:t>
      </w:r>
    </w:p>
    <w:sectPr w:rsidR="00C70A37" w:rsidRPr="00101A30" w:rsidSect="00A2366F">
      <w:headerReference w:type="even" r:id="rId19"/>
      <w:headerReference w:type="default" r:id="rId2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A37" w:rsidRDefault="00C70A37">
      <w:r>
        <w:separator/>
      </w:r>
    </w:p>
  </w:endnote>
  <w:endnote w:type="continuationSeparator" w:id="0">
    <w:p w:rsidR="00C70A37" w:rsidRDefault="00C7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YMyeongJo-Extra">
    <w:altName w:val="Times New Roman"/>
    <w:panose1 w:val="00000000000000000000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A37" w:rsidRDefault="00C70A37">
      <w:r>
        <w:separator/>
      </w:r>
    </w:p>
  </w:footnote>
  <w:footnote w:type="continuationSeparator" w:id="0">
    <w:p w:rsidR="00C70A37" w:rsidRDefault="00C70A37">
      <w:r>
        <w:continuationSeparator/>
      </w:r>
    </w:p>
  </w:footnote>
  <w:footnote w:id="1">
    <w:p w:rsidR="00C70A37" w:rsidRPr="00181F6F" w:rsidRDefault="00C70A37" w:rsidP="0024733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044663">
        <w:rPr>
          <w:lang w:val="en-US"/>
        </w:rPr>
        <w:tab/>
      </w:r>
      <w:r w:rsidRPr="00044663">
        <w:rPr>
          <w:lang w:val="en-US" w:eastAsia="ja-JP"/>
        </w:rPr>
        <w:t>The single</w:t>
      </w:r>
      <w:r>
        <w:rPr>
          <w:lang w:val="en-US" w:eastAsia="ja-JP"/>
        </w:rPr>
        <w:t>-</w:t>
      </w:r>
      <w:r w:rsidRPr="00044663">
        <w:rPr>
          <w:lang w:val="en-US" w:eastAsia="ja-JP"/>
        </w:rPr>
        <w:t xml:space="preserve">entry pfd is derived from an aggregate </w:t>
      </w:r>
      <w:r w:rsidRPr="00EF2558">
        <w:rPr>
          <w:i/>
          <w:iCs/>
          <w:lang w:val="en-US" w:eastAsia="ja-JP"/>
        </w:rPr>
        <w:t>I</w:t>
      </w:r>
      <w:r w:rsidRPr="00044663">
        <w:rPr>
          <w:lang w:val="en-US" w:eastAsia="ja-JP"/>
        </w:rPr>
        <w:t>/</w:t>
      </w:r>
      <w:r w:rsidRPr="00EF2558">
        <w:rPr>
          <w:i/>
          <w:iCs/>
          <w:lang w:val="en-US" w:eastAsia="ja-JP"/>
        </w:rPr>
        <w:t>N</w:t>
      </w:r>
      <w:r w:rsidRPr="00044663">
        <w:rPr>
          <w:lang w:val="en-US" w:eastAsia="ja-JP"/>
        </w:rPr>
        <w:t xml:space="preserve"> = –12.2 dB (corresponding to a 6% increase of the equivalent system noise temperature), assuming an equivalent number of 3.3 interfering sources, each transmitting at maximum single</w:t>
      </w:r>
      <w:r>
        <w:rPr>
          <w:lang w:val="en-US" w:eastAsia="ja-JP"/>
        </w:rPr>
        <w:t>-</w:t>
      </w:r>
      <w:r w:rsidRPr="00044663">
        <w:rPr>
          <w:lang w:val="en-US" w:eastAsia="ja-JP"/>
        </w:rPr>
        <w:t xml:space="preserve">entry </w:t>
      </w:r>
      <w:r>
        <w:rPr>
          <w:lang w:val="en-US" w:eastAsia="ja-JP"/>
        </w:rPr>
        <w:t>pfd</w:t>
      </w:r>
      <w:r w:rsidRPr="00044663">
        <w:rPr>
          <w:lang w:val="en-US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37" w:rsidRDefault="00C70A3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37" w:rsidRDefault="00C70A37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E2BEF81" wp14:editId="468FD75E">
          <wp:simplePos x="0" y="0"/>
          <wp:positionH relativeFrom="page">
            <wp:posOffset>-44899</wp:posOffset>
          </wp:positionH>
          <wp:positionV relativeFrom="page">
            <wp:posOffset>-161925</wp:posOffset>
          </wp:positionV>
          <wp:extent cx="7578725" cy="10724515"/>
          <wp:effectExtent l="0" t="0" r="3175" b="635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37" w:rsidRDefault="00C70A3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8528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8528F">
      <w:fldChar w:fldCharType="begin"/>
    </w:r>
    <w:r w:rsidR="0068528F">
      <w:instrText xml:space="preserve"> DOCPROPERTY "Header" \* MERGEFORMAT </w:instrText>
    </w:r>
    <w:r w:rsidR="0068528F">
      <w:fldChar w:fldCharType="separate"/>
    </w:r>
    <w:r w:rsidR="00A2366F" w:rsidRPr="00A2366F">
      <w:rPr>
        <w:b/>
        <w:bCs/>
        <w:lang w:val="en-US"/>
      </w:rPr>
      <w:t xml:space="preserve">Rec. </w:t>
    </w:r>
    <w:r w:rsidR="0068528F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8528F">
      <w:rPr>
        <w:b/>
        <w:bCs/>
        <w:noProof/>
      </w:rPr>
      <w:t>ITU-R  BO.1898-1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A37" w:rsidRDefault="00C70A37">
    <w:pPr>
      <w:pStyle w:val="Header"/>
    </w:pPr>
    <w:r>
      <w:tab/>
    </w:r>
    <w:r w:rsidR="0068528F">
      <w:fldChar w:fldCharType="begin"/>
    </w:r>
    <w:r w:rsidR="0068528F">
      <w:instrText xml:space="preserve"> DOCPROPERTY "Header" \* MERGEFORMAT </w:instrText>
    </w:r>
    <w:r w:rsidR="0068528F">
      <w:fldChar w:fldCharType="separate"/>
    </w:r>
    <w:r w:rsidR="00A2366F" w:rsidRPr="00A2366F">
      <w:rPr>
        <w:b/>
        <w:bCs/>
      </w:rPr>
      <w:t xml:space="preserve">Rec. </w:t>
    </w:r>
    <w:r w:rsidR="0068528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2366F">
      <w:rPr>
        <w:b/>
        <w:bCs/>
        <w:noProof/>
      </w:rPr>
      <w:t>ITU-R  BO.1898-1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8528F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A2366F" w:rsidRPr="00A2366F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8528F">
      <w:rPr>
        <w:b/>
        <w:bCs/>
        <w:noProof/>
      </w:rPr>
      <w:t>ITU-R  BO.1898-1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68528F">
      <w:fldChar w:fldCharType="begin"/>
    </w:r>
    <w:r w:rsidR="0068528F">
      <w:instrText xml:space="preserve"> DOCPROPERTY "Header" \* MERGEFORMAT </w:instrText>
    </w:r>
    <w:r w:rsidR="0068528F">
      <w:fldChar w:fldCharType="separate"/>
    </w:r>
    <w:r w:rsidR="00A2366F" w:rsidRPr="00A2366F">
      <w:rPr>
        <w:b/>
        <w:bCs/>
      </w:rPr>
      <w:t xml:space="preserve">Rec. </w:t>
    </w:r>
    <w:r w:rsidR="0068528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8528F">
      <w:rPr>
        <w:b/>
        <w:bCs/>
        <w:noProof/>
      </w:rPr>
      <w:t>ITU-R  BO.1898-1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8528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37"/>
    <w:rsid w:val="00217EBF"/>
    <w:rsid w:val="00242AEE"/>
    <w:rsid w:val="00247339"/>
    <w:rsid w:val="002D76C4"/>
    <w:rsid w:val="003E7026"/>
    <w:rsid w:val="004A1543"/>
    <w:rsid w:val="004D4301"/>
    <w:rsid w:val="0052529D"/>
    <w:rsid w:val="00572478"/>
    <w:rsid w:val="00607D68"/>
    <w:rsid w:val="0068528F"/>
    <w:rsid w:val="007468DA"/>
    <w:rsid w:val="009E00A8"/>
    <w:rsid w:val="00A2366F"/>
    <w:rsid w:val="00A6617B"/>
    <w:rsid w:val="00AB0DC8"/>
    <w:rsid w:val="00B44E24"/>
    <w:rsid w:val="00C70A37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247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7247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247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7247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7247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72478"/>
    <w:pPr>
      <w:outlineLvl w:val="4"/>
    </w:pPr>
  </w:style>
  <w:style w:type="paragraph" w:styleId="Heading6">
    <w:name w:val="heading 6"/>
    <w:basedOn w:val="Heading4"/>
    <w:next w:val="Normal"/>
    <w:qFormat/>
    <w:rsid w:val="0057247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72478"/>
    <w:pPr>
      <w:outlineLvl w:val="6"/>
    </w:pPr>
  </w:style>
  <w:style w:type="paragraph" w:styleId="Heading8">
    <w:name w:val="heading 8"/>
    <w:basedOn w:val="Heading6"/>
    <w:next w:val="Normal"/>
    <w:qFormat/>
    <w:rsid w:val="00572478"/>
    <w:pPr>
      <w:outlineLvl w:val="7"/>
    </w:pPr>
  </w:style>
  <w:style w:type="paragraph" w:styleId="Heading9">
    <w:name w:val="heading 9"/>
    <w:basedOn w:val="Heading6"/>
    <w:next w:val="Normal"/>
    <w:qFormat/>
    <w:rsid w:val="0057247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247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7247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72478"/>
  </w:style>
  <w:style w:type="paragraph" w:customStyle="1" w:styleId="Headingb">
    <w:name w:val="Heading_b"/>
    <w:basedOn w:val="Heading3"/>
    <w:next w:val="Normal"/>
    <w:rsid w:val="0057247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7247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72478"/>
  </w:style>
  <w:style w:type="paragraph" w:customStyle="1" w:styleId="enumlev1">
    <w:name w:val="enumlev1"/>
    <w:basedOn w:val="Normal"/>
    <w:rsid w:val="00572478"/>
    <w:pPr>
      <w:spacing w:before="80"/>
      <w:ind w:left="794" w:hanging="794"/>
    </w:pPr>
  </w:style>
  <w:style w:type="paragraph" w:customStyle="1" w:styleId="enumlev2">
    <w:name w:val="enumlev2"/>
    <w:basedOn w:val="enumlev1"/>
    <w:rsid w:val="00572478"/>
    <w:pPr>
      <w:ind w:left="1191" w:hanging="397"/>
    </w:pPr>
  </w:style>
  <w:style w:type="paragraph" w:customStyle="1" w:styleId="enumlev3">
    <w:name w:val="enumlev3"/>
    <w:basedOn w:val="enumlev2"/>
    <w:rsid w:val="00572478"/>
    <w:pPr>
      <w:ind w:left="1588"/>
    </w:pPr>
  </w:style>
  <w:style w:type="paragraph" w:customStyle="1" w:styleId="Normalaftertitle">
    <w:name w:val="Normal_after_title"/>
    <w:basedOn w:val="Normal"/>
    <w:next w:val="Normal"/>
    <w:rsid w:val="00572478"/>
    <w:pPr>
      <w:spacing w:before="320"/>
    </w:pPr>
  </w:style>
  <w:style w:type="paragraph" w:customStyle="1" w:styleId="Note">
    <w:name w:val="Note"/>
    <w:basedOn w:val="Normal"/>
    <w:rsid w:val="0057247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57247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572478"/>
    <w:pPr>
      <w:jc w:val="center"/>
    </w:pPr>
  </w:style>
  <w:style w:type="paragraph" w:customStyle="1" w:styleId="Recdate">
    <w:name w:val="Rec_date"/>
    <w:basedOn w:val="Recref"/>
    <w:next w:val="Normalaftertitle"/>
    <w:rsid w:val="00572478"/>
    <w:pPr>
      <w:jc w:val="right"/>
    </w:pPr>
  </w:style>
  <w:style w:type="paragraph" w:customStyle="1" w:styleId="AnnexNoTitle">
    <w:name w:val="Annex_NoTitle"/>
    <w:basedOn w:val="Normal"/>
    <w:next w:val="Normalaftertitle"/>
    <w:rsid w:val="0057247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72478"/>
  </w:style>
  <w:style w:type="paragraph" w:customStyle="1" w:styleId="Tablefin">
    <w:name w:val="Table_fin"/>
    <w:basedOn w:val="Normal"/>
    <w:next w:val="Normal"/>
    <w:rsid w:val="0057247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7247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724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7247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724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7247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7247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72478"/>
    <w:pPr>
      <w:ind w:left="794"/>
    </w:pPr>
  </w:style>
  <w:style w:type="paragraph" w:customStyle="1" w:styleId="Figurelegend">
    <w:name w:val="Figure_legend"/>
    <w:basedOn w:val="Normal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7247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724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7247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7247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7247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7247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72478"/>
    <w:rPr>
      <w:b/>
    </w:rPr>
  </w:style>
  <w:style w:type="paragraph" w:customStyle="1" w:styleId="Chaptitle">
    <w:name w:val="Chap_title"/>
    <w:basedOn w:val="Arttitle"/>
    <w:next w:val="Normalaftertitle"/>
    <w:rsid w:val="00572478"/>
  </w:style>
  <w:style w:type="character" w:styleId="FootnoteReference">
    <w:name w:val="footnote reference"/>
    <w:basedOn w:val="DefaultParagraphFont"/>
    <w:rsid w:val="00572478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57247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72478"/>
  </w:style>
  <w:style w:type="paragraph" w:styleId="Index2">
    <w:name w:val="index 2"/>
    <w:basedOn w:val="Normal"/>
    <w:next w:val="Normal"/>
    <w:semiHidden/>
    <w:rsid w:val="00572478"/>
    <w:pPr>
      <w:ind w:left="283"/>
    </w:pPr>
  </w:style>
  <w:style w:type="paragraph" w:styleId="Index3">
    <w:name w:val="index 3"/>
    <w:basedOn w:val="Normal"/>
    <w:next w:val="Normal"/>
    <w:semiHidden/>
    <w:rsid w:val="00572478"/>
    <w:pPr>
      <w:ind w:left="566"/>
    </w:pPr>
  </w:style>
  <w:style w:type="paragraph" w:styleId="IndexHeading">
    <w:name w:val="index heading"/>
    <w:basedOn w:val="Normal"/>
    <w:next w:val="Index1"/>
    <w:semiHidden/>
    <w:rsid w:val="00572478"/>
  </w:style>
  <w:style w:type="paragraph" w:customStyle="1" w:styleId="Line">
    <w:name w:val="Line"/>
    <w:basedOn w:val="Normal"/>
    <w:next w:val="Normal"/>
    <w:rsid w:val="0057247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724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72478"/>
  </w:style>
  <w:style w:type="paragraph" w:customStyle="1" w:styleId="Partref">
    <w:name w:val="Part_ref"/>
    <w:basedOn w:val="Normal"/>
    <w:next w:val="Normal"/>
    <w:rsid w:val="0057247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72478"/>
  </w:style>
  <w:style w:type="paragraph" w:customStyle="1" w:styleId="QuestionNo">
    <w:name w:val="Question_No"/>
    <w:basedOn w:val="RecNo"/>
    <w:next w:val="Normal"/>
    <w:rsid w:val="00572478"/>
  </w:style>
  <w:style w:type="paragraph" w:customStyle="1" w:styleId="Questionref">
    <w:name w:val="Question_ref"/>
    <w:basedOn w:val="Recref"/>
    <w:next w:val="Questiondate"/>
    <w:rsid w:val="00572478"/>
  </w:style>
  <w:style w:type="paragraph" w:customStyle="1" w:styleId="Questiontitle">
    <w:name w:val="Question_title"/>
    <w:basedOn w:val="Normal"/>
    <w:next w:val="Questionref"/>
    <w:rsid w:val="00572478"/>
  </w:style>
  <w:style w:type="paragraph" w:customStyle="1" w:styleId="Reftext">
    <w:name w:val="Ref_text"/>
    <w:basedOn w:val="Normal"/>
    <w:rsid w:val="0057247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7247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72478"/>
  </w:style>
  <w:style w:type="paragraph" w:customStyle="1" w:styleId="RepNo">
    <w:name w:val="Rep_No"/>
    <w:basedOn w:val="RecNo"/>
    <w:next w:val="Reptitle"/>
    <w:rsid w:val="00572478"/>
  </w:style>
  <w:style w:type="paragraph" w:customStyle="1" w:styleId="Repref">
    <w:name w:val="Rep_ref"/>
    <w:basedOn w:val="Recref"/>
    <w:next w:val="Repdate"/>
    <w:rsid w:val="00572478"/>
  </w:style>
  <w:style w:type="paragraph" w:customStyle="1" w:styleId="Reptitle">
    <w:name w:val="Rep_title"/>
    <w:basedOn w:val="Rectitle"/>
    <w:next w:val="Repref"/>
    <w:rsid w:val="00572478"/>
  </w:style>
  <w:style w:type="paragraph" w:customStyle="1" w:styleId="Resdate">
    <w:name w:val="Res_date"/>
    <w:basedOn w:val="Recdate"/>
    <w:next w:val="Normalaftertitle"/>
    <w:rsid w:val="00572478"/>
  </w:style>
  <w:style w:type="paragraph" w:customStyle="1" w:styleId="ResNo">
    <w:name w:val="Res_No"/>
    <w:basedOn w:val="RecNo"/>
    <w:next w:val="Restitle"/>
    <w:rsid w:val="00572478"/>
  </w:style>
  <w:style w:type="paragraph" w:customStyle="1" w:styleId="Resref">
    <w:name w:val="Res_ref"/>
    <w:basedOn w:val="Recref"/>
    <w:next w:val="Resdate"/>
    <w:rsid w:val="00572478"/>
  </w:style>
  <w:style w:type="paragraph" w:customStyle="1" w:styleId="Restitle">
    <w:name w:val="Res_title"/>
    <w:basedOn w:val="Normal"/>
    <w:next w:val="Resref"/>
    <w:rsid w:val="0057247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572478"/>
  </w:style>
  <w:style w:type="paragraph" w:customStyle="1" w:styleId="Sectiontitle">
    <w:name w:val="Section_title"/>
    <w:basedOn w:val="Normal"/>
    <w:next w:val="Normalaftertitle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7247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7247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7247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7247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7247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72478"/>
  </w:style>
  <w:style w:type="paragraph" w:styleId="TOC6">
    <w:name w:val="toc 6"/>
    <w:basedOn w:val="TOC4"/>
    <w:semiHidden/>
    <w:rsid w:val="00572478"/>
  </w:style>
  <w:style w:type="paragraph" w:styleId="TOC7">
    <w:name w:val="toc 7"/>
    <w:basedOn w:val="TOC4"/>
    <w:semiHidden/>
    <w:rsid w:val="00572478"/>
  </w:style>
  <w:style w:type="paragraph" w:styleId="TOC8">
    <w:name w:val="toc 8"/>
    <w:basedOn w:val="TOC4"/>
    <w:semiHidden/>
    <w:rsid w:val="00572478"/>
  </w:style>
  <w:style w:type="paragraph" w:customStyle="1" w:styleId="Rectitle">
    <w:name w:val="Rec_title"/>
    <w:basedOn w:val="Normal"/>
    <w:next w:val="Recref"/>
    <w:rsid w:val="0057247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57247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72478"/>
  </w:style>
  <w:style w:type="paragraph" w:customStyle="1" w:styleId="Figuretitle">
    <w:name w:val="Figure_title"/>
    <w:basedOn w:val="Normal"/>
    <w:next w:val="Figure"/>
    <w:rsid w:val="0057247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57247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72478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572478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572478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C70A37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70A37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70A37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572478"/>
    <w:rPr>
      <w:sz w:val="22"/>
      <w:lang w:val="fr-FR" w:eastAsia="en-US"/>
    </w:rPr>
  </w:style>
  <w:style w:type="character" w:styleId="Hyperlink">
    <w:name w:val="Hyperlink"/>
    <w:basedOn w:val="DefaultParagraphFont"/>
    <w:rsid w:val="00C70A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247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7247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7247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7247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7247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72478"/>
    <w:pPr>
      <w:outlineLvl w:val="4"/>
    </w:pPr>
  </w:style>
  <w:style w:type="paragraph" w:styleId="Heading6">
    <w:name w:val="heading 6"/>
    <w:basedOn w:val="Heading4"/>
    <w:next w:val="Normal"/>
    <w:qFormat/>
    <w:rsid w:val="0057247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72478"/>
    <w:pPr>
      <w:outlineLvl w:val="6"/>
    </w:pPr>
  </w:style>
  <w:style w:type="paragraph" w:styleId="Heading8">
    <w:name w:val="heading 8"/>
    <w:basedOn w:val="Heading6"/>
    <w:next w:val="Normal"/>
    <w:qFormat/>
    <w:rsid w:val="00572478"/>
    <w:pPr>
      <w:outlineLvl w:val="7"/>
    </w:pPr>
  </w:style>
  <w:style w:type="paragraph" w:styleId="Heading9">
    <w:name w:val="heading 9"/>
    <w:basedOn w:val="Heading6"/>
    <w:next w:val="Normal"/>
    <w:qFormat/>
    <w:rsid w:val="0057247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247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7247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72478"/>
  </w:style>
  <w:style w:type="paragraph" w:customStyle="1" w:styleId="Headingb">
    <w:name w:val="Heading_b"/>
    <w:basedOn w:val="Heading3"/>
    <w:next w:val="Normal"/>
    <w:rsid w:val="0057247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7247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72478"/>
  </w:style>
  <w:style w:type="paragraph" w:customStyle="1" w:styleId="enumlev1">
    <w:name w:val="enumlev1"/>
    <w:basedOn w:val="Normal"/>
    <w:rsid w:val="00572478"/>
    <w:pPr>
      <w:spacing w:before="80"/>
      <w:ind w:left="794" w:hanging="794"/>
    </w:pPr>
  </w:style>
  <w:style w:type="paragraph" w:customStyle="1" w:styleId="enumlev2">
    <w:name w:val="enumlev2"/>
    <w:basedOn w:val="enumlev1"/>
    <w:rsid w:val="00572478"/>
    <w:pPr>
      <w:ind w:left="1191" w:hanging="397"/>
    </w:pPr>
  </w:style>
  <w:style w:type="paragraph" w:customStyle="1" w:styleId="enumlev3">
    <w:name w:val="enumlev3"/>
    <w:basedOn w:val="enumlev2"/>
    <w:rsid w:val="00572478"/>
    <w:pPr>
      <w:ind w:left="1588"/>
    </w:pPr>
  </w:style>
  <w:style w:type="paragraph" w:customStyle="1" w:styleId="Normalaftertitle">
    <w:name w:val="Normal_after_title"/>
    <w:basedOn w:val="Normal"/>
    <w:next w:val="Normal"/>
    <w:rsid w:val="00572478"/>
    <w:pPr>
      <w:spacing w:before="320"/>
    </w:pPr>
  </w:style>
  <w:style w:type="paragraph" w:customStyle="1" w:styleId="Note">
    <w:name w:val="Note"/>
    <w:basedOn w:val="Normal"/>
    <w:rsid w:val="0057247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57247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572478"/>
    <w:pPr>
      <w:jc w:val="center"/>
    </w:pPr>
  </w:style>
  <w:style w:type="paragraph" w:customStyle="1" w:styleId="Recdate">
    <w:name w:val="Rec_date"/>
    <w:basedOn w:val="Recref"/>
    <w:next w:val="Normalaftertitle"/>
    <w:rsid w:val="00572478"/>
    <w:pPr>
      <w:jc w:val="right"/>
    </w:pPr>
  </w:style>
  <w:style w:type="paragraph" w:customStyle="1" w:styleId="AnnexNoTitle">
    <w:name w:val="Annex_NoTitle"/>
    <w:basedOn w:val="Normal"/>
    <w:next w:val="Normalaftertitle"/>
    <w:rsid w:val="0057247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72478"/>
  </w:style>
  <w:style w:type="paragraph" w:customStyle="1" w:styleId="Tablefin">
    <w:name w:val="Table_fin"/>
    <w:basedOn w:val="Normal"/>
    <w:next w:val="Normal"/>
    <w:rsid w:val="0057247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7247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724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7247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724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7247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7247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72478"/>
    <w:pPr>
      <w:ind w:left="794"/>
    </w:pPr>
  </w:style>
  <w:style w:type="paragraph" w:customStyle="1" w:styleId="Figurelegend">
    <w:name w:val="Figure_legend"/>
    <w:basedOn w:val="Normal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7247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724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7247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7247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7247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7247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72478"/>
    <w:rPr>
      <w:b/>
    </w:rPr>
  </w:style>
  <w:style w:type="paragraph" w:customStyle="1" w:styleId="Chaptitle">
    <w:name w:val="Chap_title"/>
    <w:basedOn w:val="Arttitle"/>
    <w:next w:val="Normalaftertitle"/>
    <w:rsid w:val="00572478"/>
  </w:style>
  <w:style w:type="character" w:styleId="FootnoteReference">
    <w:name w:val="footnote reference"/>
    <w:basedOn w:val="DefaultParagraphFont"/>
    <w:rsid w:val="00572478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57247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72478"/>
  </w:style>
  <w:style w:type="paragraph" w:styleId="Index2">
    <w:name w:val="index 2"/>
    <w:basedOn w:val="Normal"/>
    <w:next w:val="Normal"/>
    <w:semiHidden/>
    <w:rsid w:val="00572478"/>
    <w:pPr>
      <w:ind w:left="283"/>
    </w:pPr>
  </w:style>
  <w:style w:type="paragraph" w:styleId="Index3">
    <w:name w:val="index 3"/>
    <w:basedOn w:val="Normal"/>
    <w:next w:val="Normal"/>
    <w:semiHidden/>
    <w:rsid w:val="00572478"/>
    <w:pPr>
      <w:ind w:left="566"/>
    </w:pPr>
  </w:style>
  <w:style w:type="paragraph" w:styleId="IndexHeading">
    <w:name w:val="index heading"/>
    <w:basedOn w:val="Normal"/>
    <w:next w:val="Index1"/>
    <w:semiHidden/>
    <w:rsid w:val="00572478"/>
  </w:style>
  <w:style w:type="paragraph" w:customStyle="1" w:styleId="Line">
    <w:name w:val="Line"/>
    <w:basedOn w:val="Normal"/>
    <w:next w:val="Normal"/>
    <w:rsid w:val="0057247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724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72478"/>
  </w:style>
  <w:style w:type="paragraph" w:customStyle="1" w:styleId="Partref">
    <w:name w:val="Part_ref"/>
    <w:basedOn w:val="Normal"/>
    <w:next w:val="Normal"/>
    <w:rsid w:val="0057247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72478"/>
  </w:style>
  <w:style w:type="paragraph" w:customStyle="1" w:styleId="QuestionNo">
    <w:name w:val="Question_No"/>
    <w:basedOn w:val="RecNo"/>
    <w:next w:val="Normal"/>
    <w:rsid w:val="00572478"/>
  </w:style>
  <w:style w:type="paragraph" w:customStyle="1" w:styleId="Questionref">
    <w:name w:val="Question_ref"/>
    <w:basedOn w:val="Recref"/>
    <w:next w:val="Questiondate"/>
    <w:rsid w:val="00572478"/>
  </w:style>
  <w:style w:type="paragraph" w:customStyle="1" w:styleId="Questiontitle">
    <w:name w:val="Question_title"/>
    <w:basedOn w:val="Normal"/>
    <w:next w:val="Questionref"/>
    <w:rsid w:val="00572478"/>
  </w:style>
  <w:style w:type="paragraph" w:customStyle="1" w:styleId="Reftext">
    <w:name w:val="Ref_text"/>
    <w:basedOn w:val="Normal"/>
    <w:rsid w:val="0057247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7247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72478"/>
  </w:style>
  <w:style w:type="paragraph" w:customStyle="1" w:styleId="RepNo">
    <w:name w:val="Rep_No"/>
    <w:basedOn w:val="RecNo"/>
    <w:next w:val="Reptitle"/>
    <w:rsid w:val="00572478"/>
  </w:style>
  <w:style w:type="paragraph" w:customStyle="1" w:styleId="Repref">
    <w:name w:val="Rep_ref"/>
    <w:basedOn w:val="Recref"/>
    <w:next w:val="Repdate"/>
    <w:rsid w:val="00572478"/>
  </w:style>
  <w:style w:type="paragraph" w:customStyle="1" w:styleId="Reptitle">
    <w:name w:val="Rep_title"/>
    <w:basedOn w:val="Rectitle"/>
    <w:next w:val="Repref"/>
    <w:rsid w:val="00572478"/>
  </w:style>
  <w:style w:type="paragraph" w:customStyle="1" w:styleId="Resdate">
    <w:name w:val="Res_date"/>
    <w:basedOn w:val="Recdate"/>
    <w:next w:val="Normalaftertitle"/>
    <w:rsid w:val="00572478"/>
  </w:style>
  <w:style w:type="paragraph" w:customStyle="1" w:styleId="ResNo">
    <w:name w:val="Res_No"/>
    <w:basedOn w:val="RecNo"/>
    <w:next w:val="Restitle"/>
    <w:rsid w:val="00572478"/>
  </w:style>
  <w:style w:type="paragraph" w:customStyle="1" w:styleId="Resref">
    <w:name w:val="Res_ref"/>
    <w:basedOn w:val="Recref"/>
    <w:next w:val="Resdate"/>
    <w:rsid w:val="00572478"/>
  </w:style>
  <w:style w:type="paragraph" w:customStyle="1" w:styleId="Restitle">
    <w:name w:val="Res_title"/>
    <w:basedOn w:val="Normal"/>
    <w:next w:val="Resref"/>
    <w:rsid w:val="0057247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572478"/>
  </w:style>
  <w:style w:type="paragraph" w:customStyle="1" w:styleId="Sectiontitle">
    <w:name w:val="Section_title"/>
    <w:basedOn w:val="Normal"/>
    <w:next w:val="Normalaftertitle"/>
    <w:rsid w:val="005724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7247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7247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7247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7247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7247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72478"/>
  </w:style>
  <w:style w:type="paragraph" w:styleId="TOC6">
    <w:name w:val="toc 6"/>
    <w:basedOn w:val="TOC4"/>
    <w:semiHidden/>
    <w:rsid w:val="00572478"/>
  </w:style>
  <w:style w:type="paragraph" w:styleId="TOC7">
    <w:name w:val="toc 7"/>
    <w:basedOn w:val="TOC4"/>
    <w:semiHidden/>
    <w:rsid w:val="00572478"/>
  </w:style>
  <w:style w:type="paragraph" w:styleId="TOC8">
    <w:name w:val="toc 8"/>
    <w:basedOn w:val="TOC4"/>
    <w:semiHidden/>
    <w:rsid w:val="00572478"/>
  </w:style>
  <w:style w:type="paragraph" w:customStyle="1" w:styleId="Rectitle">
    <w:name w:val="Rec_title"/>
    <w:basedOn w:val="Normal"/>
    <w:next w:val="Recref"/>
    <w:rsid w:val="0057247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57247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72478"/>
  </w:style>
  <w:style w:type="paragraph" w:customStyle="1" w:styleId="Figuretitle">
    <w:name w:val="Figure_title"/>
    <w:basedOn w:val="Normal"/>
    <w:next w:val="Figure"/>
    <w:rsid w:val="0057247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57247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72478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572478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572478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C70A37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70A37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C70A37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572478"/>
    <w:rPr>
      <w:sz w:val="22"/>
      <w:lang w:val="fr-FR" w:eastAsia="en-US"/>
    </w:rPr>
  </w:style>
  <w:style w:type="character" w:styleId="Hyperlink">
    <w:name w:val="Hyperlink"/>
    <w:basedOn w:val="DefaultParagraphFont"/>
    <w:rsid w:val="00C70A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10" Type="http://schemas.openxmlformats.org/officeDocument/2006/relationships/hyperlink" Target="http://www.itu.int/publ/R-REC/en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4</Pages>
  <Words>1010</Words>
  <Characters>5596</Characters>
  <Application>Microsoft Office Word</Application>
  <DocSecurity>0</DocSecurity>
  <Lines>166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BO.1898-1 - Power flux-density value required for the protection of receiving earth stations in the broadcasting-satellite service in Regions 1 and 3 from emissions by a station in the fixed and/or mobile services in the band 21.4-22 GHz</dc:title>
  <dc:subject>BO Series = Broadcasting-satellite service (sound and television)</dc:subject>
  <dc:creator>ITU Radiocommunication Bureau (BR)</dc:creator>
  <cp:keywords>BO,1898-1</cp:keywords>
  <dc:description>Soby, 19.12.2012, ITU51007790</dc:description>
  <cp:lastModifiedBy>Soby, Michele</cp:lastModifiedBy>
  <cp:revision>8</cp:revision>
  <cp:lastPrinted>2005-02-10T15:54:00Z</cp:lastPrinted>
  <dcterms:created xsi:type="dcterms:W3CDTF">2012-11-02T12:01:00Z</dcterms:created>
  <dcterms:modified xsi:type="dcterms:W3CDTF">2012-12-19T06:59:00Z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mercredi, 19. décembre 2012</vt:lpwstr>
  </property>
</Properties>
</file>