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p w:rsidR="00EB0ED5" w:rsidRPr="00DF6FB3" w:rsidRDefault="00EB0ED5">
      <w:pPr>
        <w:rPr>
          <w:lang w:val="fr-CH"/>
        </w:rPr>
      </w:pPr>
    </w:p>
    <w:tbl>
      <w:tblPr>
        <w:tblW w:w="10089" w:type="dxa"/>
        <w:tblLook w:val="01E0" w:firstRow="1" w:lastRow="1" w:firstColumn="1" w:lastColumn="1" w:noHBand="0" w:noVBand="0"/>
      </w:tblPr>
      <w:tblGrid>
        <w:gridCol w:w="10089"/>
      </w:tblGrid>
      <w:tr w:rsidR="00EB0ED5" w:rsidRPr="00DF6FB3">
        <w:tc>
          <w:tcPr>
            <w:tcW w:w="10089" w:type="dxa"/>
          </w:tcPr>
          <w:p w:rsidR="00EB0ED5" w:rsidRPr="00DF6FB3" w:rsidRDefault="00EB0ED5" w:rsidP="00013002">
            <w:pPr>
              <w:spacing w:before="380" w:line="280" w:lineRule="exact"/>
              <w:jc w:val="right"/>
              <w:rPr>
                <w:rFonts w:ascii="Tahoma" w:hAnsi="Tahoma" w:cs="Tahoma"/>
                <w:b/>
                <w:bCs/>
                <w:iCs/>
                <w:color w:val="243285"/>
                <w:sz w:val="32"/>
                <w:szCs w:val="32"/>
                <w:lang w:val="fr-CH"/>
              </w:rPr>
            </w:pPr>
          </w:p>
          <w:p w:rsidR="00EB0ED5" w:rsidRPr="00DF6FB3" w:rsidRDefault="00EB0ED5" w:rsidP="00AC4297">
            <w:pPr>
              <w:spacing w:before="380" w:line="280" w:lineRule="exact"/>
              <w:jc w:val="right"/>
              <w:rPr>
                <w:rFonts w:ascii="Tahoma" w:hAnsi="Tahoma" w:cs="Tahoma"/>
                <w:b/>
                <w:bCs/>
                <w:iCs/>
                <w:color w:val="243285"/>
                <w:sz w:val="36"/>
                <w:szCs w:val="36"/>
                <w:lang w:val="fr-CH"/>
              </w:rPr>
            </w:pPr>
            <w:r w:rsidRPr="00DF6FB3">
              <w:rPr>
                <w:rFonts w:ascii="Tahoma" w:hAnsi="Tahoma" w:cs="Tahoma"/>
                <w:b/>
                <w:bCs/>
                <w:iCs/>
                <w:color w:val="243285"/>
                <w:sz w:val="36"/>
                <w:szCs w:val="36"/>
                <w:lang w:val="fr-CH"/>
              </w:rPr>
              <w:t>Recommandation  UIT-R  BO.</w:t>
            </w:r>
            <w:r w:rsidR="00AC4297" w:rsidRPr="00DF6FB3">
              <w:rPr>
                <w:rFonts w:ascii="Tahoma" w:hAnsi="Tahoma" w:cs="Tahoma"/>
                <w:b/>
                <w:bCs/>
                <w:iCs/>
                <w:color w:val="243285"/>
                <w:sz w:val="36"/>
                <w:szCs w:val="36"/>
                <w:lang w:val="fr-CH"/>
              </w:rPr>
              <w:t>1898</w:t>
            </w:r>
          </w:p>
          <w:p w:rsidR="00EB0ED5" w:rsidRPr="00DF6FB3" w:rsidRDefault="00EB0ED5" w:rsidP="00AC4297">
            <w:pPr>
              <w:spacing w:before="80" w:line="280" w:lineRule="exact"/>
              <w:jc w:val="right"/>
              <w:rPr>
                <w:rFonts w:ascii="Tahoma" w:hAnsi="Tahoma" w:cs="Tahoma"/>
                <w:b/>
                <w:bCs/>
                <w:iCs/>
                <w:color w:val="243285"/>
                <w:szCs w:val="24"/>
                <w:lang w:val="fr-CH"/>
              </w:rPr>
            </w:pPr>
            <w:r w:rsidRPr="00DF6FB3">
              <w:rPr>
                <w:rFonts w:ascii="Tahoma" w:hAnsi="Tahoma" w:cs="Tahoma"/>
                <w:b/>
                <w:bCs/>
                <w:iCs/>
                <w:color w:val="243285"/>
                <w:szCs w:val="24"/>
                <w:lang w:val="fr-CH"/>
              </w:rPr>
              <w:t>(</w:t>
            </w:r>
            <w:r w:rsidR="00AC4297" w:rsidRPr="00DF6FB3">
              <w:rPr>
                <w:rFonts w:ascii="Tahoma" w:hAnsi="Tahoma" w:cs="Tahoma"/>
                <w:b/>
                <w:bCs/>
                <w:iCs/>
                <w:color w:val="243285"/>
                <w:szCs w:val="24"/>
                <w:lang w:val="fr-CH"/>
              </w:rPr>
              <w:t>01</w:t>
            </w:r>
            <w:r w:rsidRPr="00DF6FB3">
              <w:rPr>
                <w:rFonts w:ascii="Tahoma" w:hAnsi="Tahoma" w:cs="Tahoma"/>
                <w:b/>
                <w:bCs/>
                <w:iCs/>
                <w:color w:val="243285"/>
                <w:szCs w:val="24"/>
                <w:lang w:val="fr-CH"/>
              </w:rPr>
              <w:t>/</w:t>
            </w:r>
            <w:r w:rsidR="00AC4297" w:rsidRPr="00DF6FB3">
              <w:rPr>
                <w:rFonts w:ascii="Tahoma" w:hAnsi="Tahoma" w:cs="Tahoma"/>
                <w:b/>
                <w:bCs/>
                <w:iCs/>
                <w:color w:val="243285"/>
                <w:szCs w:val="24"/>
                <w:lang w:val="fr-CH"/>
              </w:rPr>
              <w:t>2012</w:t>
            </w:r>
            <w:r w:rsidRPr="00DF6FB3">
              <w:rPr>
                <w:rFonts w:ascii="Tahoma" w:hAnsi="Tahoma" w:cs="Tahoma"/>
                <w:b/>
                <w:bCs/>
                <w:iCs/>
                <w:color w:val="243285"/>
                <w:szCs w:val="24"/>
                <w:lang w:val="fr-CH"/>
              </w:rPr>
              <w:t>)</w:t>
            </w:r>
          </w:p>
        </w:tc>
      </w:tr>
      <w:tr w:rsidR="00EB0ED5" w:rsidRPr="00DF6FB3">
        <w:tc>
          <w:tcPr>
            <w:tcW w:w="10089" w:type="dxa"/>
          </w:tcPr>
          <w:p w:rsidR="00EB0ED5" w:rsidRPr="00DF6FB3" w:rsidRDefault="00EB0ED5" w:rsidP="00123FD5">
            <w:pPr>
              <w:spacing w:before="80" w:line="500" w:lineRule="exact"/>
              <w:jc w:val="right"/>
              <w:rPr>
                <w:rFonts w:ascii="Tahoma" w:hAnsi="Tahoma" w:cs="Tahoma"/>
                <w:b/>
                <w:bCs/>
                <w:iCs/>
                <w:color w:val="243285"/>
                <w:sz w:val="44"/>
                <w:szCs w:val="44"/>
                <w:lang w:val="fr-CH"/>
              </w:rPr>
            </w:pPr>
          </w:p>
          <w:p w:rsidR="00EB0ED5" w:rsidRPr="00DF6FB3" w:rsidRDefault="00EB0ED5" w:rsidP="00EB0ED5">
            <w:pPr>
              <w:spacing w:before="80" w:line="500" w:lineRule="exact"/>
              <w:jc w:val="right"/>
              <w:rPr>
                <w:rFonts w:ascii="Tahoma" w:hAnsi="Tahoma" w:cs="Tahoma"/>
                <w:b/>
                <w:bCs/>
                <w:iCs/>
                <w:color w:val="243285"/>
                <w:sz w:val="44"/>
                <w:szCs w:val="44"/>
                <w:lang w:val="fr-CH"/>
              </w:rPr>
            </w:pPr>
            <w:r w:rsidRPr="00DF6FB3">
              <w:rPr>
                <w:rFonts w:ascii="Tahoma" w:hAnsi="Tahoma" w:cs="Tahoma"/>
                <w:b/>
                <w:bCs/>
                <w:color w:val="243285"/>
                <w:sz w:val="44"/>
                <w:szCs w:val="44"/>
                <w:lang w:val="fr-CH"/>
              </w:rPr>
              <w:t>Valeur de puissance surfacique nécessaire pour assurer la protection des stations terriennes de réception du service de radiodiffusion par satellite dans les Régions 1 et 3 contre les émissions d'une station des services fixe et/ou mobile dans la bande 21,4-22 GHz</w:t>
            </w:r>
          </w:p>
        </w:tc>
      </w:tr>
      <w:tr w:rsidR="00EB0ED5" w:rsidRPr="00DF6FB3">
        <w:tc>
          <w:tcPr>
            <w:tcW w:w="10089" w:type="dxa"/>
          </w:tcPr>
          <w:p w:rsidR="00EB0ED5" w:rsidRPr="00DF6FB3" w:rsidRDefault="00EB0ED5" w:rsidP="00AD267B">
            <w:pPr>
              <w:spacing w:before="80" w:line="280" w:lineRule="exact"/>
              <w:ind w:right="640"/>
              <w:rPr>
                <w:rFonts w:ascii="Tahoma" w:hAnsi="Tahoma" w:cs="Tahoma"/>
                <w:b/>
                <w:bCs/>
                <w:iCs/>
                <w:color w:val="243285"/>
                <w:sz w:val="32"/>
                <w:szCs w:val="32"/>
                <w:lang w:val="fr-CH"/>
              </w:rPr>
            </w:pPr>
          </w:p>
          <w:p w:rsidR="00EB0ED5" w:rsidRPr="00DF6FB3" w:rsidRDefault="00EB0ED5" w:rsidP="00AD267B">
            <w:pPr>
              <w:spacing w:before="80" w:line="280" w:lineRule="exact"/>
              <w:ind w:right="640"/>
              <w:rPr>
                <w:rFonts w:ascii="Tahoma" w:hAnsi="Tahoma" w:cs="Tahoma"/>
                <w:b/>
                <w:bCs/>
                <w:iCs/>
                <w:color w:val="243285"/>
                <w:sz w:val="32"/>
                <w:szCs w:val="32"/>
                <w:lang w:val="fr-CH"/>
              </w:rPr>
            </w:pPr>
          </w:p>
          <w:p w:rsidR="00EB0ED5" w:rsidRPr="00DF6FB3" w:rsidRDefault="00EB0ED5" w:rsidP="004A4D65">
            <w:pPr>
              <w:spacing w:before="80" w:after="180" w:line="360" w:lineRule="exact"/>
              <w:ind w:right="720"/>
              <w:rPr>
                <w:rFonts w:ascii="Tahoma" w:hAnsi="Tahoma" w:cs="Tahoma"/>
                <w:b/>
                <w:bCs/>
                <w:iCs/>
                <w:color w:val="243285"/>
                <w:sz w:val="36"/>
                <w:szCs w:val="36"/>
                <w:lang w:val="fr-CH"/>
              </w:rPr>
            </w:pPr>
          </w:p>
          <w:p w:rsidR="00EB0ED5" w:rsidRPr="00DF6FB3" w:rsidRDefault="00EB0ED5" w:rsidP="00B21066">
            <w:pPr>
              <w:spacing w:before="80" w:after="180" w:line="360" w:lineRule="exact"/>
              <w:jc w:val="right"/>
              <w:rPr>
                <w:rFonts w:ascii="Tahoma" w:hAnsi="Tahoma" w:cs="Tahoma"/>
                <w:b/>
                <w:bCs/>
                <w:iCs/>
                <w:color w:val="243285"/>
                <w:sz w:val="36"/>
                <w:szCs w:val="36"/>
                <w:lang w:val="fr-CH"/>
              </w:rPr>
            </w:pPr>
            <w:r w:rsidRPr="00DF6FB3">
              <w:rPr>
                <w:rFonts w:ascii="Tahoma" w:hAnsi="Tahoma" w:cs="Tahoma"/>
                <w:b/>
                <w:bCs/>
                <w:iCs/>
                <w:color w:val="243285"/>
                <w:sz w:val="36"/>
                <w:szCs w:val="36"/>
                <w:lang w:val="fr-CH"/>
              </w:rPr>
              <w:t>Série BO</w:t>
            </w:r>
          </w:p>
          <w:p w:rsidR="00EB0ED5" w:rsidRPr="00DF6FB3" w:rsidRDefault="00EB0ED5" w:rsidP="00AD267B">
            <w:pPr>
              <w:spacing w:before="80" w:line="420" w:lineRule="exact"/>
              <w:jc w:val="right"/>
              <w:rPr>
                <w:rFonts w:ascii="Tahoma" w:hAnsi="Tahoma" w:cs="Tahoma"/>
                <w:b/>
                <w:bCs/>
                <w:iCs/>
                <w:color w:val="243285"/>
                <w:sz w:val="36"/>
                <w:szCs w:val="36"/>
                <w:lang w:val="fr-CH"/>
              </w:rPr>
            </w:pPr>
            <w:r w:rsidRPr="00DF6FB3">
              <w:rPr>
                <w:rFonts w:ascii="Tahoma" w:hAnsi="Tahoma" w:cs="Tahoma"/>
                <w:b/>
                <w:bCs/>
                <w:iCs/>
                <w:color w:val="243285"/>
                <w:sz w:val="36"/>
                <w:szCs w:val="36"/>
                <w:lang w:val="fr-CH"/>
              </w:rPr>
              <w:t>Diffusion par satellite</w:t>
            </w:r>
          </w:p>
        </w:tc>
      </w:tr>
    </w:tbl>
    <w:p w:rsidR="00EB0ED5" w:rsidRPr="00DF6FB3" w:rsidRDefault="00EB0ED5" w:rsidP="00CD659B">
      <w:pPr>
        <w:spacing w:before="80"/>
        <w:rPr>
          <w:i/>
          <w:sz w:val="22"/>
          <w:lang w:val="fr-CH"/>
        </w:rPr>
      </w:pPr>
    </w:p>
    <w:p w:rsidR="00EB0ED5" w:rsidRPr="00DF6FB3" w:rsidRDefault="00EB0ED5" w:rsidP="00CD659B">
      <w:pPr>
        <w:spacing w:before="80"/>
        <w:rPr>
          <w:i/>
          <w:sz w:val="22"/>
          <w:lang w:val="fr-CH"/>
        </w:rPr>
      </w:pPr>
    </w:p>
    <w:p w:rsidR="00EB0ED5" w:rsidRPr="00DF6FB3" w:rsidRDefault="00EB0ED5" w:rsidP="00CD659B">
      <w:pPr>
        <w:spacing w:before="80"/>
        <w:rPr>
          <w:i/>
          <w:sz w:val="22"/>
          <w:lang w:val="fr-CH"/>
        </w:rPr>
      </w:pPr>
    </w:p>
    <w:p w:rsidR="00EB0ED5" w:rsidRPr="00DF6FB3" w:rsidRDefault="00EB0ED5" w:rsidP="00CD659B">
      <w:pPr>
        <w:spacing w:before="80"/>
        <w:rPr>
          <w:i/>
          <w:sz w:val="22"/>
          <w:lang w:val="fr-CH"/>
        </w:rPr>
      </w:pPr>
    </w:p>
    <w:p w:rsidR="00EB0ED5" w:rsidRPr="00DF6FB3" w:rsidRDefault="00EB0ED5" w:rsidP="00CD659B">
      <w:pPr>
        <w:pStyle w:val="Equation"/>
        <w:tabs>
          <w:tab w:val="clear" w:pos="4820"/>
          <w:tab w:val="clear" w:pos="9639"/>
          <w:tab w:val="left" w:pos="1191"/>
          <w:tab w:val="left" w:pos="1588"/>
          <w:tab w:val="left" w:pos="1985"/>
        </w:tabs>
        <w:rPr>
          <w:rFonts w:ascii="Palatino Linotype" w:hAnsi="Palatino Linotype"/>
          <w:lang w:val="fr-CH"/>
        </w:rPr>
        <w:sectPr w:rsidR="00EB0ED5" w:rsidRPr="00DF6FB3" w:rsidSect="006B7B61">
          <w:headerReference w:type="even" r:id="rId7"/>
          <w:headerReference w:type="default" r:id="rId8"/>
          <w:pgSz w:w="11907" w:h="16834" w:code="9"/>
          <w:pgMar w:top="1418" w:right="1134" w:bottom="1134" w:left="1134" w:header="720" w:footer="482" w:gutter="0"/>
          <w:paperSrc w:first="15" w:other="15"/>
          <w:cols w:space="720"/>
        </w:sectPr>
      </w:pPr>
    </w:p>
    <w:p w:rsidR="00EB0ED5" w:rsidRPr="00DF6FB3" w:rsidRDefault="00EB0ED5"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DF6FB3">
        <w:rPr>
          <w:bCs/>
          <w:sz w:val="24"/>
          <w:szCs w:val="24"/>
          <w:lang w:val="fr-CH"/>
        </w:rPr>
        <w:lastRenderedPageBreak/>
        <w:t>Avant-propos</w:t>
      </w:r>
    </w:p>
    <w:p w:rsidR="00EB0ED5" w:rsidRPr="00DF6FB3" w:rsidRDefault="00EB0ED5" w:rsidP="00F54FBD">
      <w:pPr>
        <w:spacing w:before="240"/>
        <w:rPr>
          <w:sz w:val="20"/>
          <w:lang w:val="fr-CH"/>
        </w:rPr>
      </w:pPr>
      <w:r w:rsidRPr="00DF6FB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B0ED5" w:rsidRPr="00DF6FB3" w:rsidRDefault="00EB0ED5" w:rsidP="00F54FBD">
      <w:pPr>
        <w:rPr>
          <w:sz w:val="20"/>
          <w:lang w:val="fr-CH"/>
        </w:rPr>
      </w:pPr>
      <w:r w:rsidRPr="00DF6FB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EB0ED5" w:rsidRPr="00DF6FB3" w:rsidRDefault="00EB0ED5" w:rsidP="00614CC6">
      <w:pPr>
        <w:pStyle w:val="Heading1"/>
        <w:spacing w:before="360"/>
        <w:jc w:val="center"/>
        <w:rPr>
          <w:szCs w:val="24"/>
          <w:lang w:val="fr-CH"/>
        </w:rPr>
      </w:pPr>
      <w:r w:rsidRPr="00DF6FB3">
        <w:rPr>
          <w:szCs w:val="24"/>
          <w:lang w:val="fr-CH"/>
        </w:rPr>
        <w:t>Politique en matière de droits de propriété intellectuelle (IPR)</w:t>
      </w:r>
    </w:p>
    <w:p w:rsidR="00EB0ED5" w:rsidRPr="00DF6FB3" w:rsidRDefault="00EB0ED5" w:rsidP="00E44CBB">
      <w:pPr>
        <w:spacing w:before="240"/>
        <w:rPr>
          <w:sz w:val="20"/>
          <w:lang w:val="fr-CH"/>
        </w:rPr>
      </w:pPr>
      <w:r w:rsidRPr="00DF6FB3">
        <w:rPr>
          <w:sz w:val="20"/>
          <w:lang w:val="fr-CH"/>
        </w:rPr>
        <w:t>La politique de l'UIT</w:t>
      </w:r>
      <w:r w:rsidRPr="00DF6FB3">
        <w:rPr>
          <w:sz w:val="20"/>
          <w:lang w:val="fr-CH"/>
        </w:rPr>
        <w:noBreakHyphen/>
        <w:t>R en matière de droits de propriété intellectuelle est décrite dans la «Politique commune de l'UIT</w:t>
      </w:r>
      <w:r w:rsidRPr="00DF6FB3">
        <w:rPr>
          <w:sz w:val="20"/>
          <w:lang w:val="fr-CH"/>
        </w:rPr>
        <w:noBreakHyphen/>
        <w:t>T, l'UIT</w:t>
      </w:r>
      <w:r w:rsidRPr="00DF6FB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DF6FB3">
          <w:rPr>
            <w:rStyle w:val="Hyperlink"/>
            <w:sz w:val="20"/>
            <w:lang w:val="fr-CH"/>
          </w:rPr>
          <w:t>http://www.itu.int/ITU-R/go/patents/fr</w:t>
        </w:r>
      </w:hyperlink>
      <w:r w:rsidRPr="00DF6FB3">
        <w:rPr>
          <w:sz w:val="20"/>
          <w:lang w:val="fr-CH"/>
        </w:rPr>
        <w:t>, où l'on trouvera également les Lignes directrices pour la mise en oeuvre de la politique commune en matière de brevets de l'UIT</w:t>
      </w:r>
      <w:r w:rsidRPr="00DF6FB3">
        <w:rPr>
          <w:sz w:val="20"/>
          <w:lang w:val="fr-CH"/>
        </w:rPr>
        <w:noBreakHyphen/>
        <w:t>T, l'UIT</w:t>
      </w:r>
      <w:r w:rsidRPr="00DF6FB3">
        <w:rPr>
          <w:sz w:val="20"/>
          <w:lang w:val="fr-CH"/>
        </w:rPr>
        <w:noBreakHyphen/>
        <w:t>R, l'ISO et la CEI</w:t>
      </w:r>
      <w:r w:rsidRPr="00DF6FB3" w:rsidDel="0061025C">
        <w:rPr>
          <w:sz w:val="20"/>
          <w:lang w:val="fr-CH"/>
        </w:rPr>
        <w:t xml:space="preserve"> </w:t>
      </w:r>
      <w:r w:rsidRPr="00DF6FB3">
        <w:rPr>
          <w:sz w:val="20"/>
          <w:lang w:val="fr-CH"/>
        </w:rPr>
        <w:t>et la base de données en matière de brevets de l'UIT-R.</w:t>
      </w:r>
    </w:p>
    <w:p w:rsidR="00EB0ED5" w:rsidRPr="00DF6FB3" w:rsidRDefault="00EB0ED5"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B0ED5" w:rsidRPr="00DF6FB3">
        <w:tc>
          <w:tcPr>
            <w:tcW w:w="9360" w:type="dxa"/>
            <w:gridSpan w:val="2"/>
          </w:tcPr>
          <w:p w:rsidR="00EB0ED5" w:rsidRPr="00DF6FB3" w:rsidRDefault="00EB0ED5"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F6FB3">
              <w:rPr>
                <w:sz w:val="22"/>
                <w:szCs w:val="22"/>
                <w:lang w:val="fr-CH"/>
              </w:rPr>
              <w:t xml:space="preserve">Séries des Recommandations UIT-R </w:t>
            </w:r>
          </w:p>
          <w:p w:rsidR="00EB0ED5" w:rsidRPr="00DF6FB3" w:rsidRDefault="00EB0E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F6FB3">
              <w:rPr>
                <w:b w:val="0"/>
                <w:sz w:val="18"/>
                <w:szCs w:val="18"/>
                <w:lang w:val="fr-CH"/>
              </w:rPr>
              <w:t xml:space="preserve">(Egalement disponible en ligne: </w:t>
            </w:r>
            <w:hyperlink r:id="rId10" w:history="1">
              <w:r w:rsidRPr="00DF6FB3">
                <w:rPr>
                  <w:rStyle w:val="Hyperlink"/>
                  <w:b w:val="0"/>
                  <w:bCs/>
                  <w:sz w:val="18"/>
                  <w:szCs w:val="18"/>
                  <w:lang w:val="fr-CH"/>
                </w:rPr>
                <w:t>http://www.itu.int/publ/R-REC/fr</w:t>
              </w:r>
            </w:hyperlink>
            <w:r w:rsidRPr="00DF6FB3">
              <w:rPr>
                <w:b w:val="0"/>
                <w:bCs/>
                <w:sz w:val="18"/>
                <w:szCs w:val="18"/>
                <w:lang w:val="fr-CH"/>
              </w:rPr>
              <w:t>)</w:t>
            </w:r>
          </w:p>
        </w:tc>
      </w:tr>
      <w:tr w:rsidR="00EB0ED5" w:rsidRPr="00DF6FB3" w:rsidTr="00B21066">
        <w:tc>
          <w:tcPr>
            <w:tcW w:w="1140" w:type="dxa"/>
            <w:tcBorders>
              <w:bottom w:val="nil"/>
            </w:tcBorders>
          </w:tcPr>
          <w:p w:rsidR="00EB0ED5" w:rsidRPr="00DF6FB3" w:rsidRDefault="00EB0ED5" w:rsidP="00614CC6">
            <w:pPr>
              <w:spacing w:before="90" w:after="100"/>
              <w:ind w:left="57"/>
              <w:rPr>
                <w:b/>
                <w:bCs/>
                <w:sz w:val="20"/>
                <w:lang w:val="fr-CH"/>
              </w:rPr>
            </w:pPr>
            <w:r w:rsidRPr="00DF6FB3">
              <w:rPr>
                <w:b/>
                <w:bCs/>
                <w:sz w:val="20"/>
                <w:lang w:val="fr-CH"/>
              </w:rPr>
              <w:t>Séries</w:t>
            </w:r>
          </w:p>
        </w:tc>
        <w:tc>
          <w:tcPr>
            <w:tcW w:w="8220" w:type="dxa"/>
            <w:tcBorders>
              <w:bottom w:val="nil"/>
            </w:tcBorders>
          </w:tcPr>
          <w:p w:rsidR="00EB0ED5" w:rsidRPr="00DF6FB3" w:rsidRDefault="00EB0ED5"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F6FB3">
              <w:rPr>
                <w:bCs/>
                <w:sz w:val="20"/>
                <w:lang w:val="fr-CH"/>
              </w:rPr>
              <w:t>Titre</w:t>
            </w:r>
          </w:p>
        </w:tc>
      </w:tr>
      <w:tr w:rsidR="00EB0ED5" w:rsidRPr="00DF6FB3" w:rsidTr="00B21066">
        <w:tc>
          <w:tcPr>
            <w:tcW w:w="1140" w:type="dxa"/>
            <w:tcBorders>
              <w:top w:val="nil"/>
              <w:bottom w:val="nil"/>
            </w:tcBorders>
            <w:shd w:val="clear" w:color="auto" w:fill="F3F3F3"/>
          </w:tcPr>
          <w:p w:rsidR="00EB0ED5" w:rsidRPr="00DF6FB3" w:rsidRDefault="00EB0ED5" w:rsidP="00F336CC">
            <w:pPr>
              <w:spacing w:before="30" w:after="30"/>
              <w:ind w:left="57"/>
              <w:jc w:val="left"/>
              <w:rPr>
                <w:b/>
                <w:bCs/>
                <w:color w:val="000080"/>
                <w:sz w:val="20"/>
                <w:lang w:val="fr-CH"/>
              </w:rPr>
            </w:pPr>
            <w:r w:rsidRPr="00DF6FB3">
              <w:rPr>
                <w:b/>
                <w:bCs/>
                <w:color w:val="000080"/>
                <w:sz w:val="20"/>
                <w:lang w:val="fr-CH"/>
              </w:rPr>
              <w:t>BO</w:t>
            </w:r>
          </w:p>
        </w:tc>
        <w:tc>
          <w:tcPr>
            <w:tcW w:w="8220" w:type="dxa"/>
            <w:tcBorders>
              <w:top w:val="nil"/>
              <w:bottom w:val="nil"/>
            </w:tcBorders>
            <w:shd w:val="clear" w:color="auto" w:fill="F3F3F3"/>
          </w:tcPr>
          <w:p w:rsidR="00EB0ED5" w:rsidRPr="00DF6FB3" w:rsidRDefault="00EB0E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DF6FB3">
              <w:rPr>
                <w:bCs/>
                <w:color w:val="000080"/>
                <w:sz w:val="20"/>
                <w:lang w:val="fr-CH"/>
              </w:rPr>
              <w:t>Diffusion par satellite</w:t>
            </w:r>
          </w:p>
        </w:tc>
      </w:tr>
      <w:tr w:rsidR="00EB0ED5" w:rsidRPr="00DF6FB3" w:rsidTr="00B21066">
        <w:tc>
          <w:tcPr>
            <w:tcW w:w="1140" w:type="dxa"/>
            <w:tcBorders>
              <w:top w:val="nil"/>
            </w:tcBorders>
          </w:tcPr>
          <w:p w:rsidR="00EB0ED5" w:rsidRPr="00DF6FB3" w:rsidRDefault="00EB0ED5" w:rsidP="00F336CC">
            <w:pPr>
              <w:spacing w:before="30" w:after="30"/>
              <w:ind w:left="57"/>
              <w:jc w:val="left"/>
              <w:rPr>
                <w:b/>
                <w:bCs/>
                <w:sz w:val="20"/>
                <w:lang w:val="fr-CH"/>
              </w:rPr>
            </w:pPr>
            <w:r w:rsidRPr="00DF6FB3">
              <w:rPr>
                <w:b/>
                <w:bCs/>
                <w:sz w:val="20"/>
                <w:lang w:val="fr-CH"/>
              </w:rPr>
              <w:t>BR</w:t>
            </w:r>
          </w:p>
        </w:tc>
        <w:tc>
          <w:tcPr>
            <w:tcW w:w="8220" w:type="dxa"/>
            <w:tcBorders>
              <w:top w:val="nil"/>
            </w:tcBorders>
          </w:tcPr>
          <w:p w:rsidR="00EB0ED5" w:rsidRPr="00DF6FB3" w:rsidRDefault="00EB0E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F6FB3">
              <w:rPr>
                <w:b w:val="0"/>
                <w:bCs/>
                <w:sz w:val="20"/>
                <w:lang w:val="fr-CH"/>
              </w:rPr>
              <w:t>Enregistrement pour la production, l'archivage et la diffusion; films pour la télévision</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BS</w:t>
            </w:r>
          </w:p>
        </w:tc>
        <w:tc>
          <w:tcPr>
            <w:tcW w:w="8220" w:type="dxa"/>
          </w:tcPr>
          <w:p w:rsidR="00EB0ED5" w:rsidRPr="00DF6FB3" w:rsidRDefault="00EB0E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F6FB3">
              <w:rPr>
                <w:b w:val="0"/>
                <w:bCs/>
                <w:sz w:val="20"/>
                <w:lang w:val="fr-CH"/>
              </w:rPr>
              <w:t>Service de radiodiffusion sonore</w:t>
            </w:r>
          </w:p>
        </w:tc>
      </w:tr>
      <w:tr w:rsidR="00EB0ED5" w:rsidRPr="00DF6FB3">
        <w:tc>
          <w:tcPr>
            <w:tcW w:w="1140" w:type="dxa"/>
            <w:shd w:val="clear" w:color="auto" w:fill="auto"/>
          </w:tcPr>
          <w:p w:rsidR="00EB0ED5" w:rsidRPr="00DF6FB3" w:rsidRDefault="00EB0ED5" w:rsidP="00F336CC">
            <w:pPr>
              <w:spacing w:before="30" w:after="30"/>
              <w:ind w:left="57"/>
              <w:jc w:val="left"/>
              <w:rPr>
                <w:b/>
                <w:bCs/>
                <w:sz w:val="20"/>
                <w:lang w:val="fr-CH"/>
              </w:rPr>
            </w:pPr>
            <w:r w:rsidRPr="00DF6FB3">
              <w:rPr>
                <w:b/>
                <w:bCs/>
                <w:sz w:val="20"/>
                <w:lang w:val="fr-CH"/>
              </w:rPr>
              <w:t>BT</w:t>
            </w:r>
          </w:p>
        </w:tc>
        <w:tc>
          <w:tcPr>
            <w:tcW w:w="8220" w:type="dxa"/>
            <w:shd w:val="clear" w:color="auto" w:fill="auto"/>
          </w:tcPr>
          <w:p w:rsidR="00EB0ED5" w:rsidRPr="00DF6FB3" w:rsidRDefault="00EB0E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F6FB3">
              <w:rPr>
                <w:b w:val="0"/>
                <w:bCs/>
                <w:sz w:val="20"/>
                <w:lang w:val="fr-CH"/>
              </w:rPr>
              <w:t>Service de radiodiffusion télévisuelle</w:t>
            </w:r>
          </w:p>
        </w:tc>
      </w:tr>
      <w:tr w:rsidR="00EB0ED5" w:rsidRPr="00DF6FB3" w:rsidTr="00B21066">
        <w:tc>
          <w:tcPr>
            <w:tcW w:w="1140" w:type="dxa"/>
            <w:tcBorders>
              <w:bottom w:val="nil"/>
            </w:tcBorders>
            <w:shd w:val="clear" w:color="auto" w:fill="auto"/>
          </w:tcPr>
          <w:p w:rsidR="00EB0ED5" w:rsidRPr="00DF6FB3" w:rsidRDefault="00EB0ED5" w:rsidP="00F336CC">
            <w:pPr>
              <w:spacing w:before="30" w:after="30"/>
              <w:ind w:left="57"/>
              <w:jc w:val="left"/>
              <w:rPr>
                <w:b/>
                <w:bCs/>
                <w:sz w:val="20"/>
                <w:lang w:val="fr-CH"/>
              </w:rPr>
            </w:pPr>
            <w:r w:rsidRPr="00DF6FB3">
              <w:rPr>
                <w:b/>
                <w:bCs/>
                <w:sz w:val="20"/>
                <w:lang w:val="fr-CH"/>
              </w:rPr>
              <w:t>F</w:t>
            </w:r>
          </w:p>
        </w:tc>
        <w:tc>
          <w:tcPr>
            <w:tcW w:w="8220" w:type="dxa"/>
            <w:tcBorders>
              <w:bottom w:val="nil"/>
            </w:tcBorders>
            <w:shd w:val="clear" w:color="auto" w:fill="auto"/>
          </w:tcPr>
          <w:p w:rsidR="00EB0ED5" w:rsidRPr="00DF6FB3" w:rsidRDefault="00EB0ED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F6FB3">
              <w:rPr>
                <w:sz w:val="20"/>
                <w:lang w:val="fr-CH"/>
              </w:rPr>
              <w:t>Service fixe</w:t>
            </w:r>
          </w:p>
        </w:tc>
      </w:tr>
      <w:tr w:rsidR="00EB0ED5" w:rsidRPr="00DF6FB3" w:rsidTr="00B21066">
        <w:tc>
          <w:tcPr>
            <w:tcW w:w="1140" w:type="dxa"/>
            <w:tcBorders>
              <w:top w:val="nil"/>
              <w:bottom w:val="nil"/>
            </w:tcBorders>
            <w:shd w:val="clear" w:color="auto" w:fill="auto"/>
          </w:tcPr>
          <w:p w:rsidR="00EB0ED5" w:rsidRPr="00DF6FB3" w:rsidRDefault="00EB0ED5" w:rsidP="00F336CC">
            <w:pPr>
              <w:spacing w:before="30" w:after="30"/>
              <w:ind w:left="57"/>
              <w:jc w:val="left"/>
              <w:rPr>
                <w:b/>
                <w:bCs/>
                <w:sz w:val="20"/>
                <w:lang w:val="fr-CH"/>
              </w:rPr>
            </w:pPr>
            <w:r w:rsidRPr="00DF6FB3">
              <w:rPr>
                <w:b/>
                <w:bCs/>
                <w:sz w:val="20"/>
                <w:lang w:val="fr-CH"/>
              </w:rPr>
              <w:t>M</w:t>
            </w:r>
          </w:p>
        </w:tc>
        <w:tc>
          <w:tcPr>
            <w:tcW w:w="8220" w:type="dxa"/>
            <w:tcBorders>
              <w:top w:val="nil"/>
              <w:bottom w:val="nil"/>
            </w:tcBorders>
            <w:shd w:val="clear" w:color="auto" w:fill="auto"/>
          </w:tcPr>
          <w:p w:rsidR="00EB0ED5" w:rsidRPr="00DF6FB3" w:rsidRDefault="00EB0E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F6FB3">
              <w:rPr>
                <w:b w:val="0"/>
                <w:sz w:val="20"/>
                <w:lang w:val="fr-CH"/>
              </w:rPr>
              <w:t>Services mobile, de radiorepérage et d'amateur y compris les services par satellite associés</w:t>
            </w:r>
          </w:p>
        </w:tc>
      </w:tr>
      <w:tr w:rsidR="00EB0ED5" w:rsidRPr="00DF6FB3" w:rsidTr="00B21066">
        <w:tc>
          <w:tcPr>
            <w:tcW w:w="1140" w:type="dxa"/>
            <w:tcBorders>
              <w:top w:val="nil"/>
            </w:tcBorders>
          </w:tcPr>
          <w:p w:rsidR="00EB0ED5" w:rsidRPr="00DF6FB3" w:rsidRDefault="00EB0ED5" w:rsidP="00F336CC">
            <w:pPr>
              <w:spacing w:before="30" w:after="30"/>
              <w:ind w:left="57"/>
              <w:jc w:val="left"/>
              <w:rPr>
                <w:b/>
                <w:bCs/>
                <w:sz w:val="20"/>
                <w:lang w:val="fr-CH"/>
              </w:rPr>
            </w:pPr>
            <w:r w:rsidRPr="00DF6FB3">
              <w:rPr>
                <w:b/>
                <w:bCs/>
                <w:sz w:val="20"/>
                <w:lang w:val="fr-CH"/>
              </w:rPr>
              <w:t>P</w:t>
            </w:r>
          </w:p>
        </w:tc>
        <w:tc>
          <w:tcPr>
            <w:tcW w:w="8220" w:type="dxa"/>
            <w:tcBorders>
              <w:top w:val="nil"/>
            </w:tcBorders>
          </w:tcPr>
          <w:p w:rsidR="00EB0ED5" w:rsidRPr="00DF6FB3" w:rsidRDefault="00EB0ED5" w:rsidP="00F336CC">
            <w:pPr>
              <w:spacing w:before="30" w:after="30"/>
              <w:jc w:val="left"/>
              <w:rPr>
                <w:sz w:val="20"/>
                <w:lang w:val="fr-CH"/>
              </w:rPr>
            </w:pPr>
            <w:r w:rsidRPr="00DF6FB3">
              <w:rPr>
                <w:sz w:val="20"/>
                <w:lang w:val="fr-CH"/>
              </w:rPr>
              <w:t>Propagation des ondes radioélectriques</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RA</w:t>
            </w:r>
          </w:p>
        </w:tc>
        <w:tc>
          <w:tcPr>
            <w:tcW w:w="8220" w:type="dxa"/>
          </w:tcPr>
          <w:p w:rsidR="00EB0ED5" w:rsidRPr="00DF6FB3" w:rsidRDefault="00EB0ED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F6FB3">
              <w:rPr>
                <w:sz w:val="20"/>
                <w:lang w:val="fr-CH"/>
              </w:rPr>
              <w:t>Radio astronomie</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RS</w:t>
            </w:r>
          </w:p>
        </w:tc>
        <w:tc>
          <w:tcPr>
            <w:tcW w:w="8220" w:type="dxa"/>
          </w:tcPr>
          <w:p w:rsidR="00EB0ED5" w:rsidRPr="00DF6FB3" w:rsidRDefault="00EB0ED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F6FB3">
              <w:rPr>
                <w:sz w:val="20"/>
                <w:lang w:val="fr-CH"/>
              </w:rPr>
              <w:t>Systèmes de télédétection</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S</w:t>
            </w:r>
          </w:p>
        </w:tc>
        <w:tc>
          <w:tcPr>
            <w:tcW w:w="8220" w:type="dxa"/>
          </w:tcPr>
          <w:p w:rsidR="00EB0ED5" w:rsidRPr="00DF6FB3" w:rsidRDefault="00EB0ED5" w:rsidP="00F336CC">
            <w:pPr>
              <w:spacing w:before="30" w:after="30"/>
              <w:jc w:val="left"/>
              <w:rPr>
                <w:sz w:val="20"/>
                <w:lang w:val="fr-CH"/>
              </w:rPr>
            </w:pPr>
            <w:r w:rsidRPr="00DF6FB3">
              <w:rPr>
                <w:sz w:val="20"/>
                <w:lang w:val="fr-CH"/>
              </w:rPr>
              <w:t>Service fixe par satellite</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SA</w:t>
            </w:r>
          </w:p>
        </w:tc>
        <w:tc>
          <w:tcPr>
            <w:tcW w:w="8220" w:type="dxa"/>
          </w:tcPr>
          <w:p w:rsidR="00EB0ED5" w:rsidRPr="00DF6FB3" w:rsidRDefault="00EB0ED5" w:rsidP="00F336CC">
            <w:pPr>
              <w:spacing w:before="30" w:after="30"/>
              <w:jc w:val="left"/>
              <w:rPr>
                <w:sz w:val="20"/>
                <w:lang w:val="fr-CH"/>
              </w:rPr>
            </w:pPr>
            <w:r w:rsidRPr="00DF6FB3">
              <w:rPr>
                <w:sz w:val="20"/>
                <w:lang w:val="fr-CH"/>
              </w:rPr>
              <w:t>Applications spatiales et météorologie</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SF</w:t>
            </w:r>
          </w:p>
        </w:tc>
        <w:tc>
          <w:tcPr>
            <w:tcW w:w="8220" w:type="dxa"/>
          </w:tcPr>
          <w:p w:rsidR="00EB0ED5" w:rsidRPr="00DF6FB3" w:rsidRDefault="00EB0ED5" w:rsidP="00F336CC">
            <w:pPr>
              <w:spacing w:before="30" w:after="30"/>
              <w:jc w:val="left"/>
              <w:rPr>
                <w:sz w:val="20"/>
                <w:lang w:val="fr-CH"/>
              </w:rPr>
            </w:pPr>
            <w:r w:rsidRPr="00DF6FB3">
              <w:rPr>
                <w:sz w:val="20"/>
                <w:lang w:val="fr-CH"/>
              </w:rPr>
              <w:t>Partage des fréquences et coordination entre les systèmes du service fixe par satellite et du service fixe</w:t>
            </w:r>
          </w:p>
        </w:tc>
      </w:tr>
      <w:tr w:rsidR="00EB0ED5" w:rsidRPr="00DF6FB3">
        <w:tc>
          <w:tcPr>
            <w:tcW w:w="1140" w:type="dxa"/>
            <w:shd w:val="clear" w:color="auto" w:fill="auto"/>
          </w:tcPr>
          <w:p w:rsidR="00EB0ED5" w:rsidRPr="00DF6FB3" w:rsidRDefault="00EB0ED5" w:rsidP="00F336CC">
            <w:pPr>
              <w:spacing w:before="30" w:after="30"/>
              <w:ind w:left="57"/>
              <w:jc w:val="left"/>
              <w:rPr>
                <w:b/>
                <w:bCs/>
                <w:sz w:val="20"/>
                <w:lang w:val="fr-CH"/>
              </w:rPr>
            </w:pPr>
            <w:r w:rsidRPr="00DF6FB3">
              <w:rPr>
                <w:b/>
                <w:bCs/>
                <w:sz w:val="20"/>
                <w:lang w:val="fr-CH"/>
              </w:rPr>
              <w:t>SM</w:t>
            </w:r>
          </w:p>
        </w:tc>
        <w:tc>
          <w:tcPr>
            <w:tcW w:w="8220" w:type="dxa"/>
            <w:shd w:val="clear" w:color="auto" w:fill="auto"/>
          </w:tcPr>
          <w:p w:rsidR="00EB0ED5" w:rsidRPr="00DF6FB3" w:rsidRDefault="00EB0ED5" w:rsidP="00F336CC">
            <w:pPr>
              <w:spacing w:before="30" w:after="30"/>
              <w:jc w:val="left"/>
              <w:rPr>
                <w:sz w:val="20"/>
                <w:lang w:val="fr-CH"/>
              </w:rPr>
            </w:pPr>
            <w:r w:rsidRPr="00DF6FB3">
              <w:rPr>
                <w:sz w:val="20"/>
                <w:lang w:val="fr-CH"/>
              </w:rPr>
              <w:t>Gestion du spectre</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SNG</w:t>
            </w:r>
          </w:p>
        </w:tc>
        <w:tc>
          <w:tcPr>
            <w:tcW w:w="8220" w:type="dxa"/>
          </w:tcPr>
          <w:p w:rsidR="00EB0ED5" w:rsidRPr="00DF6FB3" w:rsidRDefault="00EB0ED5" w:rsidP="00F336CC">
            <w:pPr>
              <w:spacing w:before="30" w:after="30"/>
              <w:jc w:val="left"/>
              <w:rPr>
                <w:sz w:val="20"/>
                <w:lang w:val="fr-CH"/>
              </w:rPr>
            </w:pPr>
            <w:r w:rsidRPr="00DF6FB3">
              <w:rPr>
                <w:sz w:val="20"/>
                <w:lang w:val="fr-CH"/>
              </w:rPr>
              <w:t>Reportage d'actualités par satellite</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TF</w:t>
            </w:r>
          </w:p>
        </w:tc>
        <w:tc>
          <w:tcPr>
            <w:tcW w:w="8220" w:type="dxa"/>
          </w:tcPr>
          <w:p w:rsidR="00EB0ED5" w:rsidRPr="00DF6FB3" w:rsidRDefault="00EB0ED5" w:rsidP="00F336CC">
            <w:pPr>
              <w:spacing w:before="30" w:after="30"/>
              <w:jc w:val="left"/>
              <w:rPr>
                <w:sz w:val="20"/>
                <w:lang w:val="fr-CH"/>
              </w:rPr>
            </w:pPr>
            <w:r w:rsidRPr="00DF6FB3">
              <w:rPr>
                <w:sz w:val="20"/>
                <w:lang w:val="fr-CH"/>
              </w:rPr>
              <w:t>Emissions de fréquences étalon et de signaux horaires</w:t>
            </w:r>
          </w:p>
        </w:tc>
      </w:tr>
      <w:tr w:rsidR="00EB0ED5" w:rsidRPr="00DF6FB3">
        <w:tc>
          <w:tcPr>
            <w:tcW w:w="1140" w:type="dxa"/>
          </w:tcPr>
          <w:p w:rsidR="00EB0ED5" w:rsidRPr="00DF6FB3" w:rsidRDefault="00EB0ED5" w:rsidP="00F336CC">
            <w:pPr>
              <w:spacing w:before="30" w:after="30"/>
              <w:ind w:left="57"/>
              <w:jc w:val="left"/>
              <w:rPr>
                <w:b/>
                <w:bCs/>
                <w:sz w:val="20"/>
                <w:lang w:val="fr-CH"/>
              </w:rPr>
            </w:pPr>
            <w:r w:rsidRPr="00DF6FB3">
              <w:rPr>
                <w:b/>
                <w:bCs/>
                <w:sz w:val="20"/>
                <w:lang w:val="fr-CH"/>
              </w:rPr>
              <w:t>V</w:t>
            </w:r>
          </w:p>
        </w:tc>
        <w:tc>
          <w:tcPr>
            <w:tcW w:w="8220" w:type="dxa"/>
          </w:tcPr>
          <w:p w:rsidR="00EB0ED5" w:rsidRPr="00DF6FB3" w:rsidRDefault="00EB0ED5" w:rsidP="00614CC6">
            <w:pPr>
              <w:spacing w:before="30" w:after="140"/>
              <w:jc w:val="left"/>
              <w:rPr>
                <w:sz w:val="20"/>
                <w:lang w:val="fr-CH"/>
              </w:rPr>
            </w:pPr>
            <w:r w:rsidRPr="00DF6FB3">
              <w:rPr>
                <w:sz w:val="20"/>
                <w:lang w:val="fr-CH"/>
              </w:rPr>
              <w:t>Vocabulaire et sujets associés</w:t>
            </w:r>
          </w:p>
        </w:tc>
      </w:tr>
    </w:tbl>
    <w:p w:rsidR="00EB0ED5" w:rsidRPr="00DF6FB3" w:rsidRDefault="00EB0ED5" w:rsidP="00614CC6">
      <w:pPr>
        <w:spacing w:before="0"/>
        <w:jc w:val="center"/>
        <w:rPr>
          <w:sz w:val="20"/>
          <w:lang w:val="fr-CH"/>
        </w:rPr>
      </w:pPr>
    </w:p>
    <w:p w:rsidR="00EB0ED5" w:rsidRPr="00DF6FB3" w:rsidRDefault="00EB0ED5"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B0ED5" w:rsidRPr="00DF6FB3">
        <w:tc>
          <w:tcPr>
            <w:tcW w:w="9360" w:type="dxa"/>
          </w:tcPr>
          <w:p w:rsidR="00EB0ED5" w:rsidRPr="00DF6FB3" w:rsidRDefault="00EB0ED5" w:rsidP="004507FE">
            <w:pPr>
              <w:spacing w:before="80" w:after="80"/>
              <w:jc w:val="left"/>
              <w:rPr>
                <w:i/>
                <w:iCs/>
                <w:sz w:val="20"/>
                <w:lang w:val="fr-CH"/>
              </w:rPr>
            </w:pPr>
            <w:r w:rsidRPr="00DF6FB3">
              <w:rPr>
                <w:b/>
                <w:bCs/>
                <w:i/>
                <w:iCs/>
                <w:sz w:val="20"/>
                <w:lang w:val="fr-CH"/>
              </w:rPr>
              <w:t>Note</w:t>
            </w:r>
            <w:r w:rsidRPr="00DF6FB3">
              <w:rPr>
                <w:i/>
                <w:iCs/>
                <w:sz w:val="20"/>
                <w:lang w:val="fr-CH"/>
              </w:rPr>
              <w:t>: Cette Recommandation UIT-R a été approuvée en anglais aux termes de la procédure détaillée dans la</w:t>
            </w:r>
            <w:r w:rsidRPr="00DF6FB3">
              <w:rPr>
                <w:i/>
                <w:iCs/>
                <w:sz w:val="20"/>
                <w:lang w:val="fr-CH"/>
              </w:rPr>
              <w:br/>
              <w:t xml:space="preserve">Résolution UIT-R 1. </w:t>
            </w:r>
          </w:p>
        </w:tc>
      </w:tr>
    </w:tbl>
    <w:p w:rsidR="00EB0ED5" w:rsidRPr="00DF6FB3" w:rsidRDefault="00EB0ED5" w:rsidP="00F54FBD">
      <w:pPr>
        <w:spacing w:before="0"/>
        <w:jc w:val="center"/>
        <w:rPr>
          <w:sz w:val="22"/>
          <w:lang w:val="fr-CH"/>
        </w:rPr>
      </w:pPr>
    </w:p>
    <w:p w:rsidR="00EB0ED5" w:rsidRPr="00DF6FB3" w:rsidRDefault="00EB0ED5" w:rsidP="00756B4D">
      <w:pPr>
        <w:spacing w:before="100"/>
        <w:jc w:val="right"/>
        <w:rPr>
          <w:i/>
          <w:iCs/>
          <w:sz w:val="20"/>
          <w:lang w:val="fr-CH"/>
        </w:rPr>
      </w:pPr>
      <w:r w:rsidRPr="00DF6FB3">
        <w:rPr>
          <w:i/>
          <w:iCs/>
          <w:sz w:val="20"/>
          <w:lang w:val="fr-CH"/>
        </w:rPr>
        <w:t>Publication électronique</w:t>
      </w:r>
    </w:p>
    <w:p w:rsidR="00EB0ED5" w:rsidRPr="00DF6FB3" w:rsidRDefault="00EB0ED5" w:rsidP="00EB0ED5">
      <w:pPr>
        <w:spacing w:before="0"/>
        <w:jc w:val="right"/>
        <w:rPr>
          <w:sz w:val="20"/>
          <w:lang w:val="fr-CH"/>
        </w:rPr>
      </w:pPr>
      <w:r w:rsidRPr="00DF6FB3">
        <w:rPr>
          <w:sz w:val="20"/>
          <w:lang w:val="fr-CH"/>
        </w:rPr>
        <w:t>Genève, 2012</w:t>
      </w:r>
    </w:p>
    <w:p w:rsidR="00EB0ED5" w:rsidRPr="00DF6FB3" w:rsidRDefault="00EB0ED5" w:rsidP="00FB51A0">
      <w:pPr>
        <w:spacing w:before="200"/>
        <w:jc w:val="center"/>
        <w:rPr>
          <w:sz w:val="20"/>
          <w:lang w:val="fr-CH"/>
        </w:rPr>
      </w:pPr>
      <w:r w:rsidRPr="00DF6FB3">
        <w:rPr>
          <w:sz w:val="20"/>
          <w:lang w:val="fr-CH"/>
        </w:rPr>
        <w:sym w:font="Symbol" w:char="F0E3"/>
      </w:r>
      <w:r w:rsidRPr="00DF6FB3">
        <w:rPr>
          <w:sz w:val="20"/>
          <w:lang w:val="fr-CH"/>
        </w:rPr>
        <w:t xml:space="preserve"> UIT </w:t>
      </w:r>
      <w:bookmarkStart w:id="1" w:name="iiannee"/>
      <w:bookmarkEnd w:id="1"/>
      <w:r w:rsidRPr="00DF6FB3">
        <w:rPr>
          <w:sz w:val="20"/>
          <w:lang w:val="fr-CH"/>
        </w:rPr>
        <w:t>2012</w:t>
      </w:r>
    </w:p>
    <w:p w:rsidR="00EB0ED5" w:rsidRPr="00DF6FB3" w:rsidRDefault="00EB0ED5" w:rsidP="00614CC6">
      <w:pPr>
        <w:rPr>
          <w:sz w:val="18"/>
          <w:szCs w:val="18"/>
          <w:lang w:val="fr-CH"/>
        </w:rPr>
      </w:pPr>
      <w:r w:rsidRPr="00DF6FB3">
        <w:rPr>
          <w:sz w:val="18"/>
          <w:szCs w:val="18"/>
          <w:lang w:val="fr-CH"/>
        </w:rPr>
        <w:t>Tous droits réservés. Aucune partie de cette publication ne peut être reproduite, par quelque procédé que ce soit, sans l’accord écrit préalable de l’UIT.</w:t>
      </w:r>
    </w:p>
    <w:p w:rsidR="00EB0ED5" w:rsidRPr="00DF6FB3" w:rsidRDefault="00EB0ED5" w:rsidP="00CD659B">
      <w:pPr>
        <w:spacing w:before="160"/>
        <w:rPr>
          <w:i/>
          <w:sz w:val="20"/>
          <w:highlight w:val="yellow"/>
          <w:lang w:val="fr-CH"/>
        </w:rPr>
        <w:sectPr w:rsidR="00EB0ED5" w:rsidRPr="00DF6FB3"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EB0ED5" w:rsidRPr="00DF6FB3" w:rsidRDefault="00EB0ED5" w:rsidP="00EB0ED5">
      <w:pPr>
        <w:pStyle w:val="RecNo"/>
        <w:spacing w:before="0"/>
        <w:rPr>
          <w:lang w:val="fr-CH"/>
        </w:rPr>
      </w:pPr>
      <w:bookmarkStart w:id="2" w:name="irecnoe"/>
      <w:bookmarkEnd w:id="2"/>
      <w:r w:rsidRPr="00DF6FB3">
        <w:rPr>
          <w:lang w:val="fr-CH"/>
        </w:rPr>
        <w:lastRenderedPageBreak/>
        <w:t xml:space="preserve">RECOMMANDATION  </w:t>
      </w:r>
      <w:r w:rsidRPr="00DF6FB3">
        <w:rPr>
          <w:rStyle w:val="href"/>
          <w:lang w:val="fr-CH"/>
        </w:rPr>
        <w:t>UIT-R  BO.1898</w:t>
      </w:r>
    </w:p>
    <w:p w:rsidR="00EB0ED5" w:rsidRPr="00DF6FB3" w:rsidRDefault="00EB0ED5" w:rsidP="00EB0ED5">
      <w:pPr>
        <w:pStyle w:val="Rectitle"/>
        <w:rPr>
          <w:lang w:val="fr-CH"/>
        </w:rPr>
      </w:pPr>
      <w:r w:rsidRPr="00DF6FB3">
        <w:rPr>
          <w:lang w:val="fr-CH"/>
        </w:rPr>
        <w:t xml:space="preserve">Valeur de puissance surfacique nécessaire pour assurer la protection des stations terriennes de réception du service de radiodiffusion par satellite </w:t>
      </w:r>
      <w:r w:rsidRPr="00DF6FB3">
        <w:rPr>
          <w:lang w:val="fr-CH"/>
        </w:rPr>
        <w:br/>
        <w:t xml:space="preserve">dans les Régions 1 et 3 contre les émissions d'une station des </w:t>
      </w:r>
      <w:r w:rsidRPr="00DF6FB3">
        <w:rPr>
          <w:lang w:val="fr-CH"/>
        </w:rPr>
        <w:br/>
        <w:t>services fixe et/ou mobile dans la bande 21,4-22 GHz</w:t>
      </w:r>
    </w:p>
    <w:p w:rsidR="00EB0ED5" w:rsidRPr="00DF6FB3" w:rsidRDefault="00EB0ED5" w:rsidP="00EB0ED5">
      <w:pPr>
        <w:pStyle w:val="Recdate"/>
        <w:rPr>
          <w:lang w:val="fr-CH"/>
        </w:rPr>
      </w:pPr>
      <w:r w:rsidRPr="00DF6FB3">
        <w:rPr>
          <w:lang w:val="fr-CH"/>
        </w:rPr>
        <w:t>(2012)</w:t>
      </w:r>
    </w:p>
    <w:p w:rsidR="00EB0ED5" w:rsidRPr="00DF6FB3" w:rsidRDefault="00EB0ED5" w:rsidP="00DF6FB3">
      <w:pPr>
        <w:pStyle w:val="HeadingSum"/>
        <w:rPr>
          <w:lang w:val="fr-CH"/>
        </w:rPr>
      </w:pPr>
      <w:r w:rsidRPr="00DF6FB3">
        <w:rPr>
          <w:lang w:val="fr-CH"/>
        </w:rPr>
        <w:t>Champ d'application</w:t>
      </w:r>
    </w:p>
    <w:p w:rsidR="00EB0ED5" w:rsidRPr="00DF6FB3" w:rsidRDefault="00EB0ED5" w:rsidP="00DF6FB3">
      <w:pPr>
        <w:pStyle w:val="Summary"/>
        <w:rPr>
          <w:lang w:val="fr-CH" w:eastAsia="ja-JP"/>
        </w:rPr>
      </w:pPr>
      <w:r w:rsidRPr="00DF6FB3">
        <w:rPr>
          <w:lang w:val="fr-CH"/>
        </w:rPr>
        <w:t>La présente Recommandation donne la valeur maximale admissible de puissance surfacique pour assurer la protection des stations terriennes de réception du SRS dans les Régions 1 et 3 contre les émissions d'une seule station des services fixe et/ou mobile dans la bande 21,4-22,0 GHz</w:t>
      </w:r>
      <w:r w:rsidRPr="00DF6FB3">
        <w:rPr>
          <w:lang w:val="fr-CH" w:eastAsia="ja-JP"/>
        </w:rPr>
        <w:t>. Elle est destinée à servir de guide pour les administrations dans leurs négociations bilatérales ou multilatérales dans la mesure où elle fournit la méthode détaillée pour calculer cette valeur de puissance surfacique et la valeur ainsi calculée.</w:t>
      </w:r>
    </w:p>
    <w:p w:rsidR="00EB0ED5" w:rsidRPr="00DF6FB3" w:rsidRDefault="00EB0ED5" w:rsidP="00EB0ED5">
      <w:pPr>
        <w:pStyle w:val="Normalaftertitle"/>
        <w:rPr>
          <w:lang w:val="fr-CH"/>
        </w:rPr>
      </w:pPr>
      <w:r w:rsidRPr="00DF6FB3">
        <w:rPr>
          <w:lang w:val="fr-CH"/>
        </w:rPr>
        <w:t>L'Assemblée des radiocommunications de l'UIT,</w:t>
      </w:r>
    </w:p>
    <w:p w:rsidR="00EB0ED5" w:rsidRPr="00DF6FB3" w:rsidRDefault="00EB0ED5" w:rsidP="00EB0ED5">
      <w:pPr>
        <w:pStyle w:val="Call"/>
        <w:rPr>
          <w:lang w:val="fr-CH"/>
        </w:rPr>
      </w:pPr>
      <w:r w:rsidRPr="00DF6FB3">
        <w:rPr>
          <w:lang w:val="fr-CH"/>
        </w:rPr>
        <w:t>considérant</w:t>
      </w:r>
    </w:p>
    <w:p w:rsidR="00EB0ED5" w:rsidRPr="00DF6FB3" w:rsidRDefault="00EB0ED5" w:rsidP="00EB0ED5">
      <w:pPr>
        <w:rPr>
          <w:lang w:val="fr-CH"/>
        </w:rPr>
      </w:pPr>
      <w:r w:rsidRPr="00DF6FB3">
        <w:rPr>
          <w:iCs/>
          <w:lang w:val="fr-CH"/>
        </w:rPr>
        <w:t>a)</w:t>
      </w:r>
      <w:r w:rsidRPr="00DF6FB3">
        <w:rPr>
          <w:lang w:val="fr-CH"/>
        </w:rPr>
        <w:tab/>
        <w:t>que les émissions des stations de Terre peuvent causer aux stations terriennes de réception du SRS exploitées dans les Régions 1 et 3, dans la bande 21,4-22,0 GHz, des brouillages qui sont supérieurs aux niveaux admissibles;</w:t>
      </w:r>
    </w:p>
    <w:p w:rsidR="00EB0ED5" w:rsidRPr="00DF6FB3" w:rsidRDefault="00EB0ED5" w:rsidP="00EB0ED5">
      <w:pPr>
        <w:rPr>
          <w:lang w:val="fr-CH"/>
        </w:rPr>
      </w:pPr>
      <w:r w:rsidRPr="00DF6FB3">
        <w:rPr>
          <w:iCs/>
          <w:lang w:val="fr-CH"/>
        </w:rPr>
        <w:t>b)</w:t>
      </w:r>
      <w:r w:rsidRPr="00DF6FB3">
        <w:rPr>
          <w:lang w:val="fr-CH"/>
        </w:rPr>
        <w:tab/>
        <w:t>que, pour protéger les stations terriennes de réception du SRS exploitées dans les Régions 1 et 3 contre les brouillages inacceptables des stations de Terre, il faut déterminer une valeur maximale admissible de puissance surfacique appropriée qui soit applicable aux émissions d'une station de Terre exploitée dans cette bande,</w:t>
      </w:r>
    </w:p>
    <w:p w:rsidR="00EB0ED5" w:rsidRPr="00DF6FB3" w:rsidRDefault="00EB0ED5" w:rsidP="00EB0ED5">
      <w:pPr>
        <w:pStyle w:val="Call"/>
        <w:rPr>
          <w:lang w:val="fr-CH"/>
        </w:rPr>
      </w:pPr>
      <w:r w:rsidRPr="00DF6FB3">
        <w:rPr>
          <w:lang w:val="fr-CH"/>
        </w:rPr>
        <w:t>recommande</w:t>
      </w:r>
    </w:p>
    <w:p w:rsidR="00EB0ED5" w:rsidRPr="00DF6FB3" w:rsidRDefault="00EB0ED5" w:rsidP="00DF6FB3">
      <w:pPr>
        <w:rPr>
          <w:lang w:val="fr-CH" w:eastAsia="ko-KR"/>
        </w:rPr>
      </w:pPr>
      <w:r w:rsidRPr="00DF6FB3">
        <w:rPr>
          <w:b/>
          <w:bCs/>
          <w:iCs/>
          <w:lang w:val="fr-CH"/>
        </w:rPr>
        <w:t>1</w:t>
      </w:r>
      <w:r w:rsidRPr="00DF6FB3">
        <w:rPr>
          <w:lang w:val="fr-CH"/>
        </w:rPr>
        <w:tab/>
        <w:t xml:space="preserve">d'utiliser, pour protéger les stations terriennes de réception du SRS, une valeur de </w:t>
      </w:r>
      <w:r w:rsidR="00DF6FB3">
        <w:rPr>
          <w:lang w:val="fr-CH"/>
        </w:rPr>
        <w:br/>
      </w:r>
      <w:r w:rsidR="00DF6FB3" w:rsidRPr="00DF6FB3">
        <w:rPr>
          <w:lang w:val="fr-CH" w:eastAsia="ko-KR"/>
        </w:rPr>
        <w:t>–</w:t>
      </w:r>
      <w:r w:rsidRPr="00DF6FB3">
        <w:rPr>
          <w:lang w:val="fr-CH" w:eastAsia="ko-KR"/>
        </w:rPr>
        <w:t>120,4 </w:t>
      </w:r>
      <w:r w:rsidRPr="00DF6FB3">
        <w:rPr>
          <w:lang w:val="fr-CH"/>
        </w:rPr>
        <w:t>dB(W/(m</w:t>
      </w:r>
      <w:r w:rsidRPr="00DF6FB3">
        <w:rPr>
          <w:vertAlign w:val="superscript"/>
          <w:lang w:val="fr-CH"/>
        </w:rPr>
        <w:t>2</w:t>
      </w:r>
      <w:r w:rsidRPr="00DF6FB3">
        <w:rPr>
          <w:lang w:val="fr-CH"/>
        </w:rPr>
        <w:t>·</w:t>
      </w:r>
      <w:r w:rsidRPr="00DF6FB3">
        <w:rPr>
          <w:lang w:val="fr-CH" w:eastAsia="ko-KR"/>
        </w:rPr>
        <w:t>1 M</w:t>
      </w:r>
      <w:r w:rsidRPr="00DF6FB3">
        <w:rPr>
          <w:lang w:val="fr-CH"/>
        </w:rPr>
        <w:t>Hz)</w:t>
      </w:r>
      <w:r w:rsidRPr="00DF6FB3">
        <w:rPr>
          <w:lang w:val="fr-CH" w:eastAsia="ko-KR"/>
        </w:rPr>
        <w:t>) comme niveau maximal admissible, pour une seule source de brouillage, de la puissance surfacique produite par une station de Terre dans la bande</w:t>
      </w:r>
      <w:r w:rsidRPr="00DF6FB3">
        <w:rPr>
          <w:lang w:val="fr-CH"/>
        </w:rPr>
        <w:t xml:space="preserve"> 21,4</w:t>
      </w:r>
      <w:r w:rsidR="00DF6FB3">
        <w:rPr>
          <w:lang w:val="fr-CH"/>
        </w:rPr>
        <w:noBreakHyphen/>
      </w:r>
      <w:r w:rsidRPr="00DF6FB3">
        <w:rPr>
          <w:lang w:val="fr-CH"/>
        </w:rPr>
        <w:t>22,0 GHz;</w:t>
      </w:r>
      <w:r w:rsidRPr="00DF6FB3">
        <w:rPr>
          <w:lang w:val="fr-CH" w:eastAsia="ja-JP"/>
        </w:rPr>
        <w:t xml:space="preserve"> </w:t>
      </w:r>
    </w:p>
    <w:p w:rsidR="00EB0ED5" w:rsidRPr="00DF6FB3" w:rsidRDefault="00EB0ED5" w:rsidP="00DF6FB3">
      <w:pPr>
        <w:rPr>
          <w:lang w:val="fr-CH"/>
        </w:rPr>
      </w:pPr>
      <w:r w:rsidRPr="00DF6FB3">
        <w:rPr>
          <w:b/>
          <w:iCs/>
          <w:lang w:val="fr-CH"/>
        </w:rPr>
        <w:t>2</w:t>
      </w:r>
      <w:r w:rsidRPr="00DF6FB3">
        <w:rPr>
          <w:lang w:val="fr-CH"/>
        </w:rPr>
        <w:tab/>
        <w:t>de faire en sorte que cette valeur, calculée conformément à la Recommandation</w:t>
      </w:r>
      <w:r w:rsidR="00DF6FB3">
        <w:rPr>
          <w:lang w:val="fr-CH"/>
        </w:rPr>
        <w:t> </w:t>
      </w:r>
      <w:r w:rsidRPr="00DF6FB3">
        <w:rPr>
          <w:lang w:val="fr-CH"/>
        </w:rPr>
        <w:t>UIT</w:t>
      </w:r>
      <w:r w:rsidRPr="00DF6FB3">
        <w:rPr>
          <w:lang w:val="fr-CH"/>
        </w:rPr>
        <w:noBreakHyphen/>
        <w:t>R P.452-14, ne soit pas dépassée à 3 m au-dessus du sol, en tout point du territoire des autres administrations des Ré</w:t>
      </w:r>
      <w:r w:rsidRPr="00DF6FB3">
        <w:rPr>
          <w:lang w:val="fr-CH" w:eastAsia="ja-JP"/>
        </w:rPr>
        <w:t xml:space="preserve">gions 1 et 3 pendant plus </w:t>
      </w:r>
      <w:r w:rsidRPr="00DF6FB3">
        <w:rPr>
          <w:lang w:val="fr-CH" w:eastAsia="ko-KR"/>
        </w:rPr>
        <w:t>20</w:t>
      </w:r>
      <w:r w:rsidRPr="00DF6FB3">
        <w:rPr>
          <w:lang w:val="fr-CH"/>
        </w:rPr>
        <w:t>% du temps;</w:t>
      </w:r>
    </w:p>
    <w:p w:rsidR="00EB0ED5" w:rsidRPr="00DF6FB3" w:rsidRDefault="00EB0ED5" w:rsidP="00EB0ED5">
      <w:pPr>
        <w:rPr>
          <w:lang w:val="fr-CH" w:eastAsia="ja-JP"/>
        </w:rPr>
      </w:pPr>
      <w:r w:rsidRPr="00DF6FB3">
        <w:rPr>
          <w:b/>
          <w:iCs/>
          <w:lang w:val="fr-CH" w:eastAsia="ja-JP"/>
        </w:rPr>
        <w:t>3</w:t>
      </w:r>
      <w:r w:rsidRPr="00DF6FB3">
        <w:rPr>
          <w:lang w:val="fr-CH" w:eastAsia="ja-JP"/>
        </w:rPr>
        <w:tab/>
        <w:t>de considérer que les Notes ci-après font partie intégrante de la présente Recommandation.</w:t>
      </w:r>
    </w:p>
    <w:p w:rsidR="00EB0ED5" w:rsidRPr="00DF6FB3" w:rsidRDefault="00EB0ED5" w:rsidP="00EB0ED5">
      <w:pPr>
        <w:rPr>
          <w:lang w:val="fr-CH"/>
        </w:rPr>
      </w:pPr>
      <w:r w:rsidRPr="00DF6FB3">
        <w:rPr>
          <w:lang w:val="fr-CH"/>
        </w:rPr>
        <w:t xml:space="preserve">NOTE 1 – La valeur de puissance surfacique au point 1 du </w:t>
      </w:r>
      <w:r w:rsidRPr="00DF6FB3">
        <w:rPr>
          <w:i/>
          <w:lang w:val="fr-CH"/>
        </w:rPr>
        <w:t>recommande</w:t>
      </w:r>
      <w:r w:rsidRPr="00DF6FB3">
        <w:rPr>
          <w:lang w:val="fr-CH"/>
        </w:rPr>
        <w:t xml:space="preserve"> a été calculée selon la méthode présentée dans l'Annexe 1.</w:t>
      </w:r>
    </w:p>
    <w:p w:rsidR="00EB0ED5" w:rsidRPr="00DF6FB3" w:rsidRDefault="00EB0ED5" w:rsidP="00EB0ED5">
      <w:pPr>
        <w:rPr>
          <w:szCs w:val="24"/>
          <w:lang w:val="fr-CH"/>
        </w:rPr>
      </w:pPr>
      <w:r w:rsidRPr="00DF6FB3">
        <w:rPr>
          <w:lang w:val="fr-CH"/>
        </w:rPr>
        <w:t xml:space="preserve">NOTE 2 – La puissance surfacique pour une seule source de brouillage, au point 1 du </w:t>
      </w:r>
      <w:r w:rsidRPr="00DF6FB3">
        <w:rPr>
          <w:i/>
          <w:lang w:val="fr-CH"/>
        </w:rPr>
        <w:t>recommande</w:t>
      </w:r>
      <w:r w:rsidRPr="00DF6FB3">
        <w:rPr>
          <w:lang w:val="fr-CH"/>
        </w:rPr>
        <w:t>,</w:t>
      </w:r>
      <w:r w:rsidRPr="00DF6FB3">
        <w:rPr>
          <w:i/>
          <w:lang w:val="fr-CH"/>
        </w:rPr>
        <w:t xml:space="preserve"> </w:t>
      </w:r>
      <w:r w:rsidRPr="00DF6FB3">
        <w:rPr>
          <w:lang w:val="fr-CH"/>
        </w:rPr>
        <w:t>a été calculée à partir d'un rapport brouillage/bruit (</w:t>
      </w:r>
      <w:r w:rsidRPr="00DF6FB3">
        <w:rPr>
          <w:i/>
          <w:iCs/>
          <w:lang w:val="fr-CH" w:eastAsia="ja-JP"/>
        </w:rPr>
        <w:t>I</w:t>
      </w:r>
      <w:r w:rsidRPr="00DF6FB3">
        <w:rPr>
          <w:lang w:val="fr-CH" w:eastAsia="ja-JP"/>
        </w:rPr>
        <w:t>/</w:t>
      </w:r>
      <w:r w:rsidRPr="00DF6FB3">
        <w:rPr>
          <w:i/>
          <w:iCs/>
          <w:lang w:val="fr-CH" w:eastAsia="ja-JP"/>
        </w:rPr>
        <w:t>N)</w:t>
      </w:r>
      <w:r w:rsidRPr="00DF6FB3">
        <w:rPr>
          <w:lang w:val="fr-CH" w:eastAsia="ja-JP"/>
        </w:rPr>
        <w:t xml:space="preserve"> </w:t>
      </w:r>
      <w:r w:rsidRPr="00DF6FB3">
        <w:rPr>
          <w:lang w:val="fr-CH"/>
        </w:rPr>
        <w:t>cumulatif</w:t>
      </w:r>
      <w:r w:rsidRPr="00DF6FB3">
        <w:rPr>
          <w:lang w:val="fr-CH" w:eastAsia="ja-JP"/>
        </w:rPr>
        <w:t xml:space="preserve"> = –12,2 dB (correspondant à une augmentation de 6% de la température de bruit équivalent du système), dans l'hypothèse d'un nombre équivalent de 3,3 sources de brouillage, chacune émettant à la valeur de puissance surfacique maximale pour une seule source de brouillage.</w:t>
      </w:r>
    </w:p>
    <w:p w:rsidR="00EB0ED5" w:rsidRPr="00DF6FB3" w:rsidRDefault="00EB0ED5" w:rsidP="00EB0ED5">
      <w:pPr>
        <w:rPr>
          <w:szCs w:val="24"/>
          <w:lang w:val="fr-CH" w:eastAsia="ko-KR"/>
        </w:rPr>
      </w:pPr>
      <w:r w:rsidRPr="00DF6FB3">
        <w:rPr>
          <w:szCs w:val="24"/>
          <w:lang w:val="fr-CH" w:eastAsia="ko-KR"/>
        </w:rPr>
        <w:t xml:space="preserve">NOTE </w:t>
      </w:r>
      <w:r w:rsidRPr="00DF6FB3">
        <w:rPr>
          <w:szCs w:val="24"/>
          <w:lang w:val="fr-CH" w:eastAsia="ja-JP"/>
        </w:rPr>
        <w:t xml:space="preserve">3 </w:t>
      </w:r>
      <w:r w:rsidRPr="00DF6FB3">
        <w:rPr>
          <w:lang w:val="fr-CH"/>
        </w:rPr>
        <w:t>–</w:t>
      </w:r>
      <w:r w:rsidRPr="00DF6FB3">
        <w:rPr>
          <w:szCs w:val="24"/>
          <w:lang w:val="fr-CH" w:eastAsia="ja-JP"/>
        </w:rPr>
        <w:t xml:space="preserve"> </w:t>
      </w:r>
      <w:r w:rsidRPr="00DF6FB3">
        <w:rPr>
          <w:szCs w:val="24"/>
          <w:lang w:val="fr-CH" w:eastAsia="ko-KR"/>
        </w:rPr>
        <w:t xml:space="preserve">La valeur </w:t>
      </w:r>
      <w:r w:rsidRPr="00DF6FB3">
        <w:rPr>
          <w:lang w:val="fr-CH"/>
        </w:rPr>
        <w:t xml:space="preserve">au point 1 du </w:t>
      </w:r>
      <w:r w:rsidRPr="00DF6FB3">
        <w:rPr>
          <w:i/>
          <w:lang w:val="fr-CH"/>
        </w:rPr>
        <w:t>recommande</w:t>
      </w:r>
      <w:r w:rsidRPr="00DF6FB3">
        <w:rPr>
          <w:lang w:val="fr-CH"/>
        </w:rPr>
        <w:t xml:space="preserve"> est calculée dans l'hypothèse où l'angle minimal entre la direction du gain d'antenne maximal de la station terrienne du SRS et la direction de l'émetteur brouilleur est de </w:t>
      </w:r>
      <w:r w:rsidRPr="00DF6FB3">
        <w:rPr>
          <w:szCs w:val="24"/>
          <w:lang w:val="fr-CH" w:eastAsia="ko-KR"/>
        </w:rPr>
        <w:t>10 degrés.</w:t>
      </w:r>
    </w:p>
    <w:p w:rsidR="00EB0ED5" w:rsidRPr="00DF6FB3" w:rsidRDefault="00EB0ED5" w:rsidP="00EB0ED5">
      <w:pPr>
        <w:rPr>
          <w:szCs w:val="24"/>
          <w:lang w:val="fr-CH"/>
        </w:rPr>
      </w:pPr>
      <w:r w:rsidRPr="00DF6FB3">
        <w:rPr>
          <w:lang w:val="fr-CH"/>
        </w:rPr>
        <w:lastRenderedPageBreak/>
        <w:t xml:space="preserve">NOTE 4 – </w:t>
      </w:r>
      <w:r w:rsidRPr="00DF6FB3">
        <w:rPr>
          <w:szCs w:val="24"/>
          <w:lang w:val="fr-CH" w:eastAsia="ko-KR"/>
        </w:rPr>
        <w:t xml:space="preserve">La valeur </w:t>
      </w:r>
      <w:r w:rsidRPr="00DF6FB3">
        <w:rPr>
          <w:lang w:val="fr-CH"/>
        </w:rPr>
        <w:t xml:space="preserve">au point 1 du </w:t>
      </w:r>
      <w:r w:rsidRPr="00DF6FB3">
        <w:rPr>
          <w:i/>
          <w:lang w:val="fr-CH"/>
        </w:rPr>
        <w:t>recommande</w:t>
      </w:r>
      <w:r w:rsidRPr="00DF6FB3">
        <w:rPr>
          <w:lang w:val="fr-CH"/>
        </w:rPr>
        <w:t xml:space="preserve"> peut être utilisée comme limite stricte ou comme valeur seuil, selon le cas, pour assurer la protection du réseau du service de radiodiffusion par </w:t>
      </w:r>
      <w:r w:rsidRPr="00DF6FB3">
        <w:rPr>
          <w:rFonts w:cs="Arial"/>
          <w:lang w:val="fr-CH"/>
        </w:rPr>
        <w:t>satellite</w:t>
      </w:r>
      <w:r w:rsidRPr="00DF6FB3">
        <w:rPr>
          <w:lang w:val="fr-CH"/>
        </w:rPr>
        <w:t xml:space="preserve"> dans les </w:t>
      </w:r>
      <w:r w:rsidRPr="00DF6FB3">
        <w:rPr>
          <w:szCs w:val="24"/>
          <w:lang w:val="fr-CH"/>
        </w:rPr>
        <w:t>Régions 1 et 3 vis</w:t>
      </w:r>
      <w:r w:rsidRPr="00DF6FB3">
        <w:rPr>
          <w:szCs w:val="24"/>
          <w:lang w:val="fr-CH"/>
        </w:rPr>
        <w:noBreakHyphen/>
        <w:t>à</w:t>
      </w:r>
      <w:r w:rsidRPr="00DF6FB3">
        <w:rPr>
          <w:szCs w:val="24"/>
          <w:lang w:val="fr-CH"/>
        </w:rPr>
        <w:noBreakHyphen/>
        <w:t>vis d'une station de Terre.</w:t>
      </w:r>
    </w:p>
    <w:p w:rsidR="00D62E4A" w:rsidRPr="00DF6FB3" w:rsidRDefault="00D62E4A" w:rsidP="00EB0ED5">
      <w:pPr>
        <w:rPr>
          <w:szCs w:val="24"/>
          <w:lang w:val="fr-CH"/>
        </w:rPr>
      </w:pPr>
    </w:p>
    <w:p w:rsidR="00D62E4A" w:rsidRPr="00DF6FB3" w:rsidRDefault="00D62E4A" w:rsidP="00EB0ED5">
      <w:pPr>
        <w:rPr>
          <w:lang w:val="fr-CH" w:eastAsia="ko-KR"/>
        </w:rPr>
      </w:pPr>
    </w:p>
    <w:p w:rsidR="00EB0ED5" w:rsidRPr="00DF6FB3" w:rsidRDefault="00EB0ED5" w:rsidP="00EB0ED5">
      <w:pPr>
        <w:pStyle w:val="AnnexNoTitle"/>
        <w:rPr>
          <w:b w:val="0"/>
          <w:lang w:val="fr-CH" w:eastAsia="ko-KR"/>
        </w:rPr>
      </w:pPr>
      <w:r w:rsidRPr="00DF6FB3">
        <w:rPr>
          <w:lang w:val="fr-CH"/>
        </w:rPr>
        <w:t xml:space="preserve">Annexe </w:t>
      </w:r>
      <w:r w:rsidRPr="00DF6FB3">
        <w:rPr>
          <w:caps/>
          <w:lang w:val="fr-CH"/>
        </w:rPr>
        <w:t>1</w:t>
      </w:r>
      <w:r w:rsidRPr="00DF6FB3">
        <w:rPr>
          <w:caps/>
          <w:lang w:val="fr-CH"/>
        </w:rPr>
        <w:br/>
      </w:r>
      <w:r w:rsidRPr="00DF6FB3">
        <w:rPr>
          <w:caps/>
          <w:lang w:val="fr-CH"/>
        </w:rPr>
        <w:br/>
      </w:r>
      <w:r w:rsidRPr="00DF6FB3">
        <w:rPr>
          <w:lang w:val="fr-CH" w:eastAsia="ko-KR"/>
        </w:rPr>
        <w:t>Méthode et hypothèse à utiliser pour calculer la valeur maximale admissible de puissance surfacique nécessaire pour assurer la protection des stations terriennes de réception du SRS dans les Régions 1 et 3 contre les émissions d'une station de Terre fonctionnant dans la bande 21,4-22,0 GHz</w:t>
      </w:r>
    </w:p>
    <w:p w:rsidR="00EB0ED5" w:rsidRPr="00DF6FB3" w:rsidRDefault="00EB0ED5" w:rsidP="00EB0ED5">
      <w:pPr>
        <w:pStyle w:val="Normalaftertitle"/>
        <w:rPr>
          <w:lang w:val="fr-CH"/>
        </w:rPr>
      </w:pPr>
      <w:r w:rsidRPr="00DF6FB3">
        <w:rPr>
          <w:lang w:val="fr-CH"/>
        </w:rPr>
        <w:t xml:space="preserve">Pour protéger la station terrienne de réception du SRS, la valeur maximale admissible de puissance surfacique produite par les émissions d'une station de Terre exploitée dans la bande </w:t>
      </w:r>
      <w:r w:rsidRPr="00DF6FB3">
        <w:rPr>
          <w:lang w:val="fr-CH" w:eastAsia="ko-KR"/>
        </w:rPr>
        <w:t xml:space="preserve">21,4-22,0 GHz </w:t>
      </w:r>
      <w:r w:rsidRPr="00DF6FB3">
        <w:rPr>
          <w:lang w:val="fr-CH"/>
        </w:rPr>
        <w:t>est donnée par l'équation:</w:t>
      </w:r>
    </w:p>
    <w:p w:rsidR="00EB0ED5" w:rsidRPr="00DF6FB3" w:rsidRDefault="00EB0ED5" w:rsidP="00EB0ED5">
      <w:pPr>
        <w:pStyle w:val="Equation"/>
        <w:rPr>
          <w:szCs w:val="24"/>
          <w:lang w:val="fr-CH"/>
        </w:rPr>
      </w:pPr>
      <w:r w:rsidRPr="00DF6FB3">
        <w:rPr>
          <w:lang w:val="fr-CH"/>
        </w:rPr>
        <w:tab/>
      </w:r>
      <w:r w:rsidRPr="00DF6FB3">
        <w:rPr>
          <w:lang w:val="fr-CH"/>
        </w:rPr>
        <w:tab/>
      </w:r>
      <w:r w:rsidRPr="00DF6FB3">
        <w:rPr>
          <w:position w:val="-12"/>
          <w:lang w:val="fr-CH"/>
        </w:rPr>
        <w:object w:dxaOrig="2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35pt;height:18pt" o:ole="">
            <v:imagedata r:id="rId13" o:title=""/>
          </v:shape>
          <o:OLEObject Type="Embed" ProgID="Equation.3" ShapeID="_x0000_i1025" DrawAspect="Content" ObjectID="_1401189530" r:id="rId14"/>
        </w:object>
      </w:r>
      <w:r w:rsidRPr="00DF6FB3">
        <w:rPr>
          <w:szCs w:val="24"/>
          <w:lang w:val="fr-CH"/>
        </w:rPr>
        <w:tab/>
        <w:t>(1)</w:t>
      </w:r>
    </w:p>
    <w:p w:rsidR="00EB0ED5" w:rsidRPr="00DF6FB3" w:rsidRDefault="00EB0ED5" w:rsidP="00EB0ED5">
      <w:pPr>
        <w:rPr>
          <w:lang w:val="fr-CH"/>
        </w:rPr>
      </w:pPr>
      <w:r w:rsidRPr="00DF6FB3">
        <w:rPr>
          <w:lang w:val="fr-CH"/>
        </w:rPr>
        <w:t>où:</w:t>
      </w:r>
    </w:p>
    <w:p w:rsidR="00EB0ED5" w:rsidRPr="00DF6FB3" w:rsidRDefault="00EB0ED5" w:rsidP="00EB0ED5">
      <w:pPr>
        <w:pStyle w:val="Equationlegend"/>
        <w:rPr>
          <w:color w:val="000000"/>
          <w:sz w:val="20"/>
          <w:lang w:val="fr-CH" w:eastAsia="ko-KR"/>
        </w:rPr>
      </w:pPr>
      <w:r w:rsidRPr="00DF6FB3">
        <w:rPr>
          <w:lang w:val="fr-CH" w:eastAsia="ko-KR"/>
        </w:rPr>
        <w:tab/>
      </w:r>
      <w:r w:rsidRPr="00DF6FB3">
        <w:rPr>
          <w:i/>
          <w:iCs/>
          <w:lang w:val="fr-CH"/>
        </w:rPr>
        <w:t>PFD</w:t>
      </w:r>
      <w:r w:rsidRPr="00DF6FB3">
        <w:rPr>
          <w:i/>
          <w:iCs/>
          <w:vertAlign w:val="subscript"/>
          <w:lang w:val="fr-CH"/>
        </w:rPr>
        <w:t>n</w:t>
      </w:r>
      <w:r w:rsidRPr="00DF6FB3">
        <w:rPr>
          <w:lang w:val="fr-CH" w:eastAsia="ko-KR"/>
        </w:rPr>
        <w:t>:</w:t>
      </w:r>
      <w:r w:rsidRPr="00DF6FB3">
        <w:rPr>
          <w:lang w:val="fr-CH" w:eastAsia="ko-KR"/>
        </w:rPr>
        <w:tab/>
      </w:r>
      <w:r w:rsidRPr="00DF6FB3">
        <w:rPr>
          <w:lang w:val="fr-CH"/>
        </w:rPr>
        <w:t>valeur maximale admissible de puissance surfacique</w:t>
      </w:r>
      <w:r w:rsidRPr="00DF6FB3">
        <w:rPr>
          <w:lang w:val="fr-CH" w:eastAsia="ko-KR"/>
        </w:rPr>
        <w:t xml:space="preserve"> pour une seule station de Terre (</w:t>
      </w:r>
      <w:r w:rsidRPr="00DF6FB3">
        <w:rPr>
          <w:szCs w:val="24"/>
          <w:lang w:val="fr-CH"/>
        </w:rPr>
        <w:t>dB (W/(m</w:t>
      </w:r>
      <w:r w:rsidRPr="00DF6FB3">
        <w:rPr>
          <w:szCs w:val="24"/>
          <w:vertAlign w:val="superscript"/>
          <w:lang w:val="fr-CH"/>
        </w:rPr>
        <w:t>2</w:t>
      </w:r>
      <w:r w:rsidRPr="00DF6FB3">
        <w:rPr>
          <w:rFonts w:eastAsia="HYMyeongJo-Extra"/>
          <w:szCs w:val="24"/>
          <w:lang w:val="fr-CH"/>
        </w:rPr>
        <w:t>·</w:t>
      </w:r>
      <w:r w:rsidRPr="00DF6FB3">
        <w:rPr>
          <w:szCs w:val="24"/>
          <w:lang w:val="fr-CH" w:eastAsia="ko-KR"/>
        </w:rPr>
        <w:t>1 M</w:t>
      </w:r>
      <w:r w:rsidRPr="00DF6FB3">
        <w:rPr>
          <w:szCs w:val="24"/>
          <w:lang w:val="fr-CH"/>
        </w:rPr>
        <w:t>Hz)</w:t>
      </w:r>
      <w:r w:rsidRPr="00DF6FB3">
        <w:rPr>
          <w:szCs w:val="24"/>
          <w:lang w:val="fr-CH" w:eastAsia="ko-KR"/>
        </w:rPr>
        <w:t>));</w:t>
      </w:r>
    </w:p>
    <w:p w:rsidR="00EB0ED5" w:rsidRPr="00DF6FB3" w:rsidRDefault="00EB0ED5" w:rsidP="00EB0ED5">
      <w:pPr>
        <w:pStyle w:val="Equationlegend"/>
        <w:rPr>
          <w:color w:val="000000"/>
          <w:sz w:val="20"/>
          <w:lang w:val="fr-CH" w:eastAsia="ko-KR"/>
        </w:rPr>
      </w:pPr>
      <w:r w:rsidRPr="00DF6FB3">
        <w:rPr>
          <w:lang w:val="fr-CH" w:eastAsia="ko-KR"/>
        </w:rPr>
        <w:tab/>
      </w:r>
      <w:r w:rsidRPr="00DF6FB3">
        <w:rPr>
          <w:i/>
          <w:iCs/>
          <w:lang w:val="fr-CH"/>
        </w:rPr>
        <w:t>P</w:t>
      </w:r>
      <w:r w:rsidRPr="00DF6FB3">
        <w:rPr>
          <w:i/>
          <w:iCs/>
          <w:vertAlign w:val="subscript"/>
          <w:lang w:val="fr-CH"/>
        </w:rPr>
        <w:t>n</w:t>
      </w:r>
      <w:r w:rsidRPr="00DF6FB3">
        <w:rPr>
          <w:lang w:val="fr-CH"/>
        </w:rPr>
        <w:t xml:space="preserve"> = k</w:t>
      </w:r>
      <w:r w:rsidRPr="00DF6FB3">
        <w:rPr>
          <w:i/>
          <w:iCs/>
          <w:lang w:val="fr-CH"/>
        </w:rPr>
        <w:t>T</w:t>
      </w:r>
      <w:r w:rsidRPr="00DF6FB3">
        <w:rPr>
          <w:lang w:val="fr-CH"/>
        </w:rPr>
        <w:t xml:space="preserve"> × </w:t>
      </w:r>
      <w:r w:rsidRPr="00DF6FB3">
        <w:rPr>
          <w:lang w:val="fr-CH" w:eastAsia="ko-KR"/>
        </w:rPr>
        <w:t>(10</w:t>
      </w:r>
      <w:r w:rsidRPr="00DF6FB3">
        <w:rPr>
          <w:vertAlign w:val="superscript"/>
          <w:lang w:val="fr-CH" w:eastAsia="ko-KR"/>
        </w:rPr>
        <w:t>6</w:t>
      </w:r>
      <w:r w:rsidRPr="00DF6FB3">
        <w:rPr>
          <w:lang w:val="fr-CH" w:eastAsia="ko-KR"/>
        </w:rPr>
        <w:t>)</w:t>
      </w:r>
      <w:r w:rsidRPr="00DF6FB3">
        <w:rPr>
          <w:lang w:val="fr-CH" w:eastAsia="ja-JP"/>
        </w:rPr>
        <w:t>:</w:t>
      </w:r>
      <w:r w:rsidRPr="00DF6FB3">
        <w:rPr>
          <w:lang w:val="fr-CH"/>
        </w:rPr>
        <w:tab/>
        <w:t>puissance de bruit de la station terrienne de réception du SRS (</w:t>
      </w:r>
      <w:r w:rsidRPr="00DF6FB3">
        <w:rPr>
          <w:lang w:val="fr-CH" w:eastAsia="ko-KR"/>
        </w:rPr>
        <w:t>dB(W/1 MHz));</w:t>
      </w:r>
    </w:p>
    <w:p w:rsidR="00EB0ED5" w:rsidRPr="00DF6FB3" w:rsidRDefault="00EB0ED5" w:rsidP="00EB0ED5">
      <w:pPr>
        <w:pStyle w:val="Equationlegend"/>
        <w:rPr>
          <w:color w:val="000000"/>
          <w:sz w:val="20"/>
          <w:lang w:val="fr-CH" w:eastAsia="ko-KR"/>
        </w:rPr>
      </w:pPr>
      <w:r w:rsidRPr="00DF6FB3">
        <w:rPr>
          <w:lang w:val="fr-CH" w:eastAsia="ko-KR"/>
        </w:rPr>
        <w:tab/>
      </w:r>
      <w:r w:rsidRPr="00DF6FB3">
        <w:rPr>
          <w:i/>
          <w:iCs/>
          <w:lang w:val="fr-CH"/>
        </w:rPr>
        <w:t xml:space="preserve">S </w:t>
      </w:r>
      <w:r w:rsidRPr="00DF6FB3">
        <w:rPr>
          <w:lang w:val="fr-CH"/>
        </w:rPr>
        <w:t>(φ</w:t>
      </w:r>
      <w:r w:rsidRPr="00DF6FB3">
        <w:rPr>
          <w:i/>
          <w:iCs/>
          <w:vertAlign w:val="subscript"/>
          <w:lang w:val="fr-CH"/>
        </w:rPr>
        <w:t>min</w:t>
      </w:r>
      <w:r w:rsidRPr="00DF6FB3">
        <w:rPr>
          <w:lang w:val="fr-CH"/>
        </w:rPr>
        <w:t>)</w:t>
      </w:r>
      <w:r w:rsidRPr="00DF6FB3">
        <w:rPr>
          <w:lang w:val="fr-CH" w:eastAsia="ko-KR"/>
        </w:rPr>
        <w:t>:</w:t>
      </w:r>
      <w:r w:rsidRPr="00DF6FB3">
        <w:rPr>
          <w:lang w:val="fr-CH"/>
        </w:rPr>
        <w:t xml:space="preserve"> </w:t>
      </w:r>
      <w:r w:rsidRPr="00DF6FB3">
        <w:rPr>
          <w:lang w:val="fr-CH"/>
        </w:rPr>
        <w:tab/>
        <w:t xml:space="preserve">surface équivalente de l'antenne de la station terrienne de réception du SRS </w:t>
      </w:r>
      <w:r w:rsidRPr="00DF6FB3">
        <w:rPr>
          <w:lang w:val="fr-CH" w:eastAsia="ko-KR"/>
        </w:rPr>
        <w:t>(</w:t>
      </w:r>
      <w:r w:rsidRPr="00DF6FB3">
        <w:rPr>
          <w:lang w:val="fr-CH"/>
        </w:rPr>
        <w:t>dBm</w:t>
      </w:r>
      <w:r w:rsidRPr="00DF6FB3">
        <w:rPr>
          <w:vertAlign w:val="superscript"/>
          <w:lang w:val="fr-CH"/>
        </w:rPr>
        <w:t>2</w:t>
      </w:r>
      <w:r w:rsidRPr="00DF6FB3">
        <w:rPr>
          <w:lang w:val="fr-CH" w:eastAsia="ko-KR"/>
        </w:rPr>
        <w:t>)</w:t>
      </w:r>
      <w:r w:rsidRPr="00DF6FB3">
        <w:rPr>
          <w:lang w:val="fr-CH"/>
        </w:rPr>
        <w:t>.</w:t>
      </w:r>
    </w:p>
    <w:p w:rsidR="00EB0ED5" w:rsidRPr="00DF6FB3" w:rsidRDefault="00EB0ED5" w:rsidP="00EB0ED5">
      <w:pPr>
        <w:rPr>
          <w:lang w:val="fr-CH" w:eastAsia="ko-KR"/>
        </w:rPr>
      </w:pPr>
      <w:r w:rsidRPr="00DF6FB3">
        <w:rPr>
          <w:lang w:val="fr-CH"/>
        </w:rPr>
        <w:t xml:space="preserve">La température de bruit totale de la station terrienne de réception du SRS (y compris le bruit de l'antenne) est prise égale à </w:t>
      </w:r>
      <w:r w:rsidRPr="00DF6FB3">
        <w:rPr>
          <w:lang w:val="fr-CH" w:eastAsia="ko-KR"/>
        </w:rPr>
        <w:t>140</w:t>
      </w:r>
      <w:r w:rsidRPr="00DF6FB3">
        <w:rPr>
          <w:lang w:val="fr-CH"/>
        </w:rPr>
        <w:t> </w:t>
      </w:r>
      <w:r w:rsidRPr="00DF6FB3">
        <w:rPr>
          <w:lang w:val="fr-CH" w:eastAsia="ko-KR"/>
        </w:rPr>
        <w:t xml:space="preserve">K par hypothèse. Par conséquent, la puissance de bruit, </w:t>
      </w:r>
      <w:r w:rsidRPr="00DF6FB3">
        <w:rPr>
          <w:i/>
          <w:iCs/>
          <w:lang w:val="fr-CH" w:eastAsia="ko-KR"/>
        </w:rPr>
        <w:t>P</w:t>
      </w:r>
      <w:r w:rsidRPr="00DF6FB3">
        <w:rPr>
          <w:i/>
          <w:iCs/>
          <w:vertAlign w:val="subscript"/>
          <w:lang w:val="fr-CH" w:eastAsia="ko-KR"/>
        </w:rPr>
        <w:t>n</w:t>
      </w:r>
      <w:r w:rsidRPr="00DF6FB3">
        <w:rPr>
          <w:lang w:val="fr-CH"/>
        </w:rPr>
        <w:t>,</w:t>
      </w:r>
      <w:r w:rsidRPr="00DF6FB3">
        <w:rPr>
          <w:lang w:val="fr-CH" w:eastAsia="ko-KR"/>
        </w:rPr>
        <w:t xml:space="preserve"> pour la station de réception du SRS, est calculée comme suit:</w:t>
      </w:r>
    </w:p>
    <w:p w:rsidR="00EB0ED5" w:rsidRPr="00DF6FB3" w:rsidRDefault="00EB0ED5" w:rsidP="00EB0ED5">
      <w:pPr>
        <w:pStyle w:val="Equation"/>
        <w:rPr>
          <w:lang w:val="fr-CH" w:eastAsia="ko-KR"/>
        </w:rPr>
      </w:pPr>
      <w:r w:rsidRPr="00DF6FB3">
        <w:rPr>
          <w:lang w:val="fr-CH" w:eastAsia="ko-KR"/>
        </w:rPr>
        <w:tab/>
      </w:r>
      <w:r w:rsidRPr="00DF6FB3">
        <w:rPr>
          <w:lang w:val="fr-CH" w:eastAsia="ko-KR"/>
        </w:rPr>
        <w:tab/>
      </w:r>
      <w:r w:rsidRPr="00DF6FB3">
        <w:rPr>
          <w:i/>
          <w:iCs/>
          <w:lang w:val="fr-CH" w:eastAsia="ko-KR"/>
        </w:rPr>
        <w:t>P</w:t>
      </w:r>
      <w:r w:rsidRPr="00DF6FB3">
        <w:rPr>
          <w:i/>
          <w:iCs/>
          <w:vertAlign w:val="subscript"/>
          <w:lang w:val="fr-CH" w:eastAsia="ko-KR"/>
        </w:rPr>
        <w:t>n</w:t>
      </w:r>
      <w:r w:rsidRPr="00DF6FB3">
        <w:rPr>
          <w:lang w:val="fr-CH" w:eastAsia="ko-KR"/>
        </w:rPr>
        <w:t xml:space="preserve"> = –228,6 + 10 log(140) + 10 log(10</w:t>
      </w:r>
      <w:r w:rsidRPr="00DF6FB3">
        <w:rPr>
          <w:vertAlign w:val="superscript"/>
          <w:lang w:val="fr-CH" w:eastAsia="ko-KR"/>
        </w:rPr>
        <w:t>6</w:t>
      </w:r>
      <w:r w:rsidRPr="00DF6FB3">
        <w:rPr>
          <w:lang w:val="fr-CH" w:eastAsia="ko-KR"/>
        </w:rPr>
        <w:t>) = –147,1 dB(W/1 MHz)</w:t>
      </w:r>
      <w:r w:rsidRPr="00DF6FB3">
        <w:rPr>
          <w:lang w:val="fr-CH" w:eastAsia="ko-KR"/>
        </w:rPr>
        <w:tab/>
      </w:r>
      <w:r w:rsidRPr="00DF6FB3">
        <w:rPr>
          <w:szCs w:val="24"/>
          <w:lang w:val="fr-CH"/>
        </w:rPr>
        <w:t>(2)</w:t>
      </w:r>
    </w:p>
    <w:p w:rsidR="00EB0ED5" w:rsidRPr="00DF6FB3" w:rsidRDefault="00EB0ED5" w:rsidP="00EB0ED5">
      <w:pPr>
        <w:rPr>
          <w:lang w:val="fr-CH" w:eastAsia="ko-KR"/>
        </w:rPr>
      </w:pPr>
      <w:r w:rsidRPr="00DF6FB3">
        <w:rPr>
          <w:lang w:val="fr-CH" w:eastAsia="ja-JP"/>
        </w:rPr>
        <w:t xml:space="preserve">Le rapport </w:t>
      </w:r>
      <w:r w:rsidRPr="00DF6FB3">
        <w:rPr>
          <w:i/>
          <w:iCs/>
          <w:lang w:val="fr-CH" w:eastAsia="ko-KR"/>
        </w:rPr>
        <w:t>I</w:t>
      </w:r>
      <w:r w:rsidRPr="00DF6FB3">
        <w:rPr>
          <w:lang w:val="fr-CH" w:eastAsia="ko-KR"/>
        </w:rPr>
        <w:t>/</w:t>
      </w:r>
      <w:r w:rsidRPr="00DF6FB3">
        <w:rPr>
          <w:i/>
          <w:iCs/>
          <w:lang w:val="fr-CH" w:eastAsia="ko-KR"/>
        </w:rPr>
        <w:t>N</w:t>
      </w:r>
      <w:r w:rsidRPr="00DF6FB3">
        <w:rPr>
          <w:lang w:val="fr-CH" w:eastAsia="ko-KR"/>
        </w:rPr>
        <w:t xml:space="preserve"> admissible pour une seule station de Terre est pris égal à –17,4 dB</w:t>
      </w:r>
      <w:r w:rsidRPr="00DF6FB3">
        <w:rPr>
          <w:rStyle w:val="FootnoteReference"/>
          <w:lang w:val="fr-CH" w:eastAsia="ko-KR"/>
        </w:rPr>
        <w:footnoteReference w:id="1"/>
      </w:r>
      <w:r w:rsidRPr="00DF6FB3">
        <w:rPr>
          <w:lang w:val="fr-CH" w:eastAsia="ko-KR"/>
        </w:rPr>
        <w:t xml:space="preserve"> par hypothèse.</w:t>
      </w:r>
    </w:p>
    <w:p w:rsidR="00EB0ED5" w:rsidRPr="00DF6FB3" w:rsidRDefault="00EB0ED5" w:rsidP="00EB0ED5">
      <w:pPr>
        <w:rPr>
          <w:color w:val="000000"/>
          <w:sz w:val="20"/>
          <w:lang w:val="fr-CH"/>
        </w:rPr>
      </w:pPr>
      <w:r w:rsidRPr="00DF6FB3">
        <w:rPr>
          <w:i/>
          <w:iCs/>
          <w:lang w:val="fr-CH"/>
        </w:rPr>
        <w:t>S</w:t>
      </w:r>
      <w:r w:rsidRPr="00DF6FB3">
        <w:rPr>
          <w:lang w:val="fr-CH"/>
        </w:rPr>
        <w:t>(φ</w:t>
      </w:r>
      <w:r w:rsidRPr="00DF6FB3">
        <w:rPr>
          <w:i/>
          <w:iCs/>
          <w:vertAlign w:val="subscript"/>
          <w:lang w:val="fr-CH"/>
        </w:rPr>
        <w:t>min</w:t>
      </w:r>
      <w:r w:rsidRPr="00DF6FB3">
        <w:rPr>
          <w:lang w:val="fr-CH"/>
        </w:rPr>
        <w:t>) est défini par l'équation suivante</w:t>
      </w:r>
      <w:r w:rsidRPr="00DF6FB3">
        <w:rPr>
          <w:color w:val="000000"/>
          <w:sz w:val="20"/>
          <w:lang w:val="fr-CH"/>
        </w:rPr>
        <w:t>:</w:t>
      </w:r>
    </w:p>
    <w:p w:rsidR="00EB0ED5" w:rsidRPr="00DF6FB3" w:rsidRDefault="00EB0ED5" w:rsidP="00EB0ED5">
      <w:pPr>
        <w:pStyle w:val="Equation"/>
        <w:rPr>
          <w:color w:val="000000"/>
          <w:sz w:val="20"/>
          <w:lang w:val="fr-CH"/>
        </w:rPr>
      </w:pPr>
      <w:r w:rsidRPr="00DF6FB3">
        <w:rPr>
          <w:lang w:val="fr-CH"/>
        </w:rPr>
        <w:tab/>
      </w:r>
      <w:r w:rsidRPr="00DF6FB3">
        <w:rPr>
          <w:lang w:val="fr-CH"/>
        </w:rPr>
        <w:tab/>
      </w:r>
      <w:r w:rsidRPr="00DF6FB3">
        <w:rPr>
          <w:position w:val="-12"/>
          <w:lang w:val="fr-CH"/>
        </w:rPr>
        <w:object w:dxaOrig="3440" w:dyaOrig="420">
          <v:shape id="_x0000_i1026" type="#_x0000_t75" style="width:171.8pt;height:20.75pt" o:ole="">
            <v:imagedata r:id="rId15" o:title=""/>
          </v:shape>
          <o:OLEObject Type="Embed" ProgID="Equation.3" ShapeID="_x0000_i1026" DrawAspect="Content" ObjectID="_1401189531" r:id="rId16"/>
        </w:object>
      </w:r>
      <w:r w:rsidRPr="00DF6FB3">
        <w:rPr>
          <w:lang w:val="fr-CH"/>
        </w:rPr>
        <w:tab/>
      </w:r>
      <w:r w:rsidRPr="00DF6FB3">
        <w:rPr>
          <w:szCs w:val="24"/>
          <w:lang w:val="fr-CH"/>
        </w:rPr>
        <w:t>(3)</w:t>
      </w:r>
    </w:p>
    <w:p w:rsidR="00EB0ED5" w:rsidRPr="00DF6FB3" w:rsidRDefault="00EB0ED5" w:rsidP="00EB0ED5">
      <w:pPr>
        <w:rPr>
          <w:color w:val="000000"/>
          <w:sz w:val="20"/>
          <w:lang w:val="fr-CH"/>
        </w:rPr>
      </w:pPr>
      <w:r w:rsidRPr="00DF6FB3">
        <w:rPr>
          <w:lang w:val="fr-CH" w:eastAsia="ko-KR"/>
        </w:rPr>
        <w:t xml:space="preserve">où </w:t>
      </w:r>
      <w:r w:rsidRPr="00DF6FB3">
        <w:rPr>
          <w:i/>
          <w:iCs/>
          <w:lang w:val="fr-CH"/>
        </w:rPr>
        <w:t>G</w:t>
      </w:r>
      <w:r w:rsidRPr="00DF6FB3">
        <w:rPr>
          <w:lang w:val="fr-CH"/>
        </w:rPr>
        <w:t>(φ</w:t>
      </w:r>
      <w:r w:rsidRPr="00DF6FB3">
        <w:rPr>
          <w:i/>
          <w:iCs/>
          <w:vertAlign w:val="subscript"/>
          <w:lang w:val="fr-CH"/>
        </w:rPr>
        <w:t>min</w:t>
      </w:r>
      <w:r w:rsidRPr="00DF6FB3">
        <w:rPr>
          <w:lang w:val="fr-CH"/>
        </w:rPr>
        <w:t>) est le gain de l'antenne de la station terrienne de réception du SRS dans la direction φ</w:t>
      </w:r>
      <w:r w:rsidRPr="00DF6FB3">
        <w:rPr>
          <w:i/>
          <w:iCs/>
          <w:vertAlign w:val="subscript"/>
          <w:lang w:val="fr-CH"/>
        </w:rPr>
        <w:t>min</w:t>
      </w:r>
      <w:r w:rsidRPr="00DF6FB3">
        <w:rPr>
          <w:lang w:val="fr-CH"/>
        </w:rPr>
        <w:t xml:space="preserve"> par rapport à l'axe du faisceau principal et, dans une fourchette correspondante de valeurs de φ</w:t>
      </w:r>
      <w:r w:rsidRPr="00DF6FB3">
        <w:rPr>
          <w:i/>
          <w:iCs/>
          <w:vertAlign w:val="subscript"/>
          <w:lang w:val="fr-CH"/>
        </w:rPr>
        <w:t>min</w:t>
      </w:r>
      <w:r w:rsidRPr="00DF6FB3">
        <w:rPr>
          <w:lang w:val="fr-CH"/>
        </w:rPr>
        <w:t>, le gain d'antenne est égal à:</w:t>
      </w:r>
    </w:p>
    <w:p w:rsidR="00EB0ED5" w:rsidRPr="00DF6FB3" w:rsidRDefault="00EB0ED5" w:rsidP="00EB0ED5">
      <w:pPr>
        <w:pStyle w:val="Equation"/>
        <w:rPr>
          <w:lang w:val="fr-CH" w:eastAsia="ja-JP"/>
        </w:rPr>
      </w:pPr>
      <w:r w:rsidRPr="00DF6FB3">
        <w:rPr>
          <w:lang w:val="fr-CH"/>
        </w:rPr>
        <w:tab/>
      </w:r>
      <w:r w:rsidRPr="00DF6FB3">
        <w:rPr>
          <w:lang w:val="fr-CH"/>
        </w:rPr>
        <w:tab/>
      </w:r>
      <w:r w:rsidRPr="00DF6FB3">
        <w:rPr>
          <w:position w:val="-12"/>
          <w:lang w:val="fr-CH"/>
        </w:rPr>
        <w:object w:dxaOrig="3600" w:dyaOrig="360">
          <v:shape id="_x0000_i1027" type="#_x0000_t75" style="width:180pt;height:18pt" o:ole="">
            <v:imagedata r:id="rId17" o:title=""/>
          </v:shape>
          <o:OLEObject Type="Embed" ProgID="Equation.3" ShapeID="_x0000_i1027" DrawAspect="Content" ObjectID="_1401189532" r:id="rId18"/>
        </w:object>
      </w:r>
      <w:r w:rsidRPr="00DF6FB3">
        <w:rPr>
          <w:lang w:val="fr-CH"/>
        </w:rPr>
        <w:tab/>
      </w:r>
      <w:r w:rsidRPr="00DF6FB3">
        <w:rPr>
          <w:szCs w:val="24"/>
          <w:lang w:val="fr-CH"/>
        </w:rPr>
        <w:t>(4)</w:t>
      </w:r>
    </w:p>
    <w:p w:rsidR="00EB0ED5" w:rsidRPr="00DF6FB3" w:rsidRDefault="00EB0ED5" w:rsidP="00EB0ED5">
      <w:pPr>
        <w:spacing w:after="120"/>
        <w:rPr>
          <w:szCs w:val="24"/>
          <w:lang w:val="fr-CH" w:eastAsia="ko-KR"/>
        </w:rPr>
      </w:pPr>
      <w:r w:rsidRPr="00DF6FB3">
        <w:rPr>
          <w:lang w:val="fr-CH" w:eastAsia="ko-KR"/>
        </w:rPr>
        <w:t>où l'angle minimal entre la direction du gain d'antenne maximal de la station terrienne du SRS et la direction de l'émetteur brouilleur</w:t>
      </w:r>
      <w:r w:rsidRPr="00DF6FB3">
        <w:rPr>
          <w:szCs w:val="24"/>
          <w:lang w:val="fr-CH" w:eastAsia="ja-JP"/>
        </w:rPr>
        <w:t>,</w:t>
      </w:r>
      <w:r w:rsidRPr="00DF6FB3">
        <w:rPr>
          <w:lang w:val="fr-CH"/>
        </w:rPr>
        <w:t xml:space="preserve"> φ</w:t>
      </w:r>
      <w:r w:rsidRPr="00DF6FB3">
        <w:rPr>
          <w:i/>
          <w:iCs/>
          <w:vertAlign w:val="subscript"/>
          <w:lang w:val="fr-CH"/>
        </w:rPr>
        <w:t>min</w:t>
      </w:r>
      <w:r w:rsidRPr="00DF6FB3">
        <w:rPr>
          <w:lang w:val="fr-CH"/>
        </w:rPr>
        <w:t>,</w:t>
      </w:r>
      <w:r w:rsidRPr="00DF6FB3">
        <w:rPr>
          <w:lang w:val="fr-CH" w:eastAsia="ko-KR"/>
        </w:rPr>
        <w:t xml:space="preserve"> pour le réseau du service de radiodiffusion par satellite exploité dans la bande</w:t>
      </w:r>
      <w:r w:rsidRPr="00DF6FB3">
        <w:rPr>
          <w:szCs w:val="24"/>
          <w:lang w:val="fr-CH" w:eastAsia="ko-KR"/>
        </w:rPr>
        <w:t xml:space="preserve"> 21,4-22,0 GHz est, par hypothèse, de 10 degrés.</w:t>
      </w:r>
      <w:r w:rsidRPr="00DF6FB3">
        <w:rPr>
          <w:szCs w:val="24"/>
          <w:lang w:val="fr-CH" w:eastAsia="ja-JP"/>
        </w:rPr>
        <w:t xml:space="preserve"> </w:t>
      </w:r>
    </w:p>
    <w:p w:rsidR="00EB0ED5" w:rsidRPr="00DF6FB3" w:rsidRDefault="00EB0ED5" w:rsidP="00EB0ED5">
      <w:pPr>
        <w:rPr>
          <w:color w:val="000000"/>
          <w:sz w:val="20"/>
          <w:lang w:val="fr-CH" w:eastAsia="ko-KR"/>
        </w:rPr>
      </w:pPr>
      <w:r w:rsidRPr="00DF6FB3">
        <w:rPr>
          <w:lang w:val="fr-CH" w:eastAsia="ko-KR"/>
        </w:rPr>
        <w:lastRenderedPageBreak/>
        <w:t>Alors,</w:t>
      </w:r>
      <w:r w:rsidRPr="00DF6FB3">
        <w:rPr>
          <w:lang w:val="fr-CH"/>
        </w:rPr>
        <w:t xml:space="preserve"> </w:t>
      </w:r>
      <w:r w:rsidRPr="00DF6FB3">
        <w:rPr>
          <w:i/>
          <w:iCs/>
          <w:lang w:val="fr-CH"/>
        </w:rPr>
        <w:t>S</w:t>
      </w:r>
      <w:r w:rsidRPr="00DF6FB3">
        <w:rPr>
          <w:lang w:val="fr-CH"/>
        </w:rPr>
        <w:t>(φ</w:t>
      </w:r>
      <w:r w:rsidRPr="00DF6FB3">
        <w:rPr>
          <w:i/>
          <w:iCs/>
          <w:vertAlign w:val="subscript"/>
          <w:lang w:val="fr-CH"/>
        </w:rPr>
        <w:t>min</w:t>
      </w:r>
      <w:r w:rsidRPr="00DF6FB3">
        <w:rPr>
          <w:lang w:val="fr-CH"/>
        </w:rPr>
        <w:t xml:space="preserve">) = </w:t>
      </w:r>
      <w:r w:rsidRPr="00DF6FB3">
        <w:rPr>
          <w:lang w:val="fr-CH" w:eastAsia="ko-KR"/>
        </w:rPr>
        <w:t>–</w:t>
      </w:r>
      <w:r w:rsidRPr="00DF6FB3">
        <w:rPr>
          <w:lang w:val="fr-CH"/>
        </w:rPr>
        <w:t>44,2 dBm</w:t>
      </w:r>
      <w:r w:rsidRPr="00DF6FB3">
        <w:rPr>
          <w:vertAlign w:val="superscript"/>
          <w:lang w:val="fr-CH"/>
        </w:rPr>
        <w:t>2</w:t>
      </w:r>
      <w:r w:rsidRPr="00DF6FB3">
        <w:rPr>
          <w:lang w:val="fr-CH" w:eastAsia="ko-KR"/>
        </w:rPr>
        <w:t xml:space="preserve"> (à 21,7 GHz).</w:t>
      </w:r>
    </w:p>
    <w:p w:rsidR="00EB0ED5" w:rsidRPr="00DF6FB3" w:rsidRDefault="00EB0ED5" w:rsidP="00EB0ED5">
      <w:pPr>
        <w:rPr>
          <w:color w:val="000000"/>
          <w:sz w:val="20"/>
          <w:lang w:val="fr-CH"/>
        </w:rPr>
      </w:pPr>
      <w:r w:rsidRPr="00DF6FB3">
        <w:rPr>
          <w:lang w:val="fr-CH"/>
        </w:rPr>
        <w:t>On utilise les valeurs ci-</w:t>
      </w:r>
      <w:bookmarkStart w:id="3" w:name="_GoBack"/>
      <w:bookmarkEnd w:id="3"/>
      <w:r w:rsidRPr="00DF6FB3">
        <w:rPr>
          <w:lang w:val="fr-CH"/>
        </w:rPr>
        <w:t>dessus et l'équation (1)</w:t>
      </w:r>
      <w:r w:rsidRPr="00DF6FB3">
        <w:rPr>
          <w:lang w:val="fr-CH" w:eastAsia="ko-KR"/>
        </w:rPr>
        <w:t>,</w:t>
      </w:r>
      <w:r w:rsidRPr="00DF6FB3">
        <w:rPr>
          <w:lang w:val="fr-CH"/>
        </w:rPr>
        <w:t xml:space="preserve"> pour calculer la puissance surfacique maximale admissible pour une seule source de brouillage </w:t>
      </w:r>
      <w:r w:rsidRPr="00DF6FB3">
        <w:rPr>
          <w:i/>
          <w:iCs/>
          <w:lang w:val="fr-CH" w:eastAsia="ko-KR"/>
        </w:rPr>
        <w:t>PFD</w:t>
      </w:r>
      <w:r w:rsidRPr="00DF6FB3">
        <w:rPr>
          <w:i/>
          <w:iCs/>
          <w:vertAlign w:val="subscript"/>
          <w:lang w:val="fr-CH" w:eastAsia="ko-KR"/>
        </w:rPr>
        <w:t>n</w:t>
      </w:r>
      <w:r w:rsidRPr="00DF6FB3">
        <w:rPr>
          <w:lang w:val="fr-CH" w:eastAsia="ko-KR"/>
        </w:rPr>
        <w:t>:</w:t>
      </w:r>
    </w:p>
    <w:p w:rsidR="00EB0ED5" w:rsidRPr="00DF6FB3" w:rsidRDefault="00EB0ED5" w:rsidP="00EB0ED5">
      <w:pPr>
        <w:pStyle w:val="Equation"/>
        <w:rPr>
          <w:rFonts w:eastAsia="Dotum"/>
          <w:lang w:val="fr-CH"/>
        </w:rPr>
      </w:pPr>
      <w:r w:rsidRPr="00DF6FB3">
        <w:rPr>
          <w:i/>
          <w:iCs/>
          <w:lang w:val="fr-CH"/>
        </w:rPr>
        <w:tab/>
      </w:r>
      <w:r w:rsidRPr="00DF6FB3">
        <w:rPr>
          <w:i/>
          <w:iCs/>
          <w:lang w:val="fr-CH"/>
        </w:rPr>
        <w:tab/>
        <w:t>PFD</w:t>
      </w:r>
      <w:r w:rsidRPr="00DF6FB3">
        <w:rPr>
          <w:i/>
          <w:iCs/>
          <w:vertAlign w:val="subscript"/>
          <w:lang w:val="fr-CH"/>
        </w:rPr>
        <w:t>n</w:t>
      </w:r>
      <w:r w:rsidRPr="00DF6FB3">
        <w:rPr>
          <w:lang w:val="fr-CH"/>
        </w:rPr>
        <w:t xml:space="preserve"> = </w:t>
      </w:r>
      <w:r w:rsidRPr="00DF6FB3">
        <w:rPr>
          <w:lang w:val="fr-CH" w:eastAsia="ko-KR"/>
        </w:rPr>
        <w:t xml:space="preserve">–120,4 </w:t>
      </w:r>
      <w:r w:rsidRPr="00DF6FB3">
        <w:rPr>
          <w:rFonts w:eastAsia="Dotum"/>
          <w:lang w:val="fr-CH"/>
        </w:rPr>
        <w:t>dB (W/(m</w:t>
      </w:r>
      <w:r w:rsidRPr="00DF6FB3">
        <w:rPr>
          <w:rFonts w:eastAsia="Dotum"/>
          <w:vertAlign w:val="superscript"/>
          <w:lang w:val="fr-CH"/>
        </w:rPr>
        <w:t>2</w:t>
      </w:r>
      <w:r w:rsidRPr="00DF6FB3">
        <w:rPr>
          <w:rFonts w:eastAsia="Dotum"/>
          <w:lang w:val="fr-CH"/>
        </w:rPr>
        <w:t> · </w:t>
      </w:r>
      <w:r w:rsidRPr="00DF6FB3">
        <w:rPr>
          <w:rFonts w:eastAsia="SimSun"/>
          <w:lang w:val="fr-CH" w:eastAsia="ko-KR"/>
        </w:rPr>
        <w:t>1</w:t>
      </w:r>
      <w:r w:rsidRPr="00DF6FB3">
        <w:rPr>
          <w:rFonts w:eastAsia="Dotum"/>
          <w:lang w:val="fr-CH"/>
        </w:rPr>
        <w:t> </w:t>
      </w:r>
      <w:r w:rsidRPr="00DF6FB3">
        <w:rPr>
          <w:rFonts w:eastAsia="SimSun"/>
          <w:lang w:val="fr-CH" w:eastAsia="ko-KR"/>
        </w:rPr>
        <w:t>M</w:t>
      </w:r>
      <w:r w:rsidRPr="00DF6FB3">
        <w:rPr>
          <w:rFonts w:eastAsia="Dotum"/>
          <w:lang w:val="fr-CH"/>
        </w:rPr>
        <w:t>Hz))</w:t>
      </w:r>
    </w:p>
    <w:p w:rsidR="00EB0ED5" w:rsidRPr="00DF6FB3" w:rsidRDefault="00EB0ED5" w:rsidP="00BA7D27">
      <w:pPr>
        <w:rPr>
          <w:lang w:val="fr-CH"/>
        </w:rPr>
      </w:pPr>
    </w:p>
    <w:p w:rsidR="00D62E4A" w:rsidRPr="00DF6FB3" w:rsidRDefault="00D62E4A" w:rsidP="00BA7D27">
      <w:pPr>
        <w:rPr>
          <w:lang w:val="fr-CH"/>
        </w:rPr>
      </w:pPr>
    </w:p>
    <w:p w:rsidR="00D62E4A" w:rsidRPr="00DF6FB3" w:rsidRDefault="00D62E4A" w:rsidP="00BA7D27">
      <w:pPr>
        <w:rPr>
          <w:lang w:val="fr-CH"/>
        </w:rPr>
      </w:pPr>
    </w:p>
    <w:p w:rsidR="00EB0ED5" w:rsidRPr="00DF6FB3" w:rsidRDefault="00EB0ED5" w:rsidP="00BA7D27">
      <w:pPr>
        <w:pStyle w:val="Line"/>
        <w:rPr>
          <w:lang w:val="fr-CH"/>
        </w:rPr>
      </w:pPr>
    </w:p>
    <w:p w:rsidR="00EB0ED5" w:rsidRPr="00DF6FB3" w:rsidRDefault="00EB0ED5" w:rsidP="00BA7D27">
      <w:pPr>
        <w:rPr>
          <w:lang w:val="fr-CH"/>
        </w:rPr>
      </w:pPr>
    </w:p>
    <w:p w:rsidR="00EB0ED5" w:rsidRPr="00DF6FB3" w:rsidRDefault="00EB0ED5" w:rsidP="00BA7D27">
      <w:pPr>
        <w:rPr>
          <w:lang w:val="fr-CH"/>
        </w:rPr>
      </w:pPr>
    </w:p>
    <w:p w:rsidR="00EB0ED5" w:rsidRPr="00DF6FB3" w:rsidRDefault="00EB0ED5" w:rsidP="00BA7D27">
      <w:pPr>
        <w:rPr>
          <w:lang w:val="fr-CH"/>
        </w:rPr>
      </w:pPr>
    </w:p>
    <w:sectPr w:rsidR="00EB0ED5" w:rsidRPr="00DF6FB3" w:rsidSect="00AC4297">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ED5" w:rsidRDefault="00EB0ED5">
      <w:r>
        <w:separator/>
      </w:r>
    </w:p>
  </w:endnote>
  <w:endnote w:type="continuationSeparator" w:id="0">
    <w:p w:rsidR="00EB0ED5" w:rsidRDefault="00EB0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0A87" w:usb1="00000000" w:usb2="00000000" w:usb3="00000000" w:csb0="000001BF" w:csb1="00000000"/>
  </w:font>
  <w:font w:name="HYMyeongJo-Extra">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ED5" w:rsidRDefault="00EB0ED5">
      <w:r>
        <w:separator/>
      </w:r>
    </w:p>
  </w:footnote>
  <w:footnote w:type="continuationSeparator" w:id="0">
    <w:p w:rsidR="00EB0ED5" w:rsidRDefault="00EB0ED5">
      <w:r>
        <w:continuationSeparator/>
      </w:r>
    </w:p>
  </w:footnote>
  <w:footnote w:id="1">
    <w:p w:rsidR="00EB0ED5" w:rsidRPr="004E0A18" w:rsidRDefault="00EB0ED5" w:rsidP="00EB0ED5">
      <w:pPr>
        <w:pStyle w:val="FootnoteText"/>
        <w:rPr>
          <w:lang w:val="fr-CH"/>
        </w:rPr>
      </w:pPr>
      <w:r>
        <w:rPr>
          <w:rStyle w:val="FootnoteReference"/>
        </w:rPr>
        <w:footnoteRef/>
      </w:r>
      <w:r w:rsidRPr="004E0A18">
        <w:rPr>
          <w:lang w:val="fr-CH"/>
        </w:rPr>
        <w:tab/>
        <w:t>La puissance surfacique pour une seule source de brouillage</w:t>
      </w:r>
      <w:r>
        <w:rPr>
          <w:lang w:val="fr-CH"/>
        </w:rPr>
        <w:t xml:space="preserve"> </w:t>
      </w:r>
      <w:r w:rsidRPr="004E0A18">
        <w:rPr>
          <w:lang w:val="fr-CH"/>
        </w:rPr>
        <w:t xml:space="preserve">est calculée à partir d'un rapport </w:t>
      </w:r>
      <w:r>
        <w:rPr>
          <w:lang w:val="fr-CH"/>
        </w:rPr>
        <w:t>brouillage/bruit (</w:t>
      </w:r>
      <w:r w:rsidRPr="00D6526D">
        <w:rPr>
          <w:i/>
          <w:iCs/>
          <w:lang w:val="fr-CH" w:eastAsia="ja-JP"/>
        </w:rPr>
        <w:t>I</w:t>
      </w:r>
      <w:r w:rsidRPr="00D6526D">
        <w:rPr>
          <w:lang w:val="fr-CH" w:eastAsia="ja-JP"/>
        </w:rPr>
        <w:t>/</w:t>
      </w:r>
      <w:r w:rsidRPr="00D6526D">
        <w:rPr>
          <w:i/>
          <w:iCs/>
          <w:lang w:val="fr-CH" w:eastAsia="ja-JP"/>
        </w:rPr>
        <w:t>N</w:t>
      </w:r>
      <w:r>
        <w:rPr>
          <w:i/>
          <w:iCs/>
          <w:lang w:val="fr-CH" w:eastAsia="ja-JP"/>
        </w:rPr>
        <w:t>)</w:t>
      </w:r>
      <w:r>
        <w:rPr>
          <w:lang w:val="fr-CH" w:eastAsia="ja-JP"/>
        </w:rPr>
        <w:t xml:space="preserve"> </w:t>
      </w:r>
      <w:r>
        <w:rPr>
          <w:lang w:val="fr-CH"/>
        </w:rPr>
        <w:t xml:space="preserve">cumulatif </w:t>
      </w:r>
      <w:r>
        <w:rPr>
          <w:lang w:val="fr-CH" w:eastAsia="ja-JP"/>
        </w:rPr>
        <w:t>= –12,2 dB (correspondant à une augmentation de</w:t>
      </w:r>
      <w:r w:rsidRPr="00D6526D">
        <w:rPr>
          <w:lang w:val="fr-CH" w:eastAsia="ja-JP"/>
        </w:rPr>
        <w:t xml:space="preserve"> 6% </w:t>
      </w:r>
      <w:r>
        <w:rPr>
          <w:lang w:val="fr-CH" w:eastAsia="ja-JP"/>
        </w:rPr>
        <w:t>de la température de bruit équivalent du système)</w:t>
      </w:r>
      <w:r w:rsidRPr="00D6526D">
        <w:rPr>
          <w:lang w:val="fr-CH" w:eastAsia="ja-JP"/>
        </w:rPr>
        <w:t xml:space="preserve">, </w:t>
      </w:r>
      <w:r>
        <w:rPr>
          <w:lang w:val="fr-CH" w:eastAsia="ja-JP"/>
        </w:rPr>
        <w:t>dans l'hypothèse d'un nombre équivalent de 3,3 sources de brouillage, chacune émettant à la valeur de puissance surfacique maximale pour une seule source de brouillage.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ED5" w:rsidRDefault="00EB0E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ED5" w:rsidRDefault="00EB0ED5" w:rsidP="00C668C8">
    <w:pPr>
      <w:pStyle w:val="Header"/>
      <w:ind w:right="360" w:firstLine="360"/>
    </w:pPr>
    <w:r>
      <w:rPr>
        <w:noProof/>
        <w:lang w:val="en-US" w:eastAsia="zh-CN"/>
      </w:rPr>
      <w:drawing>
        <wp:anchor distT="0" distB="0" distL="114300" distR="114300" simplePos="0" relativeHeight="251659264" behindDoc="1" locked="0" layoutInCell="1" allowOverlap="1" wp14:anchorId="7229F3AD" wp14:editId="4E761E6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ED5" w:rsidRPr="00837CB5" w:rsidRDefault="00EB0ED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A1AEC">
      <w:rPr>
        <w:rStyle w:val="PageNumber"/>
        <w:b/>
        <w:bCs/>
        <w:noProof/>
      </w:rPr>
      <w:t>ii</w:t>
    </w:r>
    <w:r>
      <w:rPr>
        <w:rStyle w:val="PageNumber"/>
        <w:b/>
        <w:bCs/>
      </w:rPr>
      <w:fldChar w:fldCharType="end"/>
    </w:r>
    <w:r w:rsidRPr="00837CB5">
      <w:tab/>
    </w:r>
    <w:r w:rsidR="00FA1AEC">
      <w:fldChar w:fldCharType="begin"/>
    </w:r>
    <w:r w:rsidR="00FA1AEC">
      <w:instrText xml:space="preserve"> DOCPROPERTY "Header" \* MERGEFORMAT </w:instrText>
    </w:r>
    <w:r w:rsidR="00FA1AEC">
      <w:fldChar w:fldCharType="separate"/>
    </w:r>
    <w:r w:rsidR="00D62E4A" w:rsidRPr="00D62E4A">
      <w:rPr>
        <w:b/>
        <w:bCs/>
      </w:rPr>
      <w:t xml:space="preserve">Rec. </w:t>
    </w:r>
    <w:r w:rsidR="00FA1AE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A1AEC">
      <w:rPr>
        <w:b/>
        <w:bCs/>
        <w:noProof/>
      </w:rPr>
      <w:t>UIT-R  BO.1898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ED5" w:rsidRDefault="00EB0ED5">
    <w:pPr>
      <w:pStyle w:val="Header"/>
    </w:pPr>
    <w:r>
      <w:tab/>
    </w:r>
    <w:r w:rsidR="00FA1AEC">
      <w:fldChar w:fldCharType="begin"/>
    </w:r>
    <w:r w:rsidR="00FA1AEC">
      <w:instrText xml:space="preserve"> DOCPROPERTY "Header" \* MERGEFORMAT </w:instrText>
    </w:r>
    <w:r w:rsidR="00FA1AEC">
      <w:fldChar w:fldCharType="separate"/>
    </w:r>
    <w:r w:rsidR="00D62E4A" w:rsidRPr="00D62E4A">
      <w:rPr>
        <w:b/>
        <w:bCs/>
      </w:rPr>
      <w:t xml:space="preserve">Rec. </w:t>
    </w:r>
    <w:r w:rsidR="00FA1AEC">
      <w:rPr>
        <w:b/>
        <w:bCs/>
      </w:rPr>
      <w:fldChar w:fldCharType="end"/>
    </w:r>
    <w:r>
      <w:rPr>
        <w:b/>
        <w:bCs/>
      </w:rPr>
      <w:t xml:space="preserve"> </w:t>
    </w:r>
    <w:r>
      <w:rPr>
        <w:b/>
        <w:bCs/>
      </w:rPr>
      <w:fldChar w:fldCharType="begin"/>
    </w:r>
    <w:r>
      <w:rPr>
        <w:b/>
        <w:bCs/>
      </w:rPr>
      <w:instrText>styleref href</w:instrText>
    </w:r>
    <w:r>
      <w:rPr>
        <w:b/>
        <w:bCs/>
      </w:rPr>
      <w:fldChar w:fldCharType="separate"/>
    </w:r>
    <w:r w:rsidR="00D62E4A">
      <w:rPr>
        <w:b/>
        <w:bCs/>
        <w:noProof/>
      </w:rPr>
      <w:t>UIT-R  BO.1898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A1AE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2E4A" w:rsidRPr="00D62E4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A1AEC">
      <w:rPr>
        <w:b/>
        <w:bCs/>
        <w:noProof/>
      </w:rPr>
      <w:t>UIT-R  BO.1898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D62E4A" w:rsidRPr="00D62E4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A1AEC">
      <w:rPr>
        <w:b/>
        <w:bCs/>
        <w:noProof/>
      </w:rPr>
      <w:t>UIT-R  BO.1898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A1AE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ED5"/>
    <w:rsid w:val="00217EBF"/>
    <w:rsid w:val="00242AEE"/>
    <w:rsid w:val="002D76C4"/>
    <w:rsid w:val="0052529D"/>
    <w:rsid w:val="00607D68"/>
    <w:rsid w:val="007468DA"/>
    <w:rsid w:val="009E00A8"/>
    <w:rsid w:val="00A6617B"/>
    <w:rsid w:val="00AB0DC8"/>
    <w:rsid w:val="00AC4297"/>
    <w:rsid w:val="00B44E24"/>
    <w:rsid w:val="00BA7D27"/>
    <w:rsid w:val="00D62E4A"/>
    <w:rsid w:val="00DF4176"/>
    <w:rsid w:val="00DF6FB3"/>
    <w:rsid w:val="00EB0ED5"/>
    <w:rsid w:val="00FA1A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B0ED5"/>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B0ED5"/>
    <w:rPr>
      <w:sz w:val="22"/>
      <w:lang w:val="fr-FR" w:eastAsia="en-US"/>
    </w:rPr>
  </w:style>
  <w:style w:type="paragraph" w:customStyle="1" w:styleId="Reasons">
    <w:name w:val="Reasons"/>
    <w:basedOn w:val="Normal"/>
    <w:qFormat/>
    <w:rsid w:val="00EB0ED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B0ED5"/>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B0ED5"/>
    <w:rPr>
      <w:sz w:val="22"/>
      <w:lang w:val="fr-FR" w:eastAsia="en-US"/>
    </w:rPr>
  </w:style>
  <w:style w:type="paragraph" w:customStyle="1" w:styleId="Reasons">
    <w:name w:val="Reasons"/>
    <w:basedOn w:val="Normal"/>
    <w:qFormat/>
    <w:rsid w:val="00EB0ED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5</Pages>
  <Words>1247</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6</cp:revision>
  <cp:lastPrinted>2005-02-10T15:54:00Z</cp:lastPrinted>
  <dcterms:created xsi:type="dcterms:W3CDTF">2012-06-14T09:51:00Z</dcterms:created>
  <dcterms:modified xsi:type="dcterms:W3CDTF">2012-06-14T12:22:00Z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