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1130C0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135623" w:rsidRDefault="00131900" w:rsidP="001130C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</w:t>
            </w:r>
            <w:r w:rsidR="0036003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O</w:t>
            </w:r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1130C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1776-1</w:t>
            </w:r>
          </w:p>
          <w:p w:rsidR="00FE79FE" w:rsidRPr="009A1747" w:rsidRDefault="00FE79FE" w:rsidP="001130C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A17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9A17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1130C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9A17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9A17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9A17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1130C0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Pr="009A174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854CB7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D3C61" w:rsidRDefault="001130C0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130C0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Максимальная плотность потока мощности для радиовещательной спутниковой службы в полосе частот 21,4–22,0 ГГц в Районах 1 и 3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36003A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0F2C79" w:rsidRDefault="00131900" w:rsidP="0036003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</w:t>
            </w:r>
            <w:r w:rsidR="0036003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O</w:t>
            </w:r>
          </w:p>
          <w:p w:rsidR="00FE79FE" w:rsidRPr="00FD3C61" w:rsidRDefault="0036003A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36003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Спутниковое радиовещание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852A54" w:rsidRDefault="00131900" w:rsidP="00ED5D3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  <w:szCs w:val="22"/>
          <w:lang w:val="ru-RU"/>
        </w:rPr>
      </w:pPr>
      <w:bookmarkStart w:id="0" w:name="c2tope"/>
      <w:bookmarkEnd w:id="0"/>
      <w:r w:rsidRPr="00852A54">
        <w:rPr>
          <w:b/>
          <w:bCs/>
          <w:szCs w:val="22"/>
          <w:lang w:val="ru-RU"/>
        </w:rPr>
        <w:lastRenderedPageBreak/>
        <w:t>Предисловие</w:t>
      </w:r>
    </w:p>
    <w:p w:rsidR="00131900" w:rsidRPr="004E05E5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4E05E5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1900" w:rsidRPr="004E05E5" w:rsidRDefault="00131900" w:rsidP="0013562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b/>
          <w:bCs/>
          <w:szCs w:val="22"/>
          <w:lang w:val="ru-RU"/>
        </w:rPr>
      </w:pPr>
      <w:r w:rsidRPr="004E05E5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1900" w:rsidRPr="00135623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4E05E5">
        <w:rPr>
          <w:sz w:val="20"/>
          <w:lang w:val="ru-RU"/>
        </w:rPr>
        <w:t>Политика МСЭ-</w:t>
      </w:r>
      <w:r w:rsidRPr="00135623">
        <w:rPr>
          <w:sz w:val="20"/>
          <w:lang w:val="en-US"/>
        </w:rPr>
        <w:t>R</w:t>
      </w:r>
      <w:r w:rsidRPr="004E05E5">
        <w:rPr>
          <w:sz w:val="20"/>
          <w:lang w:val="ru-RU"/>
        </w:rPr>
        <w:t xml:space="preserve"> в области ПИС излагается в общей патентной политике МСЭ-Т/МСЭ-</w:t>
      </w:r>
      <w:r w:rsidRPr="00135623">
        <w:rPr>
          <w:sz w:val="20"/>
          <w:lang w:val="en-US"/>
        </w:rPr>
        <w:t>R</w:t>
      </w:r>
      <w:r w:rsidRPr="004E05E5">
        <w:rPr>
          <w:sz w:val="20"/>
          <w:lang w:val="ru-RU"/>
        </w:rPr>
        <w:t>/ИСО/МЭК, упоминаемой в Приложении 1 к Резолюции 1 МСЭ-</w:t>
      </w:r>
      <w:r w:rsidRPr="00135623">
        <w:rPr>
          <w:sz w:val="20"/>
          <w:lang w:val="en-US"/>
        </w:rPr>
        <w:t>R</w:t>
      </w:r>
      <w:r w:rsidRPr="004E05E5">
        <w:rPr>
          <w:sz w:val="20"/>
          <w:lang w:val="ru-RU"/>
        </w:rPr>
        <w:t xml:space="preserve">. </w:t>
      </w:r>
      <w:r w:rsidRPr="00135623">
        <w:rPr>
          <w:sz w:val="20"/>
          <w:lang w:val="ru-RU"/>
        </w:rPr>
        <w:t xml:space="preserve">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135623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http://www.itu.int/ITU-R/go/patents/en</w:t>
        </w:r>
      </w:hyperlink>
      <w:r w:rsidRPr="00135623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r w:rsidRPr="00135623">
        <w:rPr>
          <w:sz w:val="20"/>
          <w:lang w:val="en-US"/>
        </w:rPr>
        <w:t>R</w:t>
      </w:r>
      <w:r w:rsidRPr="00135623">
        <w:rPr>
          <w:sz w:val="20"/>
          <w:lang w:val="ru-RU"/>
        </w:rPr>
        <w:t>/ИСО/МЭК и база данных патентной информации МСЭ-</w:t>
      </w:r>
      <w:r w:rsidRPr="00135623">
        <w:rPr>
          <w:sz w:val="20"/>
          <w:lang w:val="en-US"/>
        </w:rPr>
        <w:t>R</w:t>
      </w:r>
      <w:r w:rsidRPr="00135623">
        <w:rPr>
          <w:sz w:val="20"/>
          <w:lang w:val="ru-RU"/>
        </w:rPr>
        <w:t>.</w:t>
      </w:r>
    </w:p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854CB7" w:rsidTr="00135623">
        <w:trPr>
          <w:jc w:val="center"/>
        </w:trPr>
        <w:tc>
          <w:tcPr>
            <w:tcW w:w="8856" w:type="dxa"/>
            <w:gridSpan w:val="2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b/>
                <w:bCs/>
                <w:szCs w:val="22"/>
                <w:lang w:val="ru-RU"/>
              </w:rPr>
            </w:pPr>
            <w:r w:rsidRPr="004E05E5">
              <w:rPr>
                <w:b/>
                <w:bCs/>
                <w:szCs w:val="22"/>
                <w:lang w:val="ru-RU"/>
              </w:rPr>
              <w:t>Серии Рекомендаций МСЭ-</w:t>
            </w:r>
            <w:r w:rsidRPr="00135623">
              <w:rPr>
                <w:b/>
                <w:bCs/>
                <w:szCs w:val="22"/>
                <w:lang w:val="en-US"/>
              </w:rPr>
              <w:t>R</w:t>
            </w:r>
          </w:p>
          <w:p w:rsidR="00131900" w:rsidRPr="0013562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5623">
              <w:rPr>
                <w:rFonts w:eastAsia="SimSun"/>
                <w:sz w:val="18"/>
                <w:szCs w:val="18"/>
                <w:lang w:val="ru-RU" w:eastAsia="zh-CN"/>
              </w:rPr>
              <w:t>(</w:t>
            </w:r>
            <w:r w:rsidRPr="004E05E5">
              <w:rPr>
                <w:sz w:val="18"/>
                <w:szCs w:val="18"/>
                <w:lang w:val="ru-RU"/>
              </w:rPr>
              <w:t>Представлены</w:t>
            </w:r>
            <w:r w:rsidRPr="00135623">
              <w:rPr>
                <w:rFonts w:eastAsia="SimSun"/>
                <w:sz w:val="18"/>
                <w:szCs w:val="18"/>
                <w:lang w:val="ru-RU" w:eastAsia="zh-CN"/>
              </w:rPr>
              <w:t xml:space="preserve"> также в онлайновой форме по адресу: </w:t>
            </w:r>
            <w:hyperlink r:id="rId12" w:history="1"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http</w:t>
              </w:r>
              <w:r w:rsidR="000F2C79" w:rsidRPr="00135623">
                <w:rPr>
                  <w:rStyle w:val="Hyperlink"/>
                  <w:sz w:val="18"/>
                  <w:szCs w:val="18"/>
                  <w:lang w:val="ru-RU"/>
                </w:rPr>
                <w:t>://</w:t>
              </w:r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www</w:t>
              </w:r>
              <w:r w:rsidR="000F2C79" w:rsidRPr="00135623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itu</w:t>
              </w:r>
              <w:r w:rsidR="000F2C79" w:rsidRPr="00135623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int</w:t>
              </w:r>
              <w:r w:rsidR="000F2C79" w:rsidRPr="00135623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publ</w:t>
              </w:r>
              <w:r w:rsidR="000F2C79" w:rsidRPr="00135623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R</w:t>
              </w:r>
              <w:r w:rsidR="000F2C79" w:rsidRPr="00135623">
                <w:rPr>
                  <w:rStyle w:val="Hyperlink"/>
                  <w:sz w:val="18"/>
                  <w:szCs w:val="18"/>
                  <w:lang w:val="ru-RU"/>
                </w:rPr>
                <w:t>-</w:t>
              </w:r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REC</w:t>
              </w:r>
              <w:r w:rsidR="000F2C79" w:rsidRPr="00135623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 w:rsidR="000F2C79" w:rsidRPr="00135623">
                <w:rPr>
                  <w:rStyle w:val="Hyperlink"/>
                  <w:sz w:val="18"/>
                  <w:szCs w:val="18"/>
                  <w:lang w:val="en-US"/>
                </w:rPr>
                <w:t>en</w:t>
              </w:r>
            </w:hyperlink>
            <w:r w:rsidRPr="00135623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131900" w:rsidRPr="004E05E5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Серия</w:t>
            </w:r>
          </w:p>
        </w:tc>
        <w:tc>
          <w:tcPr>
            <w:tcW w:w="7668" w:type="dxa"/>
          </w:tcPr>
          <w:p w:rsidR="00131900" w:rsidRPr="004E05E5" w:rsidRDefault="00131900" w:rsidP="004E05E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Название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13562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135623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BO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135623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Спутниковое радиовещание</w:t>
            </w:r>
          </w:p>
        </w:tc>
      </w:tr>
      <w:tr w:rsidR="00131900" w:rsidRPr="00854CB7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7668" w:type="dxa"/>
          </w:tcPr>
          <w:p w:rsidR="00131900" w:rsidRPr="004E05E5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4E05E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Радиовещательная служба (звуковая)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7668" w:type="dxa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Радиовещательная служба (телевизионная)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F</w:t>
            </w:r>
          </w:p>
        </w:tc>
        <w:tc>
          <w:tcPr>
            <w:tcW w:w="7668" w:type="dxa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Фиксированная служба</w:t>
            </w:r>
          </w:p>
        </w:tc>
      </w:tr>
      <w:tr w:rsidR="00131900" w:rsidRPr="00854CB7" w:rsidTr="00135623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4E05E5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4E05E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Распространение радиоволн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7668" w:type="dxa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Радиоастрономия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7668" w:type="dxa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Системы дистанционного зондирования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7668" w:type="dxa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Фиксированная спутниковая служба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Космические применения и метеорология</w:t>
            </w:r>
          </w:p>
        </w:tc>
      </w:tr>
      <w:tr w:rsidR="00131900" w:rsidRPr="00854CB7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7668" w:type="dxa"/>
          </w:tcPr>
          <w:p w:rsidR="00131900" w:rsidRPr="004E05E5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4E05E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Управление использованием спектра</w:t>
            </w:r>
          </w:p>
        </w:tc>
      </w:tr>
      <w:tr w:rsidR="00131900" w:rsidRPr="00FD3C61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7668" w:type="dxa"/>
          </w:tcPr>
          <w:p w:rsidR="00131900" w:rsidRPr="0013562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en-US"/>
              </w:rPr>
            </w:pPr>
            <w:r w:rsidRPr="00135623">
              <w:rPr>
                <w:sz w:val="20"/>
                <w:lang w:val="en-US"/>
              </w:rPr>
              <w:t>Спутниковый сбор новостей</w:t>
            </w:r>
          </w:p>
        </w:tc>
      </w:tr>
      <w:tr w:rsidR="00131900" w:rsidRPr="00854CB7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7668" w:type="dxa"/>
          </w:tcPr>
          <w:p w:rsidR="00131900" w:rsidRPr="004E05E5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4E05E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854CB7" w:rsidTr="00135623">
        <w:trPr>
          <w:jc w:val="center"/>
        </w:trPr>
        <w:tc>
          <w:tcPr>
            <w:tcW w:w="1188" w:type="dxa"/>
          </w:tcPr>
          <w:p w:rsidR="00131900" w:rsidRPr="004E05E5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en-US"/>
              </w:rPr>
            </w:pPr>
            <w:r w:rsidRPr="004E05E5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7668" w:type="dxa"/>
          </w:tcPr>
          <w:p w:rsidR="00131900" w:rsidRPr="004E05E5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/>
              <w:jc w:val="left"/>
              <w:textAlignment w:val="auto"/>
              <w:rPr>
                <w:sz w:val="20"/>
                <w:lang w:val="ru-RU"/>
              </w:rPr>
            </w:pPr>
            <w:r w:rsidRPr="004E05E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FD3C61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854CB7" w:rsidTr="00135623">
        <w:trPr>
          <w:jc w:val="center"/>
        </w:trPr>
        <w:tc>
          <w:tcPr>
            <w:tcW w:w="8856" w:type="dxa"/>
          </w:tcPr>
          <w:p w:rsidR="00131900" w:rsidRPr="00FD3C61" w:rsidRDefault="00131900" w:rsidP="000F09B1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4E05E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4E05E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0F09B1">
              <w:rPr>
                <w:i/>
                <w:iCs/>
                <w:sz w:val="20"/>
                <w:lang w:val="en-US"/>
              </w:rPr>
              <w:t> </w:t>
            </w:r>
            <w:r w:rsidRPr="004E05E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1 МСЭ-R.</w:t>
            </w:r>
          </w:p>
        </w:tc>
      </w:tr>
    </w:tbl>
    <w:p w:rsidR="00131900" w:rsidRPr="004E05E5" w:rsidRDefault="00131900" w:rsidP="00477D27">
      <w:pPr>
        <w:spacing w:before="360"/>
        <w:jc w:val="right"/>
        <w:rPr>
          <w:sz w:val="20"/>
          <w:lang w:val="ru-RU"/>
        </w:rPr>
      </w:pPr>
      <w:r w:rsidRPr="004E05E5">
        <w:rPr>
          <w:i/>
          <w:iCs/>
          <w:sz w:val="20"/>
          <w:lang w:val="ru-RU"/>
        </w:rPr>
        <w:t>Электронная публикация</w:t>
      </w:r>
      <w:r w:rsidRPr="004E05E5">
        <w:rPr>
          <w:i/>
          <w:iCs/>
          <w:sz w:val="20"/>
          <w:lang w:val="ru-RU"/>
        </w:rPr>
        <w:br/>
      </w:r>
      <w:r w:rsidRPr="004E05E5">
        <w:rPr>
          <w:sz w:val="20"/>
          <w:lang w:val="ru-RU"/>
        </w:rPr>
        <w:t>Женева, 201</w:t>
      </w:r>
      <w:r w:rsidR="00477D27" w:rsidRPr="000F09B1">
        <w:rPr>
          <w:sz w:val="20"/>
          <w:lang w:val="ru-RU"/>
        </w:rPr>
        <w:t>2</w:t>
      </w:r>
      <w:r w:rsidRPr="004E05E5">
        <w:rPr>
          <w:sz w:val="20"/>
          <w:lang w:val="ru-RU"/>
        </w:rPr>
        <w:t xml:space="preserve"> г.</w:t>
      </w:r>
    </w:p>
    <w:p w:rsidR="00CB5488" w:rsidRPr="00CB5488" w:rsidRDefault="00CB5488" w:rsidP="00CB5488">
      <w:pPr>
        <w:jc w:val="center"/>
        <w:rPr>
          <w:sz w:val="20"/>
          <w:lang w:val="ru-RU"/>
        </w:rPr>
      </w:pPr>
      <w:r w:rsidRPr="00470E28">
        <w:rPr>
          <w:sz w:val="20"/>
          <w:lang w:val="en-US"/>
        </w:rPr>
        <w:sym w:font="Symbol" w:char="F0E3"/>
      </w:r>
      <w:r w:rsidRPr="00CB5488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CB5488">
        <w:rPr>
          <w:sz w:val="20"/>
          <w:lang w:val="ru-RU"/>
        </w:rPr>
        <w:t xml:space="preserve"> </w:t>
      </w:r>
      <w:bookmarkStart w:id="1" w:name="iiannee"/>
      <w:bookmarkEnd w:id="1"/>
      <w:r w:rsidRPr="00CB5488">
        <w:rPr>
          <w:sz w:val="20"/>
          <w:lang w:val="ru-RU"/>
        </w:rPr>
        <w:t>2012</w:t>
      </w:r>
    </w:p>
    <w:p w:rsidR="00CB5488" w:rsidRPr="001130C0" w:rsidRDefault="00131900" w:rsidP="00CB5488">
      <w:pPr>
        <w:rPr>
          <w:i/>
          <w:sz w:val="20"/>
          <w:lang w:val="ru-RU"/>
        </w:rPr>
      </w:pPr>
      <w:r w:rsidRPr="004E05E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CB5488" w:rsidRPr="001130C0" w:rsidRDefault="00CB5488" w:rsidP="00CB5488">
      <w:pPr>
        <w:spacing w:before="160"/>
        <w:rPr>
          <w:i/>
          <w:sz w:val="20"/>
          <w:lang w:val="ru-RU"/>
        </w:rPr>
        <w:sectPr w:rsidR="00CB5488" w:rsidRPr="001130C0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4D02D8" w:rsidRDefault="000F09B1" w:rsidP="001130C0">
      <w:pPr>
        <w:pStyle w:val="RecNo"/>
        <w:spacing w:before="0"/>
        <w:rPr>
          <w:lang w:val="ru-RU"/>
        </w:rPr>
      </w:pPr>
      <w:bookmarkStart w:id="2" w:name="irecnoe"/>
      <w:bookmarkEnd w:id="2"/>
      <w:r w:rsidRPr="006B3748">
        <w:rPr>
          <w:lang w:val="ru-RU"/>
        </w:rPr>
        <w:lastRenderedPageBreak/>
        <w:t>РЕКОМЕНДАЦИЯ</w:t>
      </w:r>
      <w:r w:rsidRPr="001130C0">
        <w:rPr>
          <w:lang w:val="ru-RU"/>
        </w:rPr>
        <w:t xml:space="preserve">  </w:t>
      </w:r>
      <w:r w:rsidRPr="001130C0">
        <w:rPr>
          <w:rStyle w:val="href"/>
          <w:lang w:val="ru-RU"/>
        </w:rPr>
        <w:t>МСЭ-</w:t>
      </w:r>
      <w:r w:rsidRPr="00CB5488">
        <w:rPr>
          <w:rStyle w:val="href"/>
          <w:lang w:val="en-US"/>
        </w:rPr>
        <w:t>R</w:t>
      </w:r>
      <w:r w:rsidRPr="001130C0">
        <w:rPr>
          <w:rStyle w:val="href"/>
          <w:lang w:val="ru-RU"/>
        </w:rPr>
        <w:t xml:space="preserve">  </w:t>
      </w:r>
      <w:r w:rsidRPr="00CB5488">
        <w:rPr>
          <w:rStyle w:val="href"/>
          <w:lang w:val="en-US"/>
        </w:rPr>
        <w:t>BO</w:t>
      </w:r>
      <w:r w:rsidRPr="001130C0">
        <w:rPr>
          <w:rStyle w:val="href"/>
          <w:lang w:val="ru-RU"/>
        </w:rPr>
        <w:t>.</w:t>
      </w:r>
      <w:r w:rsidR="004D02D8">
        <w:rPr>
          <w:rStyle w:val="href"/>
          <w:lang w:val="ru-RU"/>
        </w:rPr>
        <w:t>1776-1</w:t>
      </w:r>
    </w:p>
    <w:p w:rsidR="004D02D8" w:rsidRDefault="004D02D8" w:rsidP="004D02D8">
      <w:pPr>
        <w:pStyle w:val="Rectitle"/>
        <w:rPr>
          <w:lang w:val="ru-RU"/>
        </w:rPr>
      </w:pPr>
      <w:r>
        <w:rPr>
          <w:lang w:val="ru-RU"/>
        </w:rPr>
        <w:t>Максимальная плотность потока мощности для радиовещательной спутниковой службы в полосе частот 21,4–22,0 ГГц в Районах 1 и 3</w:t>
      </w:r>
    </w:p>
    <w:p w:rsidR="004D02D8" w:rsidRDefault="004D02D8" w:rsidP="004D02D8">
      <w:pPr>
        <w:pStyle w:val="Recdate"/>
        <w:rPr>
          <w:lang w:val="ru-RU"/>
        </w:rPr>
      </w:pPr>
      <w:r>
        <w:rPr>
          <w:lang w:val="ru-RU"/>
        </w:rPr>
        <w:t>(2006-2012)</w:t>
      </w:r>
    </w:p>
    <w:p w:rsidR="004D02D8" w:rsidRDefault="004D02D8" w:rsidP="004D02D8">
      <w:pPr>
        <w:pStyle w:val="HeadingSum"/>
        <w:rPr>
          <w:lang w:val="ru-RU"/>
        </w:rPr>
      </w:pPr>
      <w:r>
        <w:rPr>
          <w:lang w:val="ru-RU"/>
        </w:rPr>
        <w:t>Сфера применения</w:t>
      </w:r>
    </w:p>
    <w:p w:rsidR="004D02D8" w:rsidRDefault="004D02D8" w:rsidP="004D02D8">
      <w:pPr>
        <w:pStyle w:val="Summary"/>
        <w:rPr>
          <w:lang w:val="ru-RU"/>
        </w:rPr>
      </w:pPr>
      <w:r>
        <w:rPr>
          <w:lang w:val="ru-RU"/>
        </w:rPr>
        <w:t>В настоящей Рекомендации рассматривается максимальная плотность потока мощности (п.п.м.) при больших углах места на поверхности Земли, создаваемая излучениями космической станции радиовещательной спутниковой службы (РСС), которая применяется для РСС в исследованиях совместного использования частот в полосе 21,4–22,0 ГГц в Районах 1 и 3.</w:t>
      </w:r>
    </w:p>
    <w:p w:rsidR="004D02D8" w:rsidRDefault="004D02D8" w:rsidP="004D02D8">
      <w:pPr>
        <w:pStyle w:val="Normalaftertitle"/>
        <w:rPr>
          <w:lang w:val="ru-RU"/>
        </w:rPr>
      </w:pPr>
      <w:r>
        <w:rPr>
          <w:lang w:val="ru-RU"/>
        </w:rPr>
        <w:t>Ассамблея радиосвязи МСЭ,</w:t>
      </w:r>
    </w:p>
    <w:p w:rsidR="004D02D8" w:rsidRDefault="004D02D8" w:rsidP="004D02D8">
      <w:pPr>
        <w:pStyle w:val="Call"/>
        <w:rPr>
          <w:lang w:val="ru-RU"/>
        </w:rPr>
      </w:pPr>
      <w:r>
        <w:rPr>
          <w:lang w:val="ru-RU"/>
        </w:rPr>
        <w:t>учитывая</w:t>
      </w:r>
      <w:r>
        <w:rPr>
          <w:i w:val="0"/>
          <w:iCs/>
          <w:lang w:val="ru-RU"/>
        </w:rPr>
        <w:t>,</w:t>
      </w:r>
    </w:p>
    <w:p w:rsidR="004D02D8" w:rsidRDefault="004D02D8" w:rsidP="004D02D8">
      <w:pPr>
        <w:rPr>
          <w:lang w:val="ru-RU"/>
        </w:rPr>
      </w:pPr>
      <w:r>
        <w:rPr>
          <w:lang w:val="ru-RU" w:eastAsia="ja-JP"/>
        </w:rPr>
        <w:t>a)</w:t>
      </w:r>
      <w:r>
        <w:rPr>
          <w:lang w:val="ru-RU" w:eastAsia="ja-JP"/>
        </w:rPr>
        <w:tab/>
        <w:t xml:space="preserve">что хотя системы РСС в полосе </w:t>
      </w:r>
      <w:r>
        <w:rPr>
          <w:lang w:val="ru-RU"/>
        </w:rPr>
        <w:t>21,4–22,0 ГГц имеют возможность доставки широкополосных РЧ сигналов, тем не менее для компенсации суммарного ослабления в линии, обусловленного атмосферными эффектами, необходима высокая э.и.и.м. космической станции (т. е. высокая п.п.м. на входе приемной земной станции);</w:t>
      </w:r>
    </w:p>
    <w:p w:rsidR="004D02D8" w:rsidRDefault="004D02D8" w:rsidP="004D02D8">
      <w:pPr>
        <w:rPr>
          <w:lang w:val="ru-RU"/>
        </w:rPr>
      </w:pPr>
      <w:r>
        <w:rPr>
          <w:lang w:val="ru-RU" w:eastAsia="ja-JP"/>
        </w:rPr>
        <w:t>b</w:t>
      </w:r>
      <w:r>
        <w:rPr>
          <w:lang w:val="ru-RU"/>
        </w:rPr>
        <w:t>)</w:t>
      </w:r>
      <w:r>
        <w:rPr>
          <w:lang w:val="ru-RU"/>
        </w:rPr>
        <w:tab/>
        <w:t>что следует стремиться к высокому проценту готовности обслуживания РСС в полосе частот 21,4–22,0 ГГц в Районах 1 и 3, с тем чтобы добиться, в максимально возможной степени, более высокой надежности услуг вещания в формате телевидения высокой четкости (ТВЧ);</w:t>
      </w:r>
    </w:p>
    <w:p w:rsidR="004D02D8" w:rsidRPr="00854CB7" w:rsidRDefault="004D02D8" w:rsidP="004D02D8">
      <w:pPr>
        <w:rPr>
          <w:lang w:val="ru-RU" w:eastAsia="ja-JP"/>
        </w:rPr>
      </w:pPr>
      <w:r>
        <w:rPr>
          <w:lang w:val="ru-RU" w:eastAsia="ja-JP"/>
        </w:rPr>
        <w:t>c</w:t>
      </w:r>
      <w:r>
        <w:rPr>
          <w:lang w:val="ru-RU"/>
        </w:rPr>
        <w:t>)</w:t>
      </w:r>
      <w:r>
        <w:rPr>
          <w:lang w:val="ru-RU"/>
        </w:rPr>
        <w:tab/>
        <w:t>что в Рекомендации МСЭ</w:t>
      </w:r>
      <w:r>
        <w:rPr>
          <w:lang w:val="ru-RU"/>
        </w:rPr>
        <w:noBreakHyphen/>
        <w:t>R BO.1659 указывается, что в Районах 1 и 3 ожидаются высокие значения готовности обслуживания, составляющий более 99% в течение года, благодаря передачам с уровнем э.и.и.м., обеспечивающим значение п.п.м., равное −105 дБ(Вт/(м</w:t>
      </w:r>
      <w:r>
        <w:rPr>
          <w:vertAlign w:val="superscript"/>
          <w:lang w:val="ru-RU"/>
        </w:rPr>
        <w:t>2</w:t>
      </w:r>
      <w:r>
        <w:rPr>
          <w:vertAlign w:val="superscript"/>
          <w:lang w:val="en-GB"/>
        </w:rPr>
        <w:t> </w:t>
      </w:r>
      <w:r>
        <w:rPr>
          <w:lang w:val="ru-RU" w:eastAsia="ja-JP"/>
        </w:rPr>
        <w:t>·</w:t>
      </w:r>
      <w:r>
        <w:rPr>
          <w:lang w:val="en-GB" w:eastAsia="ja-JP"/>
        </w:rPr>
        <w:t> </w:t>
      </w:r>
      <w:r>
        <w:rPr>
          <w:lang w:val="ru-RU"/>
        </w:rPr>
        <w:t>1 МГц)), чтобы компенсировать ослабление в дожде</w:t>
      </w:r>
      <w:r>
        <w:rPr>
          <w:lang w:val="ru-RU" w:eastAsia="ja-JP"/>
        </w:rPr>
        <w:t xml:space="preserve"> </w:t>
      </w:r>
      <w:r>
        <w:rPr>
          <w:lang w:val="ru-RU"/>
        </w:rPr>
        <w:t>в полосе 21,4–22,0 ГГц в районах с высокой интенсивностью дождя</w:t>
      </w:r>
      <w:r w:rsidR="00854CB7">
        <w:rPr>
          <w:lang w:val="ru-RU" w:eastAsia="ja-JP"/>
        </w:rPr>
        <w:t>;</w:t>
      </w:r>
    </w:p>
    <w:p w:rsidR="004D02D8" w:rsidRDefault="004D02D8" w:rsidP="004D02D8">
      <w:pPr>
        <w:rPr>
          <w:lang w:val="ru-RU"/>
        </w:rPr>
      </w:pPr>
      <w:r>
        <w:rPr>
          <w:lang w:val="ru-RU"/>
        </w:rPr>
        <w:t>d)</w:t>
      </w:r>
      <w:r>
        <w:rPr>
          <w:lang w:val="ru-RU"/>
        </w:rPr>
        <w:tab/>
        <w:t>что показатели работы спутниковой линии зависят не только от п.п.м. на входе приемной земной станции, но и в том числе от показателя добротности приемной земной станции;</w:t>
      </w:r>
    </w:p>
    <w:p w:rsidR="004D02D8" w:rsidRDefault="004D02D8" w:rsidP="004D02D8">
      <w:pPr>
        <w:rPr>
          <w:lang w:val="ru-RU"/>
        </w:rPr>
      </w:pPr>
      <w:r>
        <w:rPr>
          <w:lang w:val="ru-RU"/>
        </w:rPr>
        <w:t>e)</w:t>
      </w:r>
      <w:r>
        <w:rPr>
          <w:lang w:val="ru-RU"/>
        </w:rPr>
        <w:tab/>
        <w:t>что ослабление в дожде зависит не только от интенсивности дождя, но и в том числе от угла места, высоты и широты земной станции;</w:t>
      </w:r>
    </w:p>
    <w:p w:rsidR="004D02D8" w:rsidRDefault="004D02D8" w:rsidP="004D02D8">
      <w:pPr>
        <w:rPr>
          <w:lang w:val="ru-RU" w:eastAsia="ja-JP"/>
        </w:rPr>
      </w:pPr>
      <w:r>
        <w:rPr>
          <w:lang w:val="ru-RU"/>
        </w:rPr>
        <w:t>f)</w:t>
      </w:r>
      <w:r>
        <w:rPr>
          <w:lang w:val="ru-RU"/>
        </w:rPr>
        <w:tab/>
        <w:t xml:space="preserve">что требуемая готовность обслуживания каждой системы РСС связана с эксплуатационными требованиями, </w:t>
      </w:r>
    </w:p>
    <w:p w:rsidR="004D02D8" w:rsidRDefault="004D02D8" w:rsidP="004D02D8">
      <w:pPr>
        <w:pStyle w:val="Call"/>
        <w:rPr>
          <w:lang w:val="ru-RU"/>
        </w:rPr>
      </w:pPr>
      <w:r>
        <w:rPr>
          <w:lang w:val="ru-RU"/>
        </w:rPr>
        <w:t>рекомендует</w:t>
      </w:r>
      <w:r>
        <w:rPr>
          <w:i w:val="0"/>
          <w:iCs/>
          <w:lang w:val="ru-RU"/>
        </w:rPr>
        <w:t>,</w:t>
      </w:r>
    </w:p>
    <w:p w:rsidR="004D02D8" w:rsidRDefault="004D02D8" w:rsidP="004D02D8">
      <w:pPr>
        <w:rPr>
          <w:lang w:val="ru-RU" w:eastAsia="ja-JP"/>
        </w:rPr>
      </w:pPr>
      <w:r>
        <w:rPr>
          <w:b/>
          <w:bCs/>
          <w:lang w:val="ru-RU"/>
        </w:rPr>
        <w:t>1</w:t>
      </w:r>
      <w:r>
        <w:rPr>
          <w:lang w:val="ru-RU"/>
        </w:rPr>
        <w:tab/>
        <w:t>чтобы</w:t>
      </w:r>
      <w:r>
        <w:rPr>
          <w:lang w:val="ru-RU" w:eastAsia="ja-JP"/>
        </w:rPr>
        <w:t xml:space="preserve"> для </w:t>
      </w:r>
      <w:r>
        <w:rPr>
          <w:lang w:val="ru-RU"/>
        </w:rPr>
        <w:t xml:space="preserve">компенсации суммарного ослабления в линии, обусловленного атмосферными эффектами, которое рассчитывается для </w:t>
      </w:r>
      <w:r>
        <w:rPr>
          <w:lang w:val="ru-RU" w:eastAsia="ja-JP"/>
        </w:rPr>
        <w:t>высокой годовой готовности обслуживания, максимальной п.п.м. при большом угле места на поверхности Земли в условиях распространения в свободном пространстве считалось значение –105 </w:t>
      </w:r>
      <w:r>
        <w:rPr>
          <w:lang w:val="ru-RU"/>
        </w:rPr>
        <w:t>дБ(Вт/(м</w:t>
      </w:r>
      <w:r>
        <w:rPr>
          <w:vertAlign w:val="superscript"/>
          <w:lang w:val="ru-RU"/>
        </w:rPr>
        <w:t>2</w:t>
      </w:r>
      <w:r>
        <w:rPr>
          <w:lang w:val="ru-RU"/>
        </w:rPr>
        <w:t> </w:t>
      </w:r>
      <w:r>
        <w:rPr>
          <w:lang w:val="ru-RU" w:eastAsia="ja-JP"/>
        </w:rPr>
        <w:t>· 1 МГц)), применяемое для РСС в исследованиях совместного использования частот в полосе 21,4–22,0 ГГц (в Приложении 1 представлены примеры в разных городах в Районах 1 и 3);</w:t>
      </w:r>
    </w:p>
    <w:p w:rsidR="004D02D8" w:rsidRDefault="004D02D8" w:rsidP="004D02D8">
      <w:pPr>
        <w:rPr>
          <w:lang w:val="ru-RU" w:eastAsia="ja-JP"/>
        </w:rPr>
      </w:pPr>
      <w:r>
        <w:rPr>
          <w:b/>
          <w:bCs/>
          <w:lang w:val="ru-RU" w:eastAsia="ja-JP"/>
        </w:rPr>
        <w:t>2</w:t>
      </w:r>
      <w:r>
        <w:rPr>
          <w:lang w:val="ru-RU" w:eastAsia="ja-JP"/>
        </w:rPr>
        <w:tab/>
        <w:t>чтобы указанные ниже Примечания считались частью настоящей Рекомендации.</w:t>
      </w:r>
    </w:p>
    <w:p w:rsidR="004D02D8" w:rsidRDefault="004D02D8" w:rsidP="004D02D8">
      <w:pPr>
        <w:pStyle w:val="Note"/>
        <w:rPr>
          <w:lang w:val="ru-RU"/>
        </w:rPr>
      </w:pPr>
      <w:r>
        <w:rPr>
          <w:lang w:val="ru-RU" w:eastAsia="ja-JP"/>
        </w:rPr>
        <w:t xml:space="preserve">ПРИМЕЧАНИЕ 1. – Для стран, где не наблюдается сильное суммарное </w:t>
      </w:r>
      <w:r>
        <w:rPr>
          <w:lang w:val="ru-RU"/>
        </w:rPr>
        <w:t xml:space="preserve">ослабление в линии, </w:t>
      </w:r>
      <w:r>
        <w:rPr>
          <w:lang w:val="ru-RU" w:eastAsia="ja-JP"/>
        </w:rPr>
        <w:t xml:space="preserve">в качестве максимальной п.п.м. на поверхности Земли, создаваемой космической станцией РСС, может рассматриваться более низкое значение, чем указанное в пункте 1 раздела </w:t>
      </w:r>
      <w:r>
        <w:rPr>
          <w:i/>
          <w:iCs/>
          <w:lang w:val="ru-RU" w:eastAsia="ja-JP"/>
        </w:rPr>
        <w:t>рекомендует</w:t>
      </w:r>
      <w:r>
        <w:rPr>
          <w:lang w:val="ru-RU" w:eastAsia="ja-JP"/>
        </w:rPr>
        <w:t xml:space="preserve">, выше, применяемое для РСС в исследованиях совместного использования частот в полосе </w:t>
      </w:r>
      <w:r>
        <w:rPr>
          <w:rFonts w:hint="cs"/>
          <w:cs/>
          <w:lang w:val="ru-RU" w:eastAsia="ja-JP"/>
        </w:rPr>
        <w:t>‎</w:t>
      </w:r>
      <w:r>
        <w:rPr>
          <w:lang w:val="ru-RU" w:eastAsia="ja-JP"/>
        </w:rPr>
        <w:t xml:space="preserve">21,4–22,0 ГГц </w:t>
      </w:r>
      <w:r>
        <w:rPr>
          <w:lang w:val="ru-RU"/>
        </w:rPr>
        <w:t>в Районах 1 и 3.</w:t>
      </w:r>
    </w:p>
    <w:p w:rsidR="004D02D8" w:rsidRDefault="004D02D8" w:rsidP="004D02D8">
      <w:pPr>
        <w:pStyle w:val="Note"/>
        <w:rPr>
          <w:lang w:val="ru-RU"/>
        </w:rPr>
      </w:pPr>
      <w:r>
        <w:rPr>
          <w:lang w:val="ru-RU" w:eastAsia="ja-JP"/>
        </w:rPr>
        <w:t>ПРИМЕЧАНИЕ 2. – Указанное выше суммарное ослабление в линии включает ослабление, обусловленное дождем и облаками, мерцание, а также ослабление в газах, обусловленное водяным паром и кислородом. Общий метод расчета суммарного ослабления в линии приведен в Рекомендации МСЭ-R P.618.</w:t>
      </w:r>
    </w:p>
    <w:p w:rsidR="004D02D8" w:rsidRDefault="004D02D8" w:rsidP="004D02D8">
      <w:pPr>
        <w:pStyle w:val="AnnexNoTitle"/>
        <w:rPr>
          <w:lang w:val="ru-RU"/>
        </w:rPr>
      </w:pPr>
      <w:r>
        <w:rPr>
          <w:lang w:val="ru-RU"/>
        </w:rPr>
        <w:lastRenderedPageBreak/>
        <w:t>Приложение 1</w:t>
      </w:r>
      <w:r>
        <w:rPr>
          <w:lang w:val="ru-RU"/>
        </w:rPr>
        <w:br/>
      </w:r>
      <w:r>
        <w:rPr>
          <w:lang w:val="ru-RU"/>
        </w:rPr>
        <w:br/>
        <w:t>Достижимая годовая готовность обслуживания и суммарное ослабление в линии в некоторых взятых в качестве примеров городах Районов 1 и 3, исходя из значения –105 дБ(Вт/(м</w:t>
      </w:r>
      <w:r>
        <w:rPr>
          <w:vertAlign w:val="superscript"/>
          <w:lang w:val="ru-RU"/>
        </w:rPr>
        <w:t>2</w:t>
      </w:r>
      <w:r>
        <w:rPr>
          <w:lang w:val="ru-RU"/>
        </w:rPr>
        <w:t> · МГц)) в качестве п.п.м. на поверхности Земли, создаваемой излучениями космической станции РСС в полосе 21,4–22,0 ГГц</w:t>
      </w:r>
    </w:p>
    <w:p w:rsidR="004D02D8" w:rsidRDefault="004D02D8" w:rsidP="004D02D8">
      <w:pPr>
        <w:pStyle w:val="Normalaftertitle"/>
        <w:rPr>
          <w:lang w:val="ru-RU"/>
        </w:rPr>
      </w:pPr>
      <w:r>
        <w:rPr>
          <w:lang w:val="ru-RU"/>
        </w:rPr>
        <w:t>В таблицах 1 и 2 представлены примеры достижимой годовой готовности обслуживания и суммарное ослабление в линии (в скобках) в некоторых городах Районов 1 и 3 при применении значения</w:t>
      </w:r>
      <w:r>
        <w:rPr>
          <w:lang w:val="ru-RU"/>
        </w:rPr>
        <w:br/>
        <w:t>–105 дБ(Вт/(м</w:t>
      </w:r>
      <w:r w:rsidRPr="00854CB7">
        <w:rPr>
          <w:vertAlign w:val="superscript"/>
          <w:lang w:val="ru-RU"/>
        </w:rPr>
        <w:t>2</w:t>
      </w:r>
      <w:r w:rsidR="00854CB7">
        <w:rPr>
          <w:lang w:val="ru-RU"/>
        </w:rPr>
        <w:t> </w:t>
      </w:r>
      <w:r>
        <w:rPr>
          <w:lang w:val="ru-RU"/>
        </w:rPr>
        <w:t>· МГц)) в качестве п.п.м. на поверхности земли, создаваемой космической станцией РСС в полосе 21,4–22,0 ГГц в условиях распространения в свободном пространстве. Требуемые значения отношения несущая/шум (</w:t>
      </w:r>
      <w:r>
        <w:rPr>
          <w:i/>
          <w:iCs/>
          <w:lang w:val="ru-RU"/>
        </w:rPr>
        <w:t>C</w:t>
      </w:r>
      <w:r w:rsidRPr="00854CB7">
        <w:rPr>
          <w:lang w:val="ru-RU"/>
        </w:rPr>
        <w:t>/</w:t>
      </w:r>
      <w:r>
        <w:rPr>
          <w:i/>
          <w:iCs/>
          <w:lang w:val="ru-RU"/>
        </w:rPr>
        <w:t>N</w:t>
      </w:r>
      <w:r>
        <w:rPr>
          <w:lang w:val="ru-RU"/>
        </w:rPr>
        <w:t>) для каждой схемы модуляции приняты равными 5,6</w:t>
      </w:r>
      <w:r>
        <w:rPr>
          <w:lang w:val="en-US"/>
        </w:rPr>
        <w:t> </w:t>
      </w:r>
      <w:r>
        <w:rPr>
          <w:lang w:val="ru-RU"/>
        </w:rPr>
        <w:t>дБ и</w:t>
      </w:r>
      <w:r>
        <w:rPr>
          <w:lang w:val="en-GB"/>
        </w:rPr>
        <w:t> </w:t>
      </w:r>
      <w:r>
        <w:rPr>
          <w:lang w:val="ru-RU"/>
        </w:rPr>
        <w:t>7,5 дБ для QPSK и 10,7 дБ для 8-PSK, включая запас на аппаратную реализацию и запас на аппаратные потери в спутнике по отношению к ширине полосы шума Найквиста. Диаметр приемной антенны принят равным 45 см. На основании данных таблиц можно утверждать, что в этих городах может быть достигнут процент годовой готовности обслуживания от 99,78 до 99,99%.</w:t>
      </w:r>
    </w:p>
    <w:p w:rsidR="004D02D8" w:rsidRDefault="004D02D8" w:rsidP="004D02D8">
      <w:pPr>
        <w:pStyle w:val="TableNo"/>
        <w:rPr>
          <w:lang w:val="ru-RU"/>
        </w:rPr>
      </w:pPr>
      <w:r>
        <w:rPr>
          <w:lang w:val="ru-RU"/>
        </w:rPr>
        <w:t>ТАБЛИЦА 1a</w:t>
      </w:r>
    </w:p>
    <w:p w:rsidR="004D02D8" w:rsidRDefault="004D02D8" w:rsidP="004D02D8">
      <w:pPr>
        <w:pStyle w:val="Tabletitle"/>
        <w:rPr>
          <w:lang w:val="ru-RU"/>
        </w:rPr>
      </w:pPr>
      <w:r>
        <w:rPr>
          <w:lang w:val="ru-RU"/>
        </w:rPr>
        <w:t xml:space="preserve">Годовая готовность обслуживания и суммарное ослабление в линии на линии вниз РСС </w:t>
      </w:r>
      <w:r>
        <w:rPr>
          <w:lang w:val="ru-RU"/>
        </w:rPr>
        <w:br/>
        <w:t>в полосе частот 21 ГГц в некоторых взятых в качестве примеров городах в Районе 3</w:t>
      </w:r>
    </w:p>
    <w:tbl>
      <w:tblPr>
        <w:tblW w:w="9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3"/>
        <w:gridCol w:w="1702"/>
        <w:gridCol w:w="1560"/>
        <w:gridCol w:w="1560"/>
        <w:gridCol w:w="1560"/>
        <w:gridCol w:w="1560"/>
      </w:tblGrid>
      <w:tr w:rsidR="004D02D8" w:rsidTr="004D02D8">
        <w:trPr>
          <w:jc w:val="center"/>
        </w:trPr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02D8" w:rsidRDefault="004D02D8">
            <w:pPr>
              <w:pStyle w:val="Tablehead"/>
              <w:rPr>
                <w:highlight w:val="yellow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2D8" w:rsidRDefault="004D02D8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Токио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2D8" w:rsidRDefault="004D02D8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Сеул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2D8" w:rsidRDefault="004D02D8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 xml:space="preserve">Бангкок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2D8" w:rsidRDefault="004D02D8">
            <w:pPr>
              <w:pStyle w:val="Tablehead"/>
              <w:rPr>
                <w:lang w:val="ru-RU"/>
              </w:rPr>
            </w:pPr>
            <w:r>
              <w:rPr>
                <w:lang w:val="ru-RU"/>
              </w:rPr>
              <w:t>Веллингтон</w:t>
            </w:r>
          </w:p>
        </w:tc>
      </w:tr>
      <w:tr w:rsidR="004D02D8" w:rsidTr="001130C0">
        <w:trPr>
          <w:jc w:val="center"/>
        </w:trPr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2D8" w:rsidRDefault="004D02D8" w:rsidP="001130C0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 w:eastAsia="ja-JP"/>
              </w:rPr>
              <w:t>Угол места (градусы)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38,0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44,9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73,5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42,3</w:t>
            </w:r>
          </w:p>
        </w:tc>
      </w:tr>
      <w:tr w:rsidR="004D02D8" w:rsidTr="001130C0">
        <w:trPr>
          <w:jc w:val="center"/>
        </w:trPr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2D8" w:rsidRDefault="004D02D8" w:rsidP="001130C0">
            <w:pPr>
              <w:pStyle w:val="Tabletext"/>
              <w:jc w:val="left"/>
              <w:rPr>
                <w:highlight w:val="yellow"/>
                <w:lang w:val="ru-RU"/>
              </w:rPr>
            </w:pPr>
            <w:r>
              <w:rPr>
                <w:lang w:val="ru-RU"/>
              </w:rPr>
              <w:t>Интенсивность дождя для 0,01% времени года (мм/ч)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48,0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50,6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caps/>
                <w:lang w:val="ru-RU" w:eastAsia="ko-KR"/>
              </w:rPr>
            </w:pPr>
            <w:r>
              <w:rPr>
                <w:caps/>
                <w:lang w:val="ru-RU" w:eastAsia="ko-KR"/>
              </w:rPr>
              <w:t>87,1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caps/>
                <w:lang w:val="ru-RU" w:eastAsia="ko-KR"/>
              </w:rPr>
            </w:pPr>
            <w:r>
              <w:rPr>
                <w:caps/>
                <w:lang w:val="ru-RU" w:eastAsia="ko-KR"/>
              </w:rPr>
              <w:t>41,7</w:t>
            </w:r>
          </w:p>
        </w:tc>
      </w:tr>
      <w:tr w:rsidR="004D02D8" w:rsidTr="001130C0">
        <w:trPr>
          <w:jc w:val="center"/>
        </w:trPr>
        <w:tc>
          <w:tcPr>
            <w:tcW w:w="34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02D8" w:rsidRPr="00854CB7" w:rsidRDefault="004D02D8" w:rsidP="001130C0">
            <w:pPr>
              <w:pStyle w:val="Tabletext"/>
              <w:jc w:val="left"/>
            </w:pPr>
            <w:r>
              <w:rPr>
                <w:lang w:val="ru-RU" w:eastAsia="ja-JP"/>
              </w:rPr>
              <w:t>п</w:t>
            </w:r>
            <w:r w:rsidRPr="00854CB7">
              <w:rPr>
                <w:lang w:eastAsia="ja-JP"/>
              </w:rPr>
              <w:t>.</w:t>
            </w:r>
            <w:r>
              <w:rPr>
                <w:lang w:val="ru-RU" w:eastAsia="ja-JP"/>
              </w:rPr>
              <w:t>п</w:t>
            </w:r>
            <w:r w:rsidRPr="00854CB7">
              <w:rPr>
                <w:lang w:eastAsia="ja-JP"/>
              </w:rPr>
              <w:t>.</w:t>
            </w:r>
            <w:r>
              <w:rPr>
                <w:lang w:val="ru-RU" w:eastAsia="ja-JP"/>
              </w:rPr>
              <w:t>м</w:t>
            </w:r>
            <w:r w:rsidRPr="00854CB7">
              <w:rPr>
                <w:lang w:eastAsia="ja-JP"/>
              </w:rPr>
              <w:t>. (</w:t>
            </w:r>
            <w:r>
              <w:rPr>
                <w:lang w:val="ru-RU"/>
              </w:rPr>
              <w:t>дБ</w:t>
            </w:r>
            <w:r w:rsidRPr="00854CB7">
              <w:t>(</w:t>
            </w:r>
            <w:r>
              <w:rPr>
                <w:lang w:val="ru-RU"/>
              </w:rPr>
              <w:t>Вт</w:t>
            </w:r>
            <w:r w:rsidRPr="00854CB7">
              <w:t>/(</w:t>
            </w:r>
            <w:r>
              <w:rPr>
                <w:lang w:val="ru-RU"/>
              </w:rPr>
              <w:t>м</w:t>
            </w:r>
            <w:r w:rsidRPr="00854CB7">
              <w:rPr>
                <w:vertAlign w:val="superscript"/>
                <w:lang w:val="ru-RU"/>
              </w:rPr>
              <w:t>2</w:t>
            </w:r>
            <w:r w:rsidRPr="00854CB7">
              <w:rPr>
                <w:lang w:val="ru-RU"/>
              </w:rPr>
              <w:t> </w:t>
            </w:r>
            <w:r w:rsidRPr="00854CB7">
              <w:rPr>
                <w:lang w:eastAsia="ja-JP"/>
              </w:rPr>
              <w:t>· 1 </w:t>
            </w:r>
            <w:r>
              <w:rPr>
                <w:lang w:val="ru-RU" w:eastAsia="ja-JP"/>
              </w:rPr>
              <w:t>МГц</w:t>
            </w:r>
            <w:r w:rsidRPr="00854CB7">
              <w:rPr>
                <w:lang w:eastAsia="ja-JP"/>
              </w:rPr>
              <w:t>)))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–105,0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–105,0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–105,0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–105,0</w:t>
            </w:r>
          </w:p>
        </w:tc>
      </w:tr>
      <w:tr w:rsidR="004D02D8" w:rsidTr="001130C0">
        <w:trPr>
          <w:jc w:val="center"/>
        </w:trPr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 w:eastAsia="ja-JP"/>
              </w:rPr>
              <w:t xml:space="preserve">Общее отношение несущая/шум </w:t>
            </w:r>
            <w:r>
              <w:rPr>
                <w:i/>
                <w:iCs/>
                <w:lang w:val="ru-RU"/>
              </w:rPr>
              <w:t>C</w:t>
            </w:r>
            <w:r>
              <w:rPr>
                <w:lang w:val="ru-RU"/>
              </w:rPr>
              <w:t>/</w:t>
            </w:r>
            <w:r>
              <w:rPr>
                <w:i/>
                <w:iCs/>
                <w:lang w:val="ru-RU"/>
              </w:rPr>
              <w:t>N)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2D8" w:rsidRDefault="004D02D8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5,6 дБ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99,98%</w:t>
            </w:r>
            <w:r>
              <w:rPr>
                <w:lang w:val="ru-RU"/>
              </w:rPr>
              <w:br/>
              <w:t>(21,9 дБ)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99,98%</w:t>
            </w:r>
            <w:r>
              <w:rPr>
                <w:lang w:val="ru-RU"/>
              </w:rPr>
              <w:br/>
              <w:t>(22,1 дБ)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99,88%</w:t>
            </w:r>
            <w:r>
              <w:rPr>
                <w:lang w:val="ru-RU"/>
              </w:rPr>
              <w:br/>
              <w:t>(21,8 дБ)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99,99%</w:t>
            </w:r>
            <w:r>
              <w:rPr>
                <w:lang w:val="ru-RU"/>
              </w:rPr>
              <w:br/>
              <w:t>(21,1 дБ)</w:t>
            </w:r>
          </w:p>
        </w:tc>
      </w:tr>
      <w:tr w:rsidR="004D02D8" w:rsidTr="001130C0">
        <w:trPr>
          <w:jc w:val="center"/>
        </w:trPr>
        <w:tc>
          <w:tcPr>
            <w:tcW w:w="9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02D8" w:rsidRDefault="004D02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2D8" w:rsidRDefault="004D02D8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7,5 дБ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99,97%</w:t>
            </w:r>
            <w:r>
              <w:rPr>
                <w:lang w:val="ru-RU"/>
              </w:rPr>
              <w:br/>
              <w:t>(20,0 дБ)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99,97%</w:t>
            </w:r>
            <w:r>
              <w:rPr>
                <w:lang w:val="ru-RU"/>
              </w:rPr>
              <w:br/>
              <w:t>(20,2 дБ)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99,85%</w:t>
            </w:r>
            <w:r>
              <w:rPr>
                <w:lang w:val="ru-RU"/>
              </w:rPr>
              <w:br/>
              <w:t>(19,8 дБ)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99,99%</w:t>
            </w:r>
            <w:r>
              <w:rPr>
                <w:lang w:val="ru-RU"/>
              </w:rPr>
              <w:br/>
              <w:t>(19,1 дБ)</w:t>
            </w:r>
          </w:p>
        </w:tc>
      </w:tr>
      <w:tr w:rsidR="004D02D8" w:rsidTr="001130C0">
        <w:trPr>
          <w:jc w:val="center"/>
        </w:trPr>
        <w:tc>
          <w:tcPr>
            <w:tcW w:w="96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02D8" w:rsidRDefault="004D02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sz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02D8" w:rsidRDefault="004D02D8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10,7 дБ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99,95%</w:t>
            </w:r>
            <w:r>
              <w:rPr>
                <w:lang w:val="ru-RU"/>
              </w:rPr>
              <w:br/>
              <w:t>(16,7 дБ)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99,95%</w:t>
            </w:r>
            <w:r>
              <w:rPr>
                <w:lang w:val="ru-RU"/>
              </w:rPr>
              <w:br/>
              <w:t>(17,0 дБ)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99,78%</w:t>
            </w:r>
            <w:r>
              <w:rPr>
                <w:lang w:val="ru-RU"/>
              </w:rPr>
              <w:br/>
              <w:t>(16,6 дБ)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99,99%</w:t>
            </w:r>
            <w:r>
              <w:rPr>
                <w:lang w:val="ru-RU"/>
              </w:rPr>
              <w:br/>
              <w:t>(15,9 дБ)</w:t>
            </w:r>
          </w:p>
        </w:tc>
      </w:tr>
      <w:tr w:rsidR="004D02D8" w:rsidRPr="00854CB7" w:rsidTr="004D02D8">
        <w:trPr>
          <w:jc w:val="center"/>
        </w:trPr>
        <w:tc>
          <w:tcPr>
            <w:tcW w:w="963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D02D8" w:rsidRDefault="004D02D8" w:rsidP="001130C0">
            <w:pPr>
              <w:pStyle w:val="TableLegendNote"/>
              <w:rPr>
                <w:lang w:val="ru-RU"/>
              </w:rPr>
            </w:pPr>
            <w:r>
              <w:rPr>
                <w:lang w:val="ru-RU"/>
              </w:rPr>
              <w:t xml:space="preserve">ПРИМЕЧАНИЕ. – Места, указанные в таблице 1а, приведены только в качестве примеров готовности обслуживания и суммарного ослабления в </w:t>
            </w:r>
            <w:r w:rsidRPr="00854CB7">
              <w:rPr>
                <w:lang w:val="ru-RU"/>
              </w:rPr>
              <w:t>линии</w:t>
            </w:r>
            <w:r>
              <w:rPr>
                <w:lang w:val="ru-RU"/>
              </w:rPr>
              <w:t xml:space="preserve"> в Районе 3. </w:t>
            </w:r>
          </w:p>
        </w:tc>
      </w:tr>
    </w:tbl>
    <w:p w:rsidR="001130C0" w:rsidRDefault="001130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4D02D8" w:rsidRDefault="004D02D8" w:rsidP="004D02D8">
      <w:pPr>
        <w:pStyle w:val="TableNo"/>
        <w:rPr>
          <w:lang w:val="ru-RU"/>
        </w:rPr>
      </w:pPr>
      <w:r>
        <w:rPr>
          <w:lang w:val="ru-RU"/>
        </w:rPr>
        <w:lastRenderedPageBreak/>
        <w:t>ТАБЛИЦА 1b</w:t>
      </w:r>
    </w:p>
    <w:p w:rsidR="004D02D8" w:rsidRDefault="004D02D8" w:rsidP="00854CB7">
      <w:pPr>
        <w:pStyle w:val="Tabletitle"/>
        <w:rPr>
          <w:lang w:val="ru-RU"/>
        </w:rPr>
      </w:pPr>
      <w:r>
        <w:rPr>
          <w:lang w:val="ru-RU"/>
        </w:rPr>
        <w:t xml:space="preserve">Годовая готовность обслуживания и суммарное ослабление в линии на линии вниз РСС </w:t>
      </w:r>
      <w:r>
        <w:rPr>
          <w:lang w:val="ru-RU"/>
        </w:rPr>
        <w:br/>
        <w:t xml:space="preserve">в полосе частот 21 ГГц в некоторых взятых в качестве примеров городах в Районе </w:t>
      </w:r>
      <w:r w:rsidR="00854CB7">
        <w:rPr>
          <w:lang w:val="ru-RU"/>
        </w:rPr>
        <w:t>1</w:t>
      </w:r>
    </w:p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3"/>
        <w:gridCol w:w="1702"/>
        <w:gridCol w:w="1560"/>
        <w:gridCol w:w="1560"/>
        <w:gridCol w:w="1560"/>
        <w:gridCol w:w="1560"/>
      </w:tblGrid>
      <w:tr w:rsidR="004D02D8" w:rsidTr="001130C0">
        <w:trPr>
          <w:cantSplit/>
          <w:jc w:val="center"/>
        </w:trPr>
        <w:tc>
          <w:tcPr>
            <w:tcW w:w="3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2D8" w:rsidRDefault="004D02D8">
            <w:pPr>
              <w:pStyle w:val="Tablehead"/>
              <w:rPr>
                <w:lang w:val="ru-RU" w:eastAsia="ja-JP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Default="004D02D8">
            <w:pPr>
              <w:pStyle w:val="Tablehead"/>
              <w:rPr>
                <w:lang w:val="ru-RU" w:eastAsia="ja-JP"/>
              </w:rPr>
            </w:pPr>
            <w:r>
              <w:rPr>
                <w:lang w:val="ru-RU" w:eastAsia="ja-JP"/>
              </w:rPr>
              <w:t>Москва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Default="004D02D8">
            <w:pPr>
              <w:pStyle w:val="Tablehead"/>
              <w:rPr>
                <w:lang w:val="ru-RU" w:eastAsia="ja-JP"/>
              </w:rPr>
            </w:pPr>
            <w:r>
              <w:rPr>
                <w:lang w:val="ru-RU" w:eastAsia="ja-JP"/>
              </w:rPr>
              <w:t>Париж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Default="004D02D8">
            <w:pPr>
              <w:pStyle w:val="Tablehead"/>
              <w:rPr>
                <w:lang w:val="ru-RU" w:eastAsia="ja-JP"/>
              </w:rPr>
            </w:pPr>
            <w:r>
              <w:rPr>
                <w:lang w:val="ru-RU" w:eastAsia="ja-JP"/>
              </w:rPr>
              <w:t>Стамбул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Default="004D02D8">
            <w:pPr>
              <w:pStyle w:val="Tablehead"/>
              <w:rPr>
                <w:lang w:val="ru-RU" w:eastAsia="ja-JP"/>
              </w:rPr>
            </w:pPr>
            <w:r>
              <w:rPr>
                <w:lang w:val="ru-RU" w:eastAsia="ja-JP"/>
              </w:rPr>
              <w:t>Претория</w:t>
            </w:r>
          </w:p>
        </w:tc>
      </w:tr>
      <w:tr w:rsidR="004D02D8" w:rsidTr="001130C0">
        <w:trPr>
          <w:cantSplit/>
          <w:jc w:val="center"/>
        </w:trPr>
        <w:tc>
          <w:tcPr>
            <w:tcW w:w="3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Default="004D02D8" w:rsidP="001130C0">
            <w:pPr>
              <w:pStyle w:val="Tabletext"/>
              <w:jc w:val="left"/>
              <w:rPr>
                <w:lang w:val="ru-RU"/>
              </w:rPr>
            </w:pPr>
            <w:r>
              <w:rPr>
                <w:lang w:val="ru-RU" w:eastAsia="ja-JP"/>
              </w:rPr>
              <w:t>Угол места (градусы)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Default="004D02D8">
            <w:pPr>
              <w:pStyle w:val="Tabletext"/>
              <w:keepNext/>
              <w:ind w:right="397"/>
              <w:jc w:val="right"/>
              <w:rPr>
                <w:lang w:val="ru-RU" w:eastAsia="ja-JP"/>
              </w:rPr>
            </w:pPr>
            <w:r>
              <w:rPr>
                <w:lang w:val="ru-RU" w:eastAsia="ja-JP"/>
              </w:rPr>
              <w:t>26,5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Default="004D02D8">
            <w:pPr>
              <w:pStyle w:val="Tabletext"/>
              <w:keepNext/>
              <w:ind w:right="397"/>
              <w:jc w:val="right"/>
              <w:rPr>
                <w:lang w:val="ru-RU" w:eastAsia="ja-JP"/>
              </w:rPr>
            </w:pPr>
            <w:r>
              <w:rPr>
                <w:lang w:val="ru-RU" w:eastAsia="ja-JP"/>
              </w:rPr>
              <w:t>33,2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Default="004D02D8">
            <w:pPr>
              <w:pStyle w:val="Tabletext"/>
              <w:keepNext/>
              <w:ind w:right="397"/>
              <w:jc w:val="right"/>
              <w:rPr>
                <w:lang w:val="ru-RU" w:eastAsia="ja-JP"/>
              </w:rPr>
            </w:pPr>
            <w:r>
              <w:rPr>
                <w:lang w:val="ru-RU" w:eastAsia="ja-JP"/>
              </w:rPr>
              <w:t>40,7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Default="004D02D8">
            <w:pPr>
              <w:pStyle w:val="Tabletext"/>
              <w:keepNext/>
              <w:ind w:right="397"/>
              <w:jc w:val="right"/>
              <w:rPr>
                <w:lang w:val="ru-RU" w:eastAsia="ja-JP"/>
              </w:rPr>
            </w:pPr>
            <w:r>
              <w:rPr>
                <w:lang w:val="ru-RU" w:eastAsia="ja-JP"/>
              </w:rPr>
              <w:t>59,9</w:t>
            </w:r>
          </w:p>
        </w:tc>
      </w:tr>
      <w:tr w:rsidR="004D02D8" w:rsidTr="001130C0">
        <w:trPr>
          <w:cantSplit/>
          <w:jc w:val="center"/>
        </w:trPr>
        <w:tc>
          <w:tcPr>
            <w:tcW w:w="3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Default="004D02D8" w:rsidP="001130C0">
            <w:pPr>
              <w:pStyle w:val="Tabletext"/>
              <w:jc w:val="left"/>
              <w:rPr>
                <w:highlight w:val="yellow"/>
                <w:lang w:val="ru-RU"/>
              </w:rPr>
            </w:pPr>
            <w:r>
              <w:rPr>
                <w:lang w:val="ru-RU"/>
              </w:rPr>
              <w:t>Интенсивность дождя для 0,01% времени года (мм/ч)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2D8" w:rsidRDefault="004D02D8">
            <w:pPr>
              <w:pStyle w:val="Tabletext"/>
              <w:keepNext/>
              <w:ind w:right="397"/>
              <w:jc w:val="right"/>
              <w:rPr>
                <w:lang w:val="ru-RU" w:eastAsia="ja-JP"/>
              </w:rPr>
            </w:pPr>
            <w:r>
              <w:rPr>
                <w:lang w:val="ru-RU" w:eastAsia="ja-JP"/>
              </w:rPr>
              <w:t>31,7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2D8" w:rsidRDefault="004D02D8">
            <w:pPr>
              <w:pStyle w:val="Tabletext"/>
              <w:keepNext/>
              <w:ind w:right="397"/>
              <w:jc w:val="right"/>
              <w:rPr>
                <w:lang w:val="ru-RU" w:eastAsia="ja-JP"/>
              </w:rPr>
            </w:pPr>
            <w:r>
              <w:rPr>
                <w:lang w:val="ru-RU" w:eastAsia="ja-JP"/>
              </w:rPr>
              <w:t>31,8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2D8" w:rsidRDefault="004D02D8">
            <w:pPr>
              <w:pStyle w:val="Tabletext"/>
              <w:keepNext/>
              <w:ind w:right="397"/>
              <w:jc w:val="right"/>
              <w:rPr>
                <w:lang w:val="ru-RU" w:eastAsia="ja-JP"/>
              </w:rPr>
            </w:pPr>
            <w:r>
              <w:rPr>
                <w:lang w:val="ru-RU" w:eastAsia="ja-JP"/>
              </w:rPr>
              <w:t>38,9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2D8" w:rsidRDefault="004D02D8">
            <w:pPr>
              <w:pStyle w:val="Tabletext"/>
              <w:keepNext/>
              <w:ind w:right="397"/>
              <w:jc w:val="right"/>
              <w:rPr>
                <w:lang w:val="ru-RU" w:eastAsia="ja-JP"/>
              </w:rPr>
            </w:pPr>
            <w:r>
              <w:rPr>
                <w:lang w:val="ru-RU" w:eastAsia="ja-JP"/>
              </w:rPr>
              <w:t>53,2</w:t>
            </w:r>
          </w:p>
        </w:tc>
      </w:tr>
      <w:tr w:rsidR="004D02D8" w:rsidTr="001130C0">
        <w:trPr>
          <w:cantSplit/>
          <w:jc w:val="center"/>
        </w:trPr>
        <w:tc>
          <w:tcPr>
            <w:tcW w:w="34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Pr="00854CB7" w:rsidRDefault="004D02D8" w:rsidP="001130C0">
            <w:pPr>
              <w:pStyle w:val="Tabletext"/>
              <w:keepNext/>
              <w:keepLines/>
              <w:tabs>
                <w:tab w:val="left" w:leader="dot" w:pos="7938"/>
                <w:tab w:val="center" w:pos="9526"/>
              </w:tabs>
              <w:ind w:left="567" w:hanging="567"/>
              <w:jc w:val="left"/>
            </w:pPr>
            <w:r>
              <w:rPr>
                <w:lang w:val="ru-RU" w:eastAsia="ja-JP"/>
              </w:rPr>
              <w:t>п</w:t>
            </w:r>
            <w:r w:rsidRPr="00854CB7">
              <w:rPr>
                <w:lang w:eastAsia="ja-JP"/>
              </w:rPr>
              <w:t>.</w:t>
            </w:r>
            <w:r>
              <w:rPr>
                <w:lang w:val="ru-RU" w:eastAsia="ja-JP"/>
              </w:rPr>
              <w:t>п</w:t>
            </w:r>
            <w:r w:rsidRPr="00854CB7">
              <w:rPr>
                <w:lang w:eastAsia="ja-JP"/>
              </w:rPr>
              <w:t>.</w:t>
            </w:r>
            <w:r>
              <w:rPr>
                <w:lang w:val="ru-RU" w:eastAsia="ja-JP"/>
              </w:rPr>
              <w:t>м</w:t>
            </w:r>
            <w:r w:rsidRPr="00854CB7">
              <w:rPr>
                <w:lang w:eastAsia="ja-JP"/>
              </w:rPr>
              <w:t>. (</w:t>
            </w:r>
            <w:r>
              <w:rPr>
                <w:lang w:val="ru-RU"/>
              </w:rPr>
              <w:t>дБ</w:t>
            </w:r>
            <w:r w:rsidRPr="00854CB7">
              <w:t>(</w:t>
            </w:r>
            <w:r>
              <w:rPr>
                <w:lang w:val="ru-RU"/>
              </w:rPr>
              <w:t>Вт</w:t>
            </w:r>
            <w:r w:rsidRPr="00854CB7">
              <w:t>/(</w:t>
            </w:r>
            <w:r>
              <w:rPr>
                <w:lang w:val="ru-RU"/>
              </w:rPr>
              <w:t>м</w:t>
            </w:r>
            <w:r w:rsidRPr="00854CB7">
              <w:rPr>
                <w:vertAlign w:val="superscript"/>
                <w:lang w:val="ru-RU"/>
              </w:rPr>
              <w:t>2</w:t>
            </w:r>
            <w:r w:rsidRPr="00854CB7">
              <w:rPr>
                <w:lang w:eastAsia="ja-JP"/>
              </w:rPr>
              <w:t> · 1 </w:t>
            </w:r>
            <w:r>
              <w:rPr>
                <w:lang w:val="ru-RU" w:eastAsia="ja-JP"/>
              </w:rPr>
              <w:t>МГц</w:t>
            </w:r>
            <w:r w:rsidRPr="00854CB7">
              <w:rPr>
                <w:lang w:eastAsia="ja-JP"/>
              </w:rPr>
              <w:t>)))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2D8" w:rsidRDefault="004D02D8">
            <w:pPr>
              <w:pStyle w:val="Tabletext"/>
              <w:keepNext/>
              <w:ind w:right="397"/>
              <w:jc w:val="right"/>
              <w:rPr>
                <w:lang w:val="ru-RU" w:eastAsia="ja-JP"/>
              </w:rPr>
            </w:pPr>
            <w:r>
              <w:rPr>
                <w:lang w:val="ru-RU" w:eastAsia="ja-JP"/>
              </w:rPr>
              <w:t>–105,0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2D8" w:rsidRDefault="004D02D8">
            <w:pPr>
              <w:pStyle w:val="Tabletext"/>
              <w:keepNext/>
              <w:ind w:right="397"/>
              <w:jc w:val="right"/>
              <w:rPr>
                <w:lang w:val="ru-RU" w:eastAsia="ja-JP"/>
              </w:rPr>
            </w:pPr>
            <w:r>
              <w:rPr>
                <w:lang w:val="ru-RU" w:eastAsia="ja-JP"/>
              </w:rPr>
              <w:t>–105,0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2D8" w:rsidRDefault="004D02D8">
            <w:pPr>
              <w:pStyle w:val="Tabletext"/>
              <w:keepNext/>
              <w:ind w:right="397"/>
              <w:jc w:val="right"/>
              <w:rPr>
                <w:lang w:val="ru-RU" w:eastAsia="ja-JP"/>
              </w:rPr>
            </w:pPr>
            <w:r>
              <w:rPr>
                <w:lang w:val="ru-RU" w:eastAsia="ja-JP"/>
              </w:rPr>
              <w:t>–105,0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Default="004D02D8">
            <w:pPr>
              <w:pStyle w:val="Tabletext"/>
              <w:keepNext/>
              <w:ind w:right="397"/>
              <w:jc w:val="right"/>
              <w:rPr>
                <w:lang w:val="ru-RU" w:eastAsia="ja-JP"/>
              </w:rPr>
            </w:pPr>
            <w:r>
              <w:rPr>
                <w:lang w:val="ru-RU"/>
              </w:rPr>
              <w:t>−</w:t>
            </w:r>
            <w:r>
              <w:rPr>
                <w:lang w:val="ru-RU" w:eastAsia="ja-JP"/>
              </w:rPr>
              <w:t>105,0</w:t>
            </w:r>
          </w:p>
        </w:tc>
      </w:tr>
      <w:tr w:rsidR="004D02D8" w:rsidTr="001130C0">
        <w:trPr>
          <w:cantSplit/>
          <w:jc w:val="center"/>
        </w:trPr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2D8" w:rsidRDefault="004D02D8" w:rsidP="001130C0">
            <w:pPr>
              <w:pStyle w:val="Tabletext"/>
              <w:jc w:val="left"/>
              <w:rPr>
                <w:lang w:val="ru-RU" w:eastAsia="ja-JP"/>
              </w:rPr>
            </w:pPr>
            <w:r>
              <w:rPr>
                <w:lang w:val="ru-RU" w:eastAsia="ja-JP"/>
              </w:rPr>
              <w:t xml:space="preserve">Общее отношение несущая/шум </w:t>
            </w:r>
            <w:r>
              <w:rPr>
                <w:i/>
                <w:iCs/>
                <w:lang w:val="ru-RU"/>
              </w:rPr>
              <w:t>C</w:t>
            </w:r>
            <w:r>
              <w:rPr>
                <w:lang w:val="ru-RU"/>
              </w:rPr>
              <w:t>/</w:t>
            </w:r>
            <w:r>
              <w:rPr>
                <w:i/>
                <w:iCs/>
                <w:lang w:val="ru-RU"/>
              </w:rPr>
              <w:t>N)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2D8" w:rsidRDefault="004D02D8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5,6 дБ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Default="004D02D8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99,99%</w:t>
            </w:r>
            <w:r>
              <w:rPr>
                <w:lang w:val="ru-RU"/>
              </w:rPr>
              <w:br/>
              <w:t>(22,0 дБ)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Default="004D02D8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99,99%</w:t>
            </w:r>
            <w:r>
              <w:rPr>
                <w:lang w:val="ru-RU"/>
              </w:rPr>
              <w:br/>
              <w:t>(21,9 дБ)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Default="004D02D8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99,99</w:t>
            </w:r>
            <w:r>
              <w:rPr>
                <w:lang w:val="ru-RU"/>
              </w:rPr>
              <w:br/>
              <w:t>(21,9 дБ)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Default="004D02D8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99,97%</w:t>
            </w:r>
            <w:r>
              <w:rPr>
                <w:lang w:val="ru-RU"/>
              </w:rPr>
              <w:br/>
              <w:t>(22,1 дБ)</w:t>
            </w:r>
          </w:p>
        </w:tc>
      </w:tr>
      <w:tr w:rsidR="004D02D8" w:rsidTr="001130C0">
        <w:trPr>
          <w:cantSplit/>
          <w:jc w:val="center"/>
        </w:trPr>
        <w:tc>
          <w:tcPr>
            <w:tcW w:w="1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2D8" w:rsidRDefault="004D02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sz w:val="20"/>
                <w:lang w:val="ru-RU" w:eastAsia="ja-JP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2D8" w:rsidRDefault="004D02D8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7,5 дБ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Default="004D02D8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99,99%</w:t>
            </w:r>
            <w:r>
              <w:rPr>
                <w:lang w:val="ru-RU"/>
              </w:rPr>
              <w:br/>
              <w:t>(20,1 дБ)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Default="004D02D8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99,99%</w:t>
            </w:r>
            <w:r>
              <w:rPr>
                <w:lang w:val="ru-RU"/>
              </w:rPr>
              <w:br/>
              <w:t>(20,0 дБ)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Default="004D02D8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99,99%</w:t>
            </w:r>
            <w:r>
              <w:rPr>
                <w:lang w:val="ru-RU"/>
              </w:rPr>
              <w:br/>
              <w:t>(20,0 дБ)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Default="004D02D8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99,97%</w:t>
            </w:r>
            <w:r>
              <w:rPr>
                <w:lang w:val="ru-RU"/>
              </w:rPr>
              <w:br/>
              <w:t>(20,2 дБ)</w:t>
            </w:r>
          </w:p>
        </w:tc>
      </w:tr>
      <w:tr w:rsidR="004D02D8" w:rsidTr="001130C0">
        <w:trPr>
          <w:cantSplit/>
          <w:jc w:val="center"/>
        </w:trPr>
        <w:tc>
          <w:tcPr>
            <w:tcW w:w="1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2D8" w:rsidRDefault="004D02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left"/>
              <w:rPr>
                <w:sz w:val="20"/>
                <w:lang w:val="ru-RU" w:eastAsia="ja-JP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02D8" w:rsidRDefault="004D02D8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10,7 дБ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Default="004D02D8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99,98%</w:t>
            </w:r>
            <w:r>
              <w:rPr>
                <w:lang w:val="ru-RU"/>
              </w:rPr>
              <w:br/>
              <w:t>(16,8 дБ)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Default="004D02D8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99,99%</w:t>
            </w:r>
            <w:r>
              <w:rPr>
                <w:lang w:val="ru-RU"/>
              </w:rPr>
              <w:br/>
              <w:t>(16,7 дБ)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Default="004D02D8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99,99%</w:t>
            </w:r>
            <w:r>
              <w:rPr>
                <w:lang w:val="ru-RU"/>
              </w:rPr>
              <w:br/>
              <w:t>(16,7 дБ)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02D8" w:rsidRDefault="004D02D8">
            <w:pPr>
              <w:pStyle w:val="Tabletext"/>
              <w:jc w:val="center"/>
              <w:rPr>
                <w:lang w:val="ru-RU"/>
              </w:rPr>
            </w:pPr>
            <w:r>
              <w:rPr>
                <w:lang w:val="ru-RU"/>
              </w:rPr>
              <w:t>99,95%</w:t>
            </w:r>
            <w:r>
              <w:rPr>
                <w:lang w:val="ru-RU"/>
              </w:rPr>
              <w:br/>
              <w:t>(16,9 дБ)</w:t>
            </w:r>
          </w:p>
        </w:tc>
      </w:tr>
      <w:tr w:rsidR="004D02D8" w:rsidRPr="00854CB7" w:rsidTr="001130C0">
        <w:trPr>
          <w:cantSplit/>
          <w:jc w:val="center"/>
        </w:trPr>
        <w:tc>
          <w:tcPr>
            <w:tcW w:w="9645" w:type="dxa"/>
            <w:gridSpan w:val="6"/>
            <w:tcBorders>
              <w:top w:val="nil"/>
              <w:left w:val="nil"/>
              <w:bottom w:val="nil"/>
              <w:right w:val="nil"/>
            </w:tcBorders>
            <w:hideMark/>
          </w:tcPr>
          <w:p w:rsidR="004D02D8" w:rsidRDefault="004D02D8" w:rsidP="003864A8">
            <w:pPr>
              <w:pStyle w:val="TableLegendNote"/>
              <w:rPr>
                <w:lang w:val="ru-RU"/>
              </w:rPr>
            </w:pPr>
            <w:r>
              <w:rPr>
                <w:lang w:val="ru-RU"/>
              </w:rPr>
              <w:t>ПРИМЕЧАНИЕ. – Места, указанные в таблице</w:t>
            </w:r>
            <w:r w:rsidR="003864A8">
              <w:rPr>
                <w:lang w:val="ru-RU"/>
              </w:rPr>
              <w:t> </w:t>
            </w:r>
            <w:bookmarkStart w:id="3" w:name="_GoBack"/>
            <w:bookmarkEnd w:id="3"/>
            <w:r>
              <w:rPr>
                <w:lang w:val="ru-RU"/>
              </w:rPr>
              <w:t>1</w:t>
            </w:r>
            <w:r>
              <w:t>b</w:t>
            </w:r>
            <w:r>
              <w:rPr>
                <w:lang w:val="ru-RU"/>
              </w:rPr>
              <w:t>, приведены только в качестве примеров готовности обслуживания и суммарного ослабления в линии в Районе 1.</w:t>
            </w:r>
          </w:p>
        </w:tc>
      </w:tr>
    </w:tbl>
    <w:p w:rsidR="00135623" w:rsidRPr="00CB5488" w:rsidRDefault="004D02D8" w:rsidP="004D02D8">
      <w:pPr>
        <w:spacing w:before="720"/>
        <w:jc w:val="center"/>
        <w:rPr>
          <w:lang w:val="en-US"/>
        </w:rPr>
      </w:pPr>
      <w:r>
        <w:t>______________</w:t>
      </w:r>
    </w:p>
    <w:sectPr w:rsidR="00135623" w:rsidRPr="00CB5488" w:rsidSect="00F064C9">
      <w:headerReference w:type="default" r:id="rId15"/>
      <w:headerReference w:type="first" r:id="rId16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06B0838A" wp14:editId="3CB2F96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2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488" w:rsidRDefault="00CB5488" w:rsidP="00020FCC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3864A8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020FCC" w:rsidRPr="00553C5F">
      <w:rPr>
        <w:b/>
        <w:szCs w:val="22"/>
        <w:lang w:val="ru-RU"/>
      </w:rPr>
      <w:t>Рек.</w:t>
    </w:r>
    <w:r w:rsidR="00020FCC" w:rsidRPr="00553C5F">
      <w:rPr>
        <w:b/>
        <w:szCs w:val="22"/>
        <w:lang w:val="en-US"/>
      </w:rPr>
      <w:t xml:space="preserve"> </w:t>
    </w:r>
    <w:r w:rsidR="00020FCC" w:rsidRPr="00553C5F">
      <w:rPr>
        <w:b/>
        <w:szCs w:val="22"/>
        <w:lang w:val="ru-RU"/>
      </w:rPr>
      <w:t xml:space="preserve"> </w:t>
    </w:r>
    <w:r w:rsidR="00020FCC" w:rsidRPr="00553C5F">
      <w:rPr>
        <w:b/>
        <w:bCs/>
        <w:szCs w:val="22"/>
        <w:lang w:val="en-US"/>
      </w:rPr>
      <w:fldChar w:fldCharType="begin"/>
    </w:r>
    <w:r w:rsidR="00020FCC" w:rsidRPr="00553C5F">
      <w:rPr>
        <w:b/>
        <w:bCs/>
        <w:szCs w:val="22"/>
        <w:lang w:val="en-US"/>
      </w:rPr>
      <w:instrText>styleref href</w:instrText>
    </w:r>
    <w:r w:rsidR="00020FCC" w:rsidRPr="00553C5F">
      <w:rPr>
        <w:b/>
        <w:bCs/>
        <w:szCs w:val="22"/>
        <w:lang w:val="en-US"/>
      </w:rPr>
      <w:fldChar w:fldCharType="separate"/>
    </w:r>
    <w:r w:rsidR="003864A8">
      <w:rPr>
        <w:b/>
        <w:bCs/>
        <w:noProof/>
        <w:szCs w:val="22"/>
        <w:lang w:val="en-US"/>
      </w:rPr>
      <w:t>МСЭ-R  BO.1776-1</w:t>
    </w:r>
    <w:r w:rsidR="00020FCC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5488" w:rsidRDefault="00CB5488">
    <w:pPr>
      <w:pStyle w:val="Header"/>
    </w:pPr>
    <w:r>
      <w:tab/>
    </w:r>
    <w:fldSimple w:instr=" DOCPROPERTY &quot;Header&quot; \* MERGEFORMAT ">
      <w:r w:rsidRPr="00A936C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54CB7">
      <w:rPr>
        <w:b/>
        <w:bCs/>
        <w:noProof/>
      </w:rPr>
      <w:t>МСЭ-R  BO.1776-1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54CB7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CB7" w:rsidRDefault="00854CB7" w:rsidP="00854CB7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864A8">
      <w:rPr>
        <w:b/>
        <w:bCs/>
        <w:noProof/>
        <w:szCs w:val="22"/>
        <w:lang w:val="en-US"/>
      </w:rPr>
      <w:t>МСЭ-R  BO.1776-1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3864A8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4C9" w:rsidRPr="009D71E4" w:rsidRDefault="000F09B1" w:rsidP="009D71E4">
    <w:pPr>
      <w:pStyle w:val="Header"/>
      <w:rPr>
        <w:b/>
        <w:bCs/>
      </w:rPr>
    </w:pPr>
    <w:r w:rsidRPr="009D71E4">
      <w:rPr>
        <w:b/>
        <w:bCs/>
      </w:rPr>
      <w:tab/>
      <w:t xml:space="preserve">Рек.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854CB7">
      <w:rPr>
        <w:b/>
        <w:bCs/>
        <w:noProof/>
      </w:rPr>
      <w:t>МСЭ-R  BO.1776-1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854CB7">
      <w:rPr>
        <w:rStyle w:val="PageNumber"/>
        <w:b/>
        <w:bCs/>
        <w:noProof/>
      </w:rPr>
      <w:t>1</w:t>
    </w:r>
    <w:r w:rsidRPr="009D71E4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198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20FCC"/>
    <w:rsid w:val="00036EE3"/>
    <w:rsid w:val="00072484"/>
    <w:rsid w:val="00096612"/>
    <w:rsid w:val="00097C70"/>
    <w:rsid w:val="000B7683"/>
    <w:rsid w:val="000D0677"/>
    <w:rsid w:val="000E6A6E"/>
    <w:rsid w:val="000F09B1"/>
    <w:rsid w:val="000F2C79"/>
    <w:rsid w:val="00102934"/>
    <w:rsid w:val="001130C0"/>
    <w:rsid w:val="00127730"/>
    <w:rsid w:val="00131900"/>
    <w:rsid w:val="00135623"/>
    <w:rsid w:val="00147110"/>
    <w:rsid w:val="001511A6"/>
    <w:rsid w:val="00197B47"/>
    <w:rsid w:val="001D407F"/>
    <w:rsid w:val="002058CE"/>
    <w:rsid w:val="002165F1"/>
    <w:rsid w:val="0025422D"/>
    <w:rsid w:val="00276D21"/>
    <w:rsid w:val="00296D7F"/>
    <w:rsid w:val="002B3CF6"/>
    <w:rsid w:val="002C768A"/>
    <w:rsid w:val="002D76C4"/>
    <w:rsid w:val="002F5199"/>
    <w:rsid w:val="00305A41"/>
    <w:rsid w:val="00356B5D"/>
    <w:rsid w:val="0036003A"/>
    <w:rsid w:val="003646F2"/>
    <w:rsid w:val="003864A8"/>
    <w:rsid w:val="003C38BA"/>
    <w:rsid w:val="00420DFD"/>
    <w:rsid w:val="00424855"/>
    <w:rsid w:val="00437A76"/>
    <w:rsid w:val="00470E28"/>
    <w:rsid w:val="00477D27"/>
    <w:rsid w:val="004934C5"/>
    <w:rsid w:val="004D02D8"/>
    <w:rsid w:val="004E05E5"/>
    <w:rsid w:val="00556548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B3748"/>
    <w:rsid w:val="006E1131"/>
    <w:rsid w:val="006E2037"/>
    <w:rsid w:val="006E6199"/>
    <w:rsid w:val="00712870"/>
    <w:rsid w:val="00743D85"/>
    <w:rsid w:val="00753CF4"/>
    <w:rsid w:val="007565CC"/>
    <w:rsid w:val="00763B9A"/>
    <w:rsid w:val="007A6AA8"/>
    <w:rsid w:val="007D056D"/>
    <w:rsid w:val="008310C9"/>
    <w:rsid w:val="00852A54"/>
    <w:rsid w:val="00853CC5"/>
    <w:rsid w:val="00854CB7"/>
    <w:rsid w:val="00870848"/>
    <w:rsid w:val="008C7848"/>
    <w:rsid w:val="008E79DF"/>
    <w:rsid w:val="00906589"/>
    <w:rsid w:val="00906AD6"/>
    <w:rsid w:val="00917AF2"/>
    <w:rsid w:val="0092418A"/>
    <w:rsid w:val="00934ED7"/>
    <w:rsid w:val="009543C3"/>
    <w:rsid w:val="00966E1B"/>
    <w:rsid w:val="009947C0"/>
    <w:rsid w:val="009A1747"/>
    <w:rsid w:val="009D71E4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302B"/>
    <w:rsid w:val="00B033C8"/>
    <w:rsid w:val="00B33425"/>
    <w:rsid w:val="00B44E24"/>
    <w:rsid w:val="00B54ECC"/>
    <w:rsid w:val="00B714F3"/>
    <w:rsid w:val="00B87B6B"/>
    <w:rsid w:val="00BB283C"/>
    <w:rsid w:val="00BC5D77"/>
    <w:rsid w:val="00BF0366"/>
    <w:rsid w:val="00BF487A"/>
    <w:rsid w:val="00C46BD9"/>
    <w:rsid w:val="00C55258"/>
    <w:rsid w:val="00C73560"/>
    <w:rsid w:val="00CB0F14"/>
    <w:rsid w:val="00CB5488"/>
    <w:rsid w:val="00CD659B"/>
    <w:rsid w:val="00CE0A43"/>
    <w:rsid w:val="00D54BEC"/>
    <w:rsid w:val="00D83556"/>
    <w:rsid w:val="00DF4176"/>
    <w:rsid w:val="00E17240"/>
    <w:rsid w:val="00E74595"/>
    <w:rsid w:val="00EB7C57"/>
    <w:rsid w:val="00ED2695"/>
    <w:rsid w:val="00ED5D31"/>
    <w:rsid w:val="00F074C2"/>
    <w:rsid w:val="00F30C9B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09B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A127F"/>
  </w:style>
  <w:style w:type="paragraph" w:customStyle="1" w:styleId="Headingb">
    <w:name w:val="Heading_b"/>
    <w:basedOn w:val="Heading3"/>
    <w:next w:val="Normal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0F09B1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8E79D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0F09B1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F09B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0F09B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0F09B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F09B1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0F09B1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F09B1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semiHidden/>
    <w:rsid w:val="005A127F"/>
    <w:rPr>
      <w:position w:val="6"/>
      <w:sz w:val="18"/>
    </w:rPr>
  </w:style>
  <w:style w:type="paragraph" w:styleId="FootnoteText">
    <w:name w:val="footnote text"/>
    <w:basedOn w:val="Normal"/>
    <w:semiHidden/>
    <w:rsid w:val="005A127F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0F09B1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0F09B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0F09B1"/>
  </w:style>
  <w:style w:type="paragraph" w:customStyle="1" w:styleId="Reptitle">
    <w:name w:val="Rep_title"/>
    <w:basedOn w:val="Rectitle"/>
    <w:next w:val="Repref"/>
    <w:rsid w:val="000F09B1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0F09B1"/>
  </w:style>
  <w:style w:type="paragraph" w:customStyle="1" w:styleId="Restitle">
    <w:name w:val="Res_title"/>
    <w:basedOn w:val="Normal"/>
    <w:next w:val="Resref"/>
    <w:rsid w:val="000F09B1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852A54"/>
    <w:rPr>
      <w:sz w:val="24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097C70"/>
    <w:pPr>
      <w:ind w:left="-85" w:firstLine="0"/>
    </w:pPr>
    <w:rPr>
      <w:lang w:val="en-US"/>
    </w:rPr>
  </w:style>
  <w:style w:type="character" w:customStyle="1" w:styleId="TabletextChar">
    <w:name w:val="Table_text Char"/>
    <w:link w:val="Tabletext"/>
    <w:locked/>
    <w:rsid w:val="004D02D8"/>
    <w:rPr>
      <w:lang w:val="fr-FR" w:eastAsia="en-US"/>
    </w:rPr>
  </w:style>
  <w:style w:type="paragraph" w:customStyle="1" w:styleId="Reasons">
    <w:name w:val="Reasons"/>
    <w:basedOn w:val="Normal"/>
    <w:qFormat/>
    <w:rsid w:val="004D02D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F09B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A127F"/>
  </w:style>
  <w:style w:type="paragraph" w:customStyle="1" w:styleId="Headingb">
    <w:name w:val="Heading_b"/>
    <w:basedOn w:val="Heading3"/>
    <w:next w:val="Normal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0F09B1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8E79D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0F09B1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F09B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0F09B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0F09B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F09B1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0F09B1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F09B1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semiHidden/>
    <w:rsid w:val="005A127F"/>
    <w:rPr>
      <w:position w:val="6"/>
      <w:sz w:val="18"/>
    </w:rPr>
  </w:style>
  <w:style w:type="paragraph" w:styleId="FootnoteText">
    <w:name w:val="footnote text"/>
    <w:basedOn w:val="Normal"/>
    <w:semiHidden/>
    <w:rsid w:val="005A127F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0F09B1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0F09B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0F09B1"/>
  </w:style>
  <w:style w:type="paragraph" w:customStyle="1" w:styleId="Reptitle">
    <w:name w:val="Rep_title"/>
    <w:basedOn w:val="Rectitle"/>
    <w:next w:val="Repref"/>
    <w:rsid w:val="000F09B1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0F09B1"/>
  </w:style>
  <w:style w:type="paragraph" w:customStyle="1" w:styleId="Restitle">
    <w:name w:val="Res_title"/>
    <w:basedOn w:val="Normal"/>
    <w:next w:val="Resref"/>
    <w:rsid w:val="000F09B1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852A54"/>
    <w:rPr>
      <w:sz w:val="24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097C70"/>
    <w:pPr>
      <w:ind w:left="-85" w:firstLine="0"/>
    </w:pPr>
    <w:rPr>
      <w:lang w:val="en-US"/>
    </w:rPr>
  </w:style>
  <w:style w:type="character" w:customStyle="1" w:styleId="TabletextChar">
    <w:name w:val="Table_text Char"/>
    <w:link w:val="Tabletext"/>
    <w:locked/>
    <w:rsid w:val="004D02D8"/>
    <w:rPr>
      <w:lang w:val="fr-FR" w:eastAsia="en-US"/>
    </w:rPr>
  </w:style>
  <w:style w:type="paragraph" w:customStyle="1" w:styleId="Reasons">
    <w:name w:val="Reasons"/>
    <w:basedOn w:val="Normal"/>
    <w:qFormat/>
    <w:rsid w:val="004D02D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EE336-4B5B-49DC-B86E-9878F709D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6</TotalTime>
  <Pages>5</Pages>
  <Words>1153</Words>
  <Characters>7366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8502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berdyeva</cp:lastModifiedBy>
  <cp:revision>5</cp:revision>
  <cp:lastPrinted>2009-06-26T14:19:00Z</cp:lastPrinted>
  <dcterms:created xsi:type="dcterms:W3CDTF">2012-07-06T11:19:00Z</dcterms:created>
  <dcterms:modified xsi:type="dcterms:W3CDTF">2012-07-06T13:26:00Z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