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95" w:rsidRPr="00EC1673" w:rsidRDefault="00120895" w:rsidP="001472CD">
      <w:pPr>
        <w:pStyle w:val="RecNo"/>
        <w:spacing w:before="240"/>
        <w:jc w:val="center"/>
        <w:rPr>
          <w:b w:val="0"/>
          <w:sz w:val="26"/>
          <w:szCs w:val="26"/>
        </w:rPr>
      </w:pPr>
      <w:r w:rsidRPr="00EC1673">
        <w:rPr>
          <w:b w:val="0"/>
          <w:bCs/>
          <w:sz w:val="26"/>
          <w:szCs w:val="26"/>
          <w:lang w:val="ru-RU"/>
        </w:rPr>
        <w:t>РЕКОМЕНДАЦИЯ МСЭ-D 1</w:t>
      </w:r>
      <w:r w:rsidR="001472CD">
        <w:rPr>
          <w:b w:val="0"/>
          <w:bCs/>
          <w:sz w:val="26"/>
          <w:szCs w:val="26"/>
          <w:lang w:val="fr-CH"/>
        </w:rPr>
        <w:t>9</w:t>
      </w:r>
    </w:p>
    <w:p w:rsidR="00120895" w:rsidRPr="00EC1673" w:rsidRDefault="001472CD" w:rsidP="001472CD">
      <w:pPr>
        <w:pStyle w:val="Rectitle"/>
        <w:rPr>
          <w:rFonts w:ascii="Times New Roman" w:hAnsi="Times New Roman"/>
          <w:sz w:val="26"/>
          <w:szCs w:val="26"/>
          <w:lang w:val="ru-RU"/>
        </w:rPr>
      </w:pPr>
      <w:r w:rsidRPr="001472CD">
        <w:rPr>
          <w:rFonts w:ascii="Times New Roman" w:hAnsi="Times New Roman"/>
          <w:bCs/>
          <w:sz w:val="26"/>
          <w:szCs w:val="26"/>
          <w:lang w:val="ru-RU"/>
        </w:rPr>
        <w:t>Электросвязь для сельских и отдаленных районов</w:t>
      </w:r>
    </w:p>
    <w:p w:rsidR="00120895" w:rsidRDefault="00120895">
      <w:pPr>
        <w:rPr>
          <w:bCs/>
        </w:rPr>
      </w:pPr>
    </w:p>
    <w:p w:rsidR="00120895" w:rsidRDefault="001472CD" w:rsidP="001472CD">
      <w:pPr>
        <w:rPr>
          <w:bCs/>
          <w:lang w:val="ru-RU"/>
        </w:rPr>
      </w:pPr>
      <w:r w:rsidRPr="001472CD">
        <w:rPr>
          <w:bCs/>
          <w:lang w:val="ru-RU"/>
        </w:rPr>
        <w:t>МСЭ-D,</w:t>
      </w:r>
    </w:p>
    <w:p w:rsidR="00120895" w:rsidRDefault="001472CD" w:rsidP="001472CD">
      <w:pPr>
        <w:pStyle w:val="call"/>
        <w:rPr>
          <w:lang w:val="ru-RU"/>
        </w:rPr>
      </w:pPr>
      <w:r w:rsidRPr="001472CD">
        <w:rPr>
          <w:lang w:val="ru-RU"/>
        </w:rPr>
        <w:t>признавая</w:t>
      </w:r>
      <w:r w:rsidRPr="001472CD">
        <w:rPr>
          <w:iCs/>
          <w:lang w:val="ru-RU"/>
        </w:rPr>
        <w:t>,</w:t>
      </w:r>
    </w:p>
    <w:p w:rsidR="00120895" w:rsidRDefault="001472CD" w:rsidP="001472CD">
      <w:pPr>
        <w:rPr>
          <w:lang w:val="fr-CH"/>
        </w:rPr>
      </w:pPr>
      <w:proofErr w:type="spellStart"/>
      <w:r w:rsidRPr="001472CD">
        <w:rPr>
          <w:lang w:val="ru-RU"/>
        </w:rPr>
        <w:t>a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>что в следующих Рекомендациях, подготовленных по итогам работы в исследовательских периодах МСЭ-D 1998–2002 годов и 2002–2006 годов, представлены руководящие указания по ряду вопросов, касающихся электросвязи/ИКТ в сельских и отдаленных районах:</w:t>
      </w:r>
    </w:p>
    <w:p w:rsidR="001472CD" w:rsidRPr="005213ED" w:rsidRDefault="001472CD" w:rsidP="001472CD">
      <w:pPr>
        <w:pStyle w:val="enumlev3"/>
        <w:rPr>
          <w:lang w:val="ru-RU"/>
        </w:rPr>
      </w:pPr>
      <w:r w:rsidRPr="005213ED">
        <w:rPr>
          <w:lang w:val="ru-RU"/>
        </w:rPr>
        <w:sym w:font="Symbol" w:char="F02D"/>
      </w:r>
      <w:r w:rsidRPr="005213ED">
        <w:rPr>
          <w:lang w:val="ru-RU"/>
        </w:rPr>
        <w:tab/>
        <w:t>РЕКОМЕНДАЦИЯ МСЭ-D 6-1, Варианты соответствующих недорогих технологий для предоставления электросвязи в сельских и отдаленных районах (</w:t>
      </w:r>
      <w:r w:rsidRPr="005213ED">
        <w:rPr>
          <w:i/>
          <w:iCs/>
          <w:lang w:val="ru-RU"/>
        </w:rPr>
        <w:t>январь 2002 г.</w:t>
      </w:r>
      <w:r w:rsidRPr="005213ED">
        <w:rPr>
          <w:lang w:val="ru-RU"/>
        </w:rPr>
        <w:t>);</w:t>
      </w:r>
    </w:p>
    <w:p w:rsidR="001472CD" w:rsidRPr="005213ED" w:rsidRDefault="001472CD" w:rsidP="001472CD">
      <w:pPr>
        <w:pStyle w:val="enumlev3"/>
        <w:rPr>
          <w:lang w:val="ru-RU"/>
        </w:rPr>
      </w:pPr>
      <w:r w:rsidRPr="005213ED">
        <w:rPr>
          <w:lang w:val="ru-RU"/>
        </w:rPr>
        <w:sym w:font="Symbol" w:char="F02D"/>
      </w:r>
      <w:r w:rsidRPr="005213ED">
        <w:rPr>
          <w:lang w:val="ru-RU"/>
        </w:rPr>
        <w:tab/>
        <w:t>РЕКОМЕНДАЦИЯ МСЭ-D 7-1, Составление и реализация национальных планов развития электросвязи для сельских и отдаленных районов (</w:t>
      </w:r>
      <w:r w:rsidRPr="005213ED">
        <w:rPr>
          <w:i/>
          <w:iCs/>
          <w:lang w:val="ru-RU"/>
        </w:rPr>
        <w:t>январь 2002 г.</w:t>
      </w:r>
      <w:r w:rsidRPr="005213ED">
        <w:rPr>
          <w:lang w:val="ru-RU"/>
        </w:rPr>
        <w:t>);</w:t>
      </w:r>
    </w:p>
    <w:p w:rsidR="001472CD" w:rsidRPr="005213ED" w:rsidRDefault="001472CD" w:rsidP="001472CD">
      <w:pPr>
        <w:pStyle w:val="enumlev3"/>
        <w:rPr>
          <w:lang w:val="ru-RU"/>
        </w:rPr>
      </w:pPr>
      <w:r w:rsidRPr="005213ED">
        <w:rPr>
          <w:lang w:val="ru-RU"/>
        </w:rPr>
        <w:sym w:font="Symbol" w:char="F02D"/>
      </w:r>
      <w:r w:rsidRPr="005213ED">
        <w:rPr>
          <w:lang w:val="ru-RU"/>
        </w:rPr>
        <w:tab/>
        <w:t>РЕКОМЕНДАЦИЯ МСЭ-D 8-1, Содействие применению средств электросвязи для развития различных секторов в сельских и отдаленных районах (</w:t>
      </w:r>
      <w:r w:rsidRPr="005213ED">
        <w:rPr>
          <w:i/>
          <w:iCs/>
          <w:lang w:val="ru-RU"/>
        </w:rPr>
        <w:t>январь 2002 г.)</w:t>
      </w:r>
      <w:r w:rsidRPr="005213ED">
        <w:rPr>
          <w:lang w:val="ru-RU"/>
        </w:rPr>
        <w:t>;</w:t>
      </w:r>
    </w:p>
    <w:p w:rsidR="001472CD" w:rsidRPr="005213ED" w:rsidRDefault="001472CD" w:rsidP="001472CD">
      <w:pPr>
        <w:pStyle w:val="enumlev3"/>
        <w:rPr>
          <w:lang w:val="ru-RU"/>
        </w:rPr>
      </w:pPr>
      <w:r w:rsidRPr="005213ED">
        <w:rPr>
          <w:lang w:val="ru-RU"/>
        </w:rPr>
        <w:sym w:font="Symbol" w:char="F02D"/>
      </w:r>
      <w:r w:rsidRPr="005213ED">
        <w:rPr>
          <w:lang w:val="ru-RU"/>
        </w:rPr>
        <w:tab/>
        <w:t>РЕКОМЕНДАЦИЯ МСЭ-D 9-1, Соответствующие регуляторные структуры как средство поощрения расширения услуг электросвязи на отдаленные и сельские районы (</w:t>
      </w:r>
      <w:r w:rsidRPr="005213ED">
        <w:rPr>
          <w:i/>
          <w:iCs/>
          <w:lang w:val="ru-RU"/>
        </w:rPr>
        <w:t>январь 2002 г.</w:t>
      </w:r>
      <w:r w:rsidRPr="005213ED">
        <w:rPr>
          <w:lang w:val="ru-RU"/>
        </w:rPr>
        <w:t>);</w:t>
      </w:r>
    </w:p>
    <w:p w:rsidR="001472CD" w:rsidRPr="005213ED" w:rsidRDefault="001472CD" w:rsidP="001472CD">
      <w:pPr>
        <w:pStyle w:val="enumlev3"/>
        <w:rPr>
          <w:lang w:val="ru-RU"/>
        </w:rPr>
      </w:pPr>
      <w:r w:rsidRPr="005213ED">
        <w:rPr>
          <w:lang w:val="ru-RU"/>
        </w:rPr>
        <w:sym w:font="Symbol" w:char="F02D"/>
      </w:r>
      <w:r w:rsidRPr="005213ED">
        <w:rPr>
          <w:lang w:val="ru-RU"/>
        </w:rPr>
        <w:tab/>
        <w:t>РЕКОМЕНДАЦИЯ МСЭ-D 10-1, Имеющиеся варианты финансирования программ и проектов в области электросвязи в сельских и отдаленных районах (</w:t>
      </w:r>
      <w:r w:rsidRPr="005213ED">
        <w:rPr>
          <w:i/>
          <w:iCs/>
          <w:lang w:val="ru-RU"/>
        </w:rPr>
        <w:t>январь 2002 г.</w:t>
      </w:r>
      <w:r w:rsidRPr="005213ED">
        <w:rPr>
          <w:lang w:val="ru-RU"/>
        </w:rPr>
        <w:t>);</w:t>
      </w:r>
    </w:p>
    <w:p w:rsidR="001472CD" w:rsidRPr="005213ED" w:rsidRDefault="001472CD" w:rsidP="001472CD">
      <w:pPr>
        <w:pStyle w:val="enumlev3"/>
        <w:rPr>
          <w:lang w:val="ru-RU"/>
        </w:rPr>
      </w:pPr>
      <w:r w:rsidRPr="005213ED">
        <w:rPr>
          <w:lang w:val="ru-RU"/>
        </w:rPr>
        <w:sym w:font="Symbol" w:char="F02D"/>
      </w:r>
      <w:r w:rsidRPr="005213ED">
        <w:rPr>
          <w:lang w:val="ru-RU"/>
        </w:rPr>
        <w:tab/>
        <w:t>РЕКОМЕНДАЦИЯ МСЭ-D 17, Совместное использование средств в сельских и отдаленных районах (</w:t>
      </w:r>
      <w:r w:rsidRPr="005213ED">
        <w:rPr>
          <w:i/>
          <w:iCs/>
          <w:lang w:val="ru-RU"/>
        </w:rPr>
        <w:t>январь 2002 г.</w:t>
      </w:r>
      <w:r w:rsidRPr="005213ED">
        <w:rPr>
          <w:lang w:val="ru-RU"/>
        </w:rPr>
        <w:t>);</w:t>
      </w:r>
    </w:p>
    <w:p w:rsidR="001472CD" w:rsidRPr="001472CD" w:rsidRDefault="001472CD" w:rsidP="001472CD">
      <w:pPr>
        <w:pStyle w:val="enumlev3"/>
        <w:rPr>
          <w:lang w:val="fr-CH"/>
        </w:rPr>
      </w:pPr>
      <w:r w:rsidRPr="005213ED">
        <w:rPr>
          <w:lang w:val="ru-RU"/>
        </w:rPr>
        <w:sym w:font="Symbol" w:char="F02D"/>
      </w:r>
      <w:r w:rsidRPr="005213ED">
        <w:rPr>
          <w:lang w:val="ru-RU"/>
        </w:rPr>
        <w:tab/>
        <w:t>РЕКОМЕНДАЦИЯ МСЭ-D 18, Возможные преимущества электросвязи в сельских районах (</w:t>
      </w:r>
      <w:r w:rsidRPr="005213ED">
        <w:rPr>
          <w:i/>
          <w:iCs/>
          <w:lang w:val="ru-RU"/>
        </w:rPr>
        <w:t>март 2006 г.</w:t>
      </w:r>
      <w:r w:rsidRPr="005213ED">
        <w:rPr>
          <w:lang w:val="ru-RU"/>
        </w:rPr>
        <w:t>)</w:t>
      </w:r>
      <w:r>
        <w:rPr>
          <w:lang w:val="ru-RU"/>
        </w:rPr>
        <w:t>;</w:t>
      </w:r>
    </w:p>
    <w:p w:rsidR="00120895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t>b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>что 7-я Оперативная группа рассматривает технологические варианты, возможности обслуживания и механизмы финансирования для предоставления электросвязи/ИКТ в сельских и отдаленных районах,</w:t>
      </w:r>
    </w:p>
    <w:p w:rsidR="00120895" w:rsidRDefault="001472CD" w:rsidP="001472CD">
      <w:pPr>
        <w:pStyle w:val="call"/>
        <w:rPr>
          <w:lang w:val="ru-RU"/>
        </w:rPr>
      </w:pPr>
      <w:r w:rsidRPr="001472CD">
        <w:rPr>
          <w:lang w:val="ru-RU"/>
        </w:rPr>
        <w:t>отмечая</w:t>
      </w:r>
      <w:r w:rsidRPr="001472CD">
        <w:rPr>
          <w:iCs/>
          <w:lang w:val="ru-RU"/>
        </w:rPr>
        <w:t>,</w:t>
      </w:r>
    </w:p>
    <w:p w:rsidR="001472CD" w:rsidRPr="001472CD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t>a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 xml:space="preserve">что 7-я Оперативная группа по электросвязи в сельских районах уделяла особое внимание роли учреждений по </w:t>
      </w:r>
      <w:proofErr w:type="spellStart"/>
      <w:r w:rsidRPr="001472CD">
        <w:rPr>
          <w:lang w:val="ru-RU"/>
        </w:rPr>
        <w:t>микрофинансированию</w:t>
      </w:r>
      <w:proofErr w:type="spellEnd"/>
      <w:r w:rsidRPr="001472CD">
        <w:rPr>
          <w:lang w:val="ru-RU"/>
        </w:rPr>
        <w:t xml:space="preserve"> (MFI) в содействии доступу к услугам и приложениям ИКТ путем поддержки мелких предпринимателей; </w:t>
      </w:r>
    </w:p>
    <w:p w:rsidR="001472CD" w:rsidRPr="001472CD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t>b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>отличные результаты исследовательского периода 2006–2010 годов, в которых обобщаются имеющиеся во всем мире знания об успешном предоставлении электросвязи/ИКТ сельским и отдаленным районам, основанные, среди прочего, на информации, представленной в библиотеку по тематическим исследованиям и электронном обсуждении вопросов, определенных Группой Докладчика</w:t>
      </w:r>
      <w:r w:rsidRPr="001472CD">
        <w:rPr>
          <w:vertAlign w:val="superscript"/>
          <w:lang w:val="ru-RU"/>
        </w:rPr>
        <w:footnoteReference w:id="1"/>
      </w:r>
      <w:r w:rsidRPr="001472CD">
        <w:rPr>
          <w:lang w:val="ru-RU"/>
        </w:rPr>
        <w:t>;</w:t>
      </w:r>
    </w:p>
    <w:p w:rsidR="001472CD" w:rsidRPr="001472CD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t>c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 xml:space="preserve">что накопленные во всем мире знания, учитывая развертываемые в сельских и отдаленных районах появляющиеся технологии, обеспечивающие широкополосную связь, проводную среду передачи и беспроводную среду передачи, свидетельствует о стремительном уменьшении стоимости, </w:t>
      </w:r>
      <w:r w:rsidRPr="001472CD">
        <w:rPr>
          <w:lang w:val="ru-RU"/>
        </w:rPr>
        <w:lastRenderedPageBreak/>
        <w:t>увеличении области распространения и пропускной способности и что все эти изменения приводят к тому, что обеспечение соединений в сельских районах становится реальностью;</w:t>
      </w:r>
    </w:p>
    <w:p w:rsidR="001472CD" w:rsidRPr="001472CD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t>d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>что спутниковые технологии, включая решения, связанные со спутниковыми транзитными соединениями, играют уникальную роль в расширении предоставляемых услуг и зон покрытия и что технология терминалов с очень малой апертурой антенны (VSAT) утвердилась в качестве универсальной платформы связи для сельских и отдаленных районов;</w:t>
      </w:r>
    </w:p>
    <w:p w:rsidR="001472CD" w:rsidRPr="001472CD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t>e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>что развертывание платформ на базе IP, обслуживающих обширные районы, может обеспечить предоставление населению сельских районов целого ряда связанных с развитием услуг и приложений, таких как образование, здравоохранение, сельское хозяйство и т. д.;</w:t>
      </w:r>
    </w:p>
    <w:p w:rsidR="001472CD" w:rsidRPr="001472CD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t>f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 xml:space="preserve">что такие изменения обеспечивают возможность предоставления в сельских и отдаленных районах услуг и приложений электросвязи/ИКТ малыми и средними предприятиями, местными органами власти и неправительственными организациями с соответствующими </w:t>
      </w:r>
      <w:proofErr w:type="spellStart"/>
      <w:r w:rsidRPr="001472CD">
        <w:rPr>
          <w:lang w:val="ru-RU"/>
        </w:rPr>
        <w:t>бизнес-моделями</w:t>
      </w:r>
      <w:proofErr w:type="spellEnd"/>
      <w:r w:rsidRPr="001472CD">
        <w:rPr>
          <w:lang w:val="ru-RU"/>
        </w:rPr>
        <w:t>;</w:t>
      </w:r>
    </w:p>
    <w:p w:rsidR="001472CD" w:rsidRPr="001472CD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t>g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>что технические знания и способность внедрения технологий являются важными факторами планирования, внедрения и эксплуатации таких средств;</w:t>
      </w:r>
    </w:p>
    <w:p w:rsidR="001472CD" w:rsidRPr="001472CD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t>h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>что в сельских и отдаленных районах развивающихся стран низкие доходы, неграмотность и отсутствие компьютерной грамотности ограничивают число людей, которые могут получать доступ в интернет у себя дома. Таким группам населения необходимы средства ИКТ общего доступа, которые могут использоваться для связи, предоставления услуг и различной деятельности по созданию потенциала. В этом процессе определенную роль могут играть мелкие предприниматели, местные органы власти, школы и почтовые отделения;</w:t>
      </w:r>
    </w:p>
    <w:p w:rsidR="001472CD" w:rsidRPr="001472CD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t>i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>что предоставление услуг и приложений ИКТ в сельских и отдаленных районах мелкими предпринимателями может приводить к созданию рабочих мест. Такие предприятия могут поддерживаться финансовыми учреждениями и получать помощь в рамках различных государственных программ;</w:t>
      </w:r>
    </w:p>
    <w:p w:rsidR="001472CD" w:rsidRPr="001472CD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t>j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>что важнейшим аспектом поддержки структур в сельских районах является тщательно спланированная программа технического обслуживания и эксплуатации, обеспечивающая содержание в хорошем рабочем состоянии инфраструктуры и связанного с ней оборудования, включая оконечное оборудование;</w:t>
      </w:r>
    </w:p>
    <w:p w:rsidR="001472CD" w:rsidRPr="001472CD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t>k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>плодотворное сотрудничество между БРЭ МСЭ и Всемирным почтовым союзом в содействии использованию почтовых отделений в качестве средства предоставления доступа к услугам и приложениям электросвязи/ИКТ в сельских и отдаленных районах;</w:t>
      </w:r>
    </w:p>
    <w:p w:rsidR="00120895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t>l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>что энергоснабжение является одним из основных ограничивающих факторов распространения электросвязи/ИКТ в сельских и отдаленных районах и что передовые виды использования источников солнечной энергии и энергии ветра, иногда в сочетании, успешно применяются во многих странах для обеспечения надежных источников электроэнергии для базовых станций подвижной связи,</w:t>
      </w:r>
    </w:p>
    <w:p w:rsidR="001472CD" w:rsidRDefault="001472CD" w:rsidP="001472CD">
      <w:pPr>
        <w:pStyle w:val="call"/>
        <w:rPr>
          <w:iCs/>
          <w:lang w:val="fr-CH"/>
        </w:rPr>
      </w:pPr>
      <w:r w:rsidRPr="001472CD">
        <w:rPr>
          <w:lang w:val="ru-RU"/>
        </w:rPr>
        <w:t>учитывая</w:t>
      </w:r>
      <w:r w:rsidRPr="001472CD">
        <w:rPr>
          <w:iCs/>
          <w:lang w:val="ru-RU"/>
        </w:rPr>
        <w:t>,</w:t>
      </w:r>
    </w:p>
    <w:p w:rsidR="001472CD" w:rsidRPr="001472CD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t>a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>что предоставление услуг и приложений электросвязи/ИКТ может существенно способствовать повышению качества жизни жителей сельских и отдаленных районов;</w:t>
      </w:r>
    </w:p>
    <w:p w:rsidR="001472CD" w:rsidRPr="001472CD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t>b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>что стимулирование спроса на электросвязь/ИКТ с помощью активной политики правительств играет ключевую роль в реализации их преимуществ;</w:t>
      </w:r>
    </w:p>
    <w:p w:rsidR="001472CD" w:rsidRPr="001472CD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t>c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>что накопленный во всем мире опыт, связанный с пунктами коллективного доступа (</w:t>
      </w:r>
      <w:proofErr w:type="spellStart"/>
      <w:r w:rsidRPr="001472CD">
        <w:rPr>
          <w:lang w:val="ru-RU"/>
        </w:rPr>
        <w:t>телекиосками</w:t>
      </w:r>
      <w:proofErr w:type="spellEnd"/>
      <w:r w:rsidRPr="001472CD">
        <w:rPr>
          <w:lang w:val="ru-RU"/>
        </w:rPr>
        <w:t xml:space="preserve">, многоцелевыми коллективными центрами электросвязи, </w:t>
      </w:r>
      <w:proofErr w:type="spellStart"/>
      <w:r w:rsidRPr="001472CD">
        <w:rPr>
          <w:lang w:val="ru-RU"/>
        </w:rPr>
        <w:t>мультимедийными</w:t>
      </w:r>
      <w:proofErr w:type="spellEnd"/>
      <w:r w:rsidRPr="001472CD">
        <w:rPr>
          <w:lang w:val="ru-RU"/>
        </w:rPr>
        <w:t xml:space="preserve"> центрами), свидетельствует о необходимости активной и поддерживающей политики правительств по стимулированию спроса на имеющиеся услуги;</w:t>
      </w:r>
    </w:p>
    <w:p w:rsidR="001472CD" w:rsidRPr="001472CD" w:rsidRDefault="001472CD" w:rsidP="001472CD">
      <w:pPr>
        <w:rPr>
          <w:lang w:val="ru-RU"/>
        </w:rPr>
      </w:pPr>
      <w:proofErr w:type="spellStart"/>
      <w:r w:rsidRPr="001472CD">
        <w:rPr>
          <w:lang w:val="ru-RU"/>
        </w:rPr>
        <w:lastRenderedPageBreak/>
        <w:t>d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>что в дополнение к имеющейся информации необходимо совершенствовать навыки и предоставлять капитал, с тем чтобы информация использовалась должным образом; и</w:t>
      </w:r>
    </w:p>
    <w:p w:rsidR="001472CD" w:rsidRPr="001472CD" w:rsidRDefault="001472CD" w:rsidP="001472CD">
      <w:pPr>
        <w:rPr>
          <w:lang w:val="fr-CH"/>
        </w:rPr>
      </w:pPr>
      <w:proofErr w:type="spellStart"/>
      <w:r w:rsidRPr="001472CD">
        <w:rPr>
          <w:lang w:val="ru-RU"/>
        </w:rPr>
        <w:t>e</w:t>
      </w:r>
      <w:proofErr w:type="spellEnd"/>
      <w:r w:rsidRPr="001472CD">
        <w:rPr>
          <w:lang w:val="ru-RU"/>
        </w:rPr>
        <w:t>)</w:t>
      </w:r>
      <w:r w:rsidRPr="001472CD">
        <w:rPr>
          <w:lang w:val="ru-RU"/>
        </w:rPr>
        <w:tab/>
        <w:t>что доступ к электросвязи/ИКТ для всех будет способствовать максимальному росту общественного благосостояния, повышению производительности, сохранению ресурсов и защите прав человека,</w:t>
      </w:r>
    </w:p>
    <w:p w:rsidR="00120895" w:rsidRDefault="001472CD" w:rsidP="001472CD">
      <w:pPr>
        <w:pStyle w:val="call"/>
        <w:rPr>
          <w:lang w:val="ru-RU"/>
        </w:rPr>
      </w:pPr>
      <w:r w:rsidRPr="001472CD">
        <w:rPr>
          <w:lang w:val="ru-RU"/>
        </w:rPr>
        <w:t>рекомендует</w:t>
      </w:r>
      <w:r w:rsidRPr="001472CD">
        <w:rPr>
          <w:iCs/>
          <w:lang w:val="ru-RU"/>
        </w:rPr>
        <w:t>,</w:t>
      </w:r>
    </w:p>
    <w:p w:rsidR="00301982" w:rsidRPr="00301982" w:rsidRDefault="00301982" w:rsidP="00301982">
      <w:pPr>
        <w:rPr>
          <w:bCs/>
          <w:lang w:val="ru-RU"/>
        </w:rPr>
      </w:pPr>
      <w:r w:rsidRPr="00301982">
        <w:rPr>
          <w:bCs/>
          <w:lang w:val="ru-RU"/>
        </w:rPr>
        <w:t>1</w:t>
      </w:r>
      <w:r w:rsidRPr="00301982">
        <w:rPr>
          <w:bCs/>
          <w:lang w:val="ru-RU"/>
        </w:rPr>
        <w:tab/>
        <w:t>чтобы развивающиеся страны включали в свои национальные планы развития положение об электросвязи/ИКТ в сельских и отдаленных районах;</w:t>
      </w:r>
    </w:p>
    <w:p w:rsidR="00301982" w:rsidRPr="00301982" w:rsidRDefault="00301982" w:rsidP="00301982">
      <w:pPr>
        <w:rPr>
          <w:bCs/>
          <w:lang w:val="ru-RU"/>
        </w:rPr>
      </w:pPr>
      <w:r w:rsidRPr="00301982">
        <w:rPr>
          <w:bCs/>
          <w:lang w:val="ru-RU"/>
        </w:rPr>
        <w:t>2</w:t>
      </w:r>
      <w:r w:rsidRPr="00301982">
        <w:rPr>
          <w:bCs/>
          <w:lang w:val="ru-RU"/>
        </w:rPr>
        <w:tab/>
        <w:t>чтобы при планировании развития инфраструктуры в сельских и отдаленных районах большое внимание уделялось оценке всех имеющихся на рынке технологий с учетом регуляторной среды, географических условий, климата, затрат (капитальных расходов и эксплуатационных расходов), надежности в эксплуатации, удобства в использовании, устойчивости и т. д. на основе результатов обследования площадок;</w:t>
      </w:r>
    </w:p>
    <w:p w:rsidR="00301982" w:rsidRPr="00301982" w:rsidRDefault="00301982" w:rsidP="00301982">
      <w:pPr>
        <w:rPr>
          <w:bCs/>
          <w:lang w:val="ru-RU"/>
        </w:rPr>
      </w:pPr>
      <w:r w:rsidRPr="00301982">
        <w:rPr>
          <w:bCs/>
          <w:lang w:val="ru-RU"/>
        </w:rPr>
        <w:t>3</w:t>
      </w:r>
      <w:r w:rsidRPr="00301982">
        <w:rPr>
          <w:bCs/>
          <w:lang w:val="ru-RU"/>
        </w:rPr>
        <w:tab/>
        <w:t xml:space="preserve">чтобы коллективному доступу к средствам и услугам ИКТ в сельских и отдаленных районах уделялось особое внимание. </w:t>
      </w:r>
      <w:proofErr w:type="spellStart"/>
      <w:r w:rsidRPr="00301982">
        <w:rPr>
          <w:bCs/>
          <w:lang w:val="ru-RU"/>
        </w:rPr>
        <w:t>Бизнес-модели</w:t>
      </w:r>
      <w:proofErr w:type="spellEnd"/>
      <w:r w:rsidRPr="00301982">
        <w:rPr>
          <w:bCs/>
          <w:lang w:val="ru-RU"/>
        </w:rPr>
        <w:t>, которые способны обеспечить финансовую и эксплуатационную устойчивость, могут применяться местными предпринимателями, которым оказывается поддержка в рамках различных инициатив. Если необходимо, эти средства как один из важнейших компонентов связи в сельских районах также должны поддерживаться за счет фондов универсального обслуживания;</w:t>
      </w:r>
    </w:p>
    <w:p w:rsidR="00301982" w:rsidRPr="00301982" w:rsidRDefault="00301982" w:rsidP="00301982">
      <w:pPr>
        <w:rPr>
          <w:bCs/>
          <w:lang w:val="ru-RU"/>
        </w:rPr>
      </w:pPr>
      <w:r w:rsidRPr="00301982">
        <w:rPr>
          <w:bCs/>
          <w:lang w:val="ru-RU"/>
        </w:rPr>
        <w:t>4</w:t>
      </w:r>
      <w:r w:rsidRPr="00301982">
        <w:rPr>
          <w:bCs/>
          <w:lang w:val="ru-RU"/>
        </w:rPr>
        <w:tab/>
        <w:t>чтобы в жизни населения сельских районов почтовые отделения играли роль центров связи и чтобы поощрялось их использование как средства предоставления электросвязи/ИКТ;</w:t>
      </w:r>
    </w:p>
    <w:p w:rsidR="00301982" w:rsidRPr="00301982" w:rsidRDefault="00301982" w:rsidP="00301982">
      <w:pPr>
        <w:rPr>
          <w:bCs/>
          <w:lang w:val="ru-RU"/>
        </w:rPr>
      </w:pPr>
      <w:r w:rsidRPr="00301982">
        <w:rPr>
          <w:bCs/>
          <w:lang w:val="ru-RU"/>
        </w:rPr>
        <w:t>5</w:t>
      </w:r>
      <w:r w:rsidRPr="00301982">
        <w:rPr>
          <w:bCs/>
          <w:lang w:val="ru-RU"/>
        </w:rPr>
        <w:tab/>
        <w:t>чтобы к планированию и внедрению средств ИКТ привлекались местные учреждения, такие как сельские комитеты;</w:t>
      </w:r>
    </w:p>
    <w:p w:rsidR="00301982" w:rsidRPr="00301982" w:rsidRDefault="00301982" w:rsidP="00301982">
      <w:pPr>
        <w:rPr>
          <w:bCs/>
          <w:lang w:val="ru-RU"/>
        </w:rPr>
      </w:pPr>
      <w:r w:rsidRPr="00301982">
        <w:rPr>
          <w:bCs/>
          <w:lang w:val="ru-RU"/>
        </w:rPr>
        <w:t>6</w:t>
      </w:r>
      <w:r w:rsidRPr="00301982">
        <w:rPr>
          <w:bCs/>
          <w:lang w:val="ru-RU"/>
        </w:rPr>
        <w:tab/>
        <w:t>чтобы совершенствование технических знаний на местном уровне и увеличение способности внедрения технологий имели большое значение для успешного внедрения услуг и приложений ИКТ в сельских и отдаленных районах. Для обеспечения устойчивости и эффективности следует уделять внимание профессиональной подготовке, обмену информацией и созданию используемых совместно объектов технического обслуживания;</w:t>
      </w:r>
    </w:p>
    <w:p w:rsidR="00301982" w:rsidRPr="00301982" w:rsidRDefault="00301982" w:rsidP="00301982">
      <w:pPr>
        <w:rPr>
          <w:bCs/>
          <w:lang w:val="ru-RU"/>
        </w:rPr>
      </w:pPr>
      <w:r w:rsidRPr="00301982">
        <w:rPr>
          <w:bCs/>
          <w:lang w:val="ru-RU"/>
        </w:rPr>
        <w:t>7</w:t>
      </w:r>
      <w:r w:rsidRPr="00301982">
        <w:rPr>
          <w:bCs/>
          <w:lang w:val="ru-RU"/>
        </w:rPr>
        <w:tab/>
        <w:t>чтобы оказывалось содействие переходу к широкополосным технологиям;</w:t>
      </w:r>
    </w:p>
    <w:p w:rsidR="00301982" w:rsidRPr="00301982" w:rsidRDefault="00301982" w:rsidP="00301982">
      <w:pPr>
        <w:rPr>
          <w:bCs/>
          <w:lang w:val="ru-RU"/>
        </w:rPr>
      </w:pPr>
      <w:r w:rsidRPr="00301982">
        <w:rPr>
          <w:bCs/>
          <w:lang w:val="ru-RU"/>
        </w:rPr>
        <w:t>8</w:t>
      </w:r>
      <w:r w:rsidRPr="00301982">
        <w:rPr>
          <w:bCs/>
          <w:lang w:val="ru-RU"/>
        </w:rPr>
        <w:tab/>
        <w:t xml:space="preserve">чтобы поддержание в хорошем рабочем состоянии даже технологически устаревшего оборудования с помощью эффективных программ профилактического технического обслуживания являлось важнейшей частью обеспечения жизнеспособности электросвязи в сельских районах и получало поддержку, не допуская при этом превращения развивающихся стран в рынки сбыта устаревших технологий; </w:t>
      </w:r>
    </w:p>
    <w:p w:rsidR="00301982" w:rsidRPr="00301982" w:rsidRDefault="00301982" w:rsidP="00301982">
      <w:pPr>
        <w:rPr>
          <w:bCs/>
          <w:lang w:val="ru-RU"/>
        </w:rPr>
      </w:pPr>
      <w:r w:rsidRPr="00301982">
        <w:rPr>
          <w:bCs/>
          <w:lang w:val="ru-RU"/>
        </w:rPr>
        <w:t>9</w:t>
      </w:r>
      <w:r w:rsidRPr="00301982">
        <w:rPr>
          <w:bCs/>
          <w:lang w:val="ru-RU"/>
        </w:rPr>
        <w:tab/>
        <w:t>чтобы понималась важность принятия мер для обеспечения постоянной надежности оборудования в сельских условиях, такие как разработка соответствующей стратегии технического обслуживания и эксплуатации и содействие профессиональной подготовке технического персонала;</w:t>
      </w:r>
    </w:p>
    <w:p w:rsidR="00301982" w:rsidRPr="00301982" w:rsidRDefault="00301982" w:rsidP="00301982">
      <w:pPr>
        <w:rPr>
          <w:bCs/>
          <w:lang w:val="ru-RU"/>
        </w:rPr>
      </w:pPr>
      <w:r w:rsidRPr="00301982">
        <w:rPr>
          <w:bCs/>
          <w:lang w:val="ru-RU"/>
        </w:rPr>
        <w:t>10</w:t>
      </w:r>
      <w:r w:rsidRPr="00301982">
        <w:rPr>
          <w:bCs/>
          <w:lang w:val="ru-RU"/>
        </w:rPr>
        <w:tab/>
        <w:t>чтобы с учетом того, что отсутствие энергоснабжения является одним из основных ограничивающих факторов предоставления электросвязи/ИКТ в сельских и отдаленных районах, во всех случаях, когда это возможно, использовались возобновляемые источники энергии, принимая во внимание проблемы окружающей среды; и</w:t>
      </w:r>
    </w:p>
    <w:p w:rsidR="00120895" w:rsidRDefault="00301982" w:rsidP="00301982">
      <w:pPr>
        <w:rPr>
          <w:bCs/>
          <w:lang w:val="ru-RU"/>
        </w:rPr>
      </w:pPr>
      <w:r w:rsidRPr="00301982">
        <w:rPr>
          <w:bCs/>
          <w:lang w:val="ru-RU"/>
        </w:rPr>
        <w:t>11</w:t>
      </w:r>
      <w:r w:rsidRPr="00301982">
        <w:rPr>
          <w:bCs/>
          <w:lang w:val="ru-RU"/>
        </w:rPr>
        <w:tab/>
        <w:t>чтобы развивались партнерские отношения между правительствами, отраслью, местными органами и международными организациями, которые желательны при разработке недорогой инфраструктуры ИКТ, включая возобновляемые источники энергии и терминалы для предоставления электросвязи/ИКТ в сельских и отдаленных районах.</w:t>
      </w:r>
    </w:p>
    <w:p w:rsidR="00F078A0" w:rsidRDefault="00F078A0" w:rsidP="00F078A0">
      <w:pPr>
        <w:jc w:val="center"/>
        <w:rPr>
          <w:bCs/>
          <w:lang w:val="ru-RU"/>
        </w:rPr>
      </w:pPr>
      <w:r>
        <w:rPr>
          <w:bCs/>
          <w:lang w:val="ru-RU"/>
        </w:rPr>
        <w:t>______________</w:t>
      </w:r>
    </w:p>
    <w:sectPr w:rsidR="00F078A0" w:rsidSect="00120895">
      <w:headerReference w:type="even" r:id="rId7"/>
      <w:pgSz w:w="11907" w:h="16840" w:code="9"/>
      <w:pgMar w:top="1418" w:right="1134" w:bottom="1418" w:left="1134" w:header="720" w:footer="720" w:gutter="0"/>
      <w:paperSrc w:first="270" w:other="27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488" w:rsidRDefault="00402488">
      <w:r>
        <w:separator/>
      </w:r>
    </w:p>
  </w:endnote>
  <w:endnote w:type="continuationSeparator" w:id="0">
    <w:p w:rsidR="00402488" w:rsidRDefault="00402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39T36Lfz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Arial Unicode MS"/>
    <w:panose1 w:val="00000000000000000000"/>
    <w:charset w:val="4D"/>
    <w:family w:val="roman"/>
    <w:notTrueType/>
    <w:pitch w:val="default"/>
    <w:sig w:usb0="09FA0ED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488" w:rsidRDefault="00402488">
      <w:r>
        <w:t>____________________</w:t>
      </w:r>
    </w:p>
  </w:footnote>
  <w:footnote w:type="continuationSeparator" w:id="0">
    <w:p w:rsidR="00402488" w:rsidRDefault="00402488">
      <w:r>
        <w:continuationSeparator/>
      </w:r>
    </w:p>
  </w:footnote>
  <w:footnote w:id="1">
    <w:p w:rsidR="001472CD" w:rsidRPr="001472CD" w:rsidRDefault="001472CD" w:rsidP="001472CD">
      <w:pPr>
        <w:tabs>
          <w:tab w:val="left" w:pos="284"/>
        </w:tabs>
        <w:spacing w:before="60"/>
        <w:ind w:left="284" w:hanging="284"/>
        <w:jc w:val="left"/>
        <w:rPr>
          <w:sz w:val="18"/>
          <w:szCs w:val="16"/>
          <w:lang w:val="ru-RU"/>
        </w:rPr>
      </w:pPr>
      <w:r w:rsidRPr="00072262">
        <w:rPr>
          <w:rStyle w:val="FootnoteReference"/>
          <w:sz w:val="14"/>
          <w:szCs w:val="14"/>
        </w:rPr>
        <w:footnoteRef/>
      </w:r>
      <w:r>
        <w:rPr>
          <w:position w:val="6"/>
          <w:lang w:val="ru-RU"/>
        </w:rPr>
        <w:tab/>
      </w:r>
      <w:r w:rsidRPr="001472CD">
        <w:rPr>
          <w:sz w:val="18"/>
          <w:szCs w:val="16"/>
          <w:lang w:val="ru-RU"/>
        </w:rPr>
        <w:t xml:space="preserve">Библиотека по тематическим исследованиям по Вопросу 10-2/2 представлена на: </w:t>
      </w:r>
      <w:r w:rsidRPr="001472CD">
        <w:rPr>
          <w:sz w:val="18"/>
          <w:szCs w:val="16"/>
          <w:lang w:val="ru-RU"/>
        </w:rPr>
        <w:br/>
      </w:r>
      <w:hyperlink r:id="rId1" w:tooltip="blocked::http://www.itu.int/ITU-D/study_groups/SGP_2006-2010/events/Case_Library/index.asp" w:history="1">
        <w:r w:rsidRPr="001472CD">
          <w:rPr>
            <w:rStyle w:val="Hyperlink"/>
            <w:sz w:val="18"/>
            <w:szCs w:val="16"/>
          </w:rPr>
          <w:t>http</w:t>
        </w:r>
        <w:r w:rsidRPr="001472CD">
          <w:rPr>
            <w:rStyle w:val="Hyperlink"/>
            <w:sz w:val="18"/>
            <w:szCs w:val="16"/>
            <w:lang w:val="ru-RU"/>
          </w:rPr>
          <w:t>://</w:t>
        </w:r>
        <w:r w:rsidRPr="001472CD">
          <w:rPr>
            <w:rStyle w:val="Hyperlink"/>
            <w:sz w:val="18"/>
            <w:szCs w:val="16"/>
          </w:rPr>
          <w:t>www</w:t>
        </w:r>
        <w:r w:rsidRPr="001472CD">
          <w:rPr>
            <w:rStyle w:val="Hyperlink"/>
            <w:sz w:val="18"/>
            <w:szCs w:val="16"/>
            <w:lang w:val="ru-RU"/>
          </w:rPr>
          <w:t>.</w:t>
        </w:r>
        <w:r w:rsidRPr="001472CD">
          <w:rPr>
            <w:rStyle w:val="Hyperlink"/>
            <w:sz w:val="18"/>
            <w:szCs w:val="16"/>
          </w:rPr>
          <w:t>itu</w:t>
        </w:r>
        <w:r w:rsidRPr="001472CD">
          <w:rPr>
            <w:rStyle w:val="Hyperlink"/>
            <w:sz w:val="18"/>
            <w:szCs w:val="16"/>
            <w:lang w:val="ru-RU"/>
          </w:rPr>
          <w:t>.</w:t>
        </w:r>
        <w:r w:rsidRPr="001472CD">
          <w:rPr>
            <w:rStyle w:val="Hyperlink"/>
            <w:sz w:val="18"/>
            <w:szCs w:val="16"/>
          </w:rPr>
          <w:t>int</w:t>
        </w:r>
        <w:r w:rsidRPr="001472CD">
          <w:rPr>
            <w:rStyle w:val="Hyperlink"/>
            <w:sz w:val="18"/>
            <w:szCs w:val="16"/>
            <w:lang w:val="ru-RU"/>
          </w:rPr>
          <w:t>/</w:t>
        </w:r>
        <w:r w:rsidRPr="001472CD">
          <w:rPr>
            <w:rStyle w:val="Hyperlink"/>
            <w:sz w:val="18"/>
            <w:szCs w:val="16"/>
          </w:rPr>
          <w:t>ITU</w:t>
        </w:r>
        <w:r w:rsidRPr="001472CD">
          <w:rPr>
            <w:rStyle w:val="Hyperlink"/>
            <w:sz w:val="18"/>
            <w:szCs w:val="16"/>
            <w:lang w:val="ru-RU"/>
          </w:rPr>
          <w:t>-</w:t>
        </w:r>
        <w:r w:rsidRPr="001472CD">
          <w:rPr>
            <w:rStyle w:val="Hyperlink"/>
            <w:sz w:val="18"/>
            <w:szCs w:val="16"/>
          </w:rPr>
          <w:t>D</w:t>
        </w:r>
        <w:r w:rsidRPr="001472CD">
          <w:rPr>
            <w:rStyle w:val="Hyperlink"/>
            <w:sz w:val="18"/>
            <w:szCs w:val="16"/>
            <w:lang w:val="ru-RU"/>
          </w:rPr>
          <w:t>/</w:t>
        </w:r>
        <w:r w:rsidRPr="001472CD">
          <w:rPr>
            <w:rStyle w:val="Hyperlink"/>
            <w:sz w:val="18"/>
            <w:szCs w:val="16"/>
          </w:rPr>
          <w:t>study</w:t>
        </w:r>
        <w:r w:rsidRPr="001472CD">
          <w:rPr>
            <w:rStyle w:val="Hyperlink"/>
            <w:sz w:val="18"/>
            <w:szCs w:val="16"/>
            <w:lang w:val="ru-RU"/>
          </w:rPr>
          <w:t>_</w:t>
        </w:r>
        <w:r w:rsidRPr="001472CD">
          <w:rPr>
            <w:rStyle w:val="Hyperlink"/>
            <w:sz w:val="18"/>
            <w:szCs w:val="16"/>
          </w:rPr>
          <w:t>groups</w:t>
        </w:r>
        <w:r w:rsidRPr="001472CD">
          <w:rPr>
            <w:rStyle w:val="Hyperlink"/>
            <w:sz w:val="18"/>
            <w:szCs w:val="16"/>
            <w:lang w:val="ru-RU"/>
          </w:rPr>
          <w:t>/</w:t>
        </w:r>
        <w:r w:rsidRPr="001472CD">
          <w:rPr>
            <w:rStyle w:val="Hyperlink"/>
            <w:sz w:val="18"/>
            <w:szCs w:val="16"/>
          </w:rPr>
          <w:t>SGP</w:t>
        </w:r>
        <w:r w:rsidRPr="001472CD">
          <w:rPr>
            <w:rStyle w:val="Hyperlink"/>
            <w:sz w:val="18"/>
            <w:szCs w:val="16"/>
            <w:lang w:val="ru-RU"/>
          </w:rPr>
          <w:t>_2006-2010/</w:t>
        </w:r>
        <w:r w:rsidRPr="001472CD">
          <w:rPr>
            <w:rStyle w:val="Hyperlink"/>
            <w:sz w:val="18"/>
            <w:szCs w:val="16"/>
          </w:rPr>
          <w:t>events</w:t>
        </w:r>
        <w:r w:rsidRPr="001472CD">
          <w:rPr>
            <w:rStyle w:val="Hyperlink"/>
            <w:sz w:val="18"/>
            <w:szCs w:val="16"/>
            <w:lang w:val="ru-RU"/>
          </w:rPr>
          <w:t>/</w:t>
        </w:r>
        <w:r w:rsidRPr="001472CD">
          <w:rPr>
            <w:rStyle w:val="Hyperlink"/>
            <w:sz w:val="18"/>
            <w:szCs w:val="16"/>
          </w:rPr>
          <w:t>Case</w:t>
        </w:r>
        <w:r w:rsidRPr="001472CD">
          <w:rPr>
            <w:rStyle w:val="Hyperlink"/>
            <w:sz w:val="18"/>
            <w:szCs w:val="16"/>
            <w:lang w:val="ru-RU"/>
          </w:rPr>
          <w:t>_</w:t>
        </w:r>
        <w:r w:rsidRPr="001472CD">
          <w:rPr>
            <w:rStyle w:val="Hyperlink"/>
            <w:sz w:val="18"/>
            <w:szCs w:val="16"/>
          </w:rPr>
          <w:t>Library</w:t>
        </w:r>
        <w:r w:rsidRPr="001472CD">
          <w:rPr>
            <w:rStyle w:val="Hyperlink"/>
            <w:sz w:val="18"/>
            <w:szCs w:val="16"/>
            <w:lang w:val="ru-RU"/>
          </w:rPr>
          <w:t>/</w:t>
        </w:r>
        <w:r w:rsidRPr="001472CD">
          <w:rPr>
            <w:rStyle w:val="Hyperlink"/>
            <w:sz w:val="18"/>
            <w:szCs w:val="16"/>
          </w:rPr>
          <w:t>index</w:t>
        </w:r>
        <w:r w:rsidRPr="001472CD">
          <w:rPr>
            <w:rStyle w:val="Hyperlink"/>
            <w:sz w:val="18"/>
            <w:szCs w:val="16"/>
            <w:lang w:val="ru-RU"/>
          </w:rPr>
          <w:t>.</w:t>
        </w:r>
        <w:r w:rsidRPr="001472CD">
          <w:rPr>
            <w:rStyle w:val="Hyperlink"/>
            <w:sz w:val="18"/>
            <w:szCs w:val="16"/>
          </w:rPr>
          <w:t>asp</w:t>
        </w:r>
      </w:hyperlink>
      <w:r w:rsidRPr="001472CD">
        <w:rPr>
          <w:sz w:val="18"/>
          <w:szCs w:val="16"/>
          <w:lang w:val="ru-RU"/>
        </w:rPr>
        <w:t xml:space="preserve">. </w:t>
      </w:r>
      <w:r>
        <w:rPr>
          <w:sz w:val="18"/>
          <w:szCs w:val="16"/>
          <w:lang w:val="fr-CH"/>
        </w:rPr>
        <w:br/>
      </w:r>
      <w:proofErr w:type="spellStart"/>
      <w:r w:rsidRPr="001472CD">
        <w:rPr>
          <w:sz w:val="18"/>
          <w:szCs w:val="16"/>
          <w:lang w:val="ru-RU"/>
        </w:rPr>
        <w:t>Веб-страница</w:t>
      </w:r>
      <w:proofErr w:type="spellEnd"/>
      <w:r w:rsidRPr="001472CD">
        <w:rPr>
          <w:sz w:val="18"/>
          <w:szCs w:val="16"/>
          <w:lang w:val="ru-RU"/>
        </w:rPr>
        <w:t xml:space="preserve"> электронных обсуждений представлена на: </w:t>
      </w:r>
      <w:hyperlink r:id="rId2" w:history="1">
        <w:r w:rsidRPr="001472CD">
          <w:rPr>
            <w:rStyle w:val="Hyperlink"/>
            <w:sz w:val="18"/>
            <w:szCs w:val="16"/>
          </w:rPr>
          <w:t>http</w:t>
        </w:r>
        <w:r w:rsidRPr="001472CD">
          <w:rPr>
            <w:rStyle w:val="Hyperlink"/>
            <w:sz w:val="18"/>
            <w:szCs w:val="16"/>
            <w:lang w:val="ru-RU"/>
          </w:rPr>
          <w:t>://</w:t>
        </w:r>
        <w:r w:rsidRPr="001472CD">
          <w:rPr>
            <w:rStyle w:val="Hyperlink"/>
            <w:sz w:val="18"/>
            <w:szCs w:val="16"/>
          </w:rPr>
          <w:t>www</w:t>
        </w:r>
        <w:r w:rsidRPr="001472CD">
          <w:rPr>
            <w:rStyle w:val="Hyperlink"/>
            <w:sz w:val="18"/>
            <w:szCs w:val="16"/>
            <w:lang w:val="ru-RU"/>
          </w:rPr>
          <w:t>.</w:t>
        </w:r>
        <w:r w:rsidRPr="001472CD">
          <w:rPr>
            <w:rStyle w:val="Hyperlink"/>
            <w:sz w:val="18"/>
            <w:szCs w:val="16"/>
          </w:rPr>
          <w:t>itu</w:t>
        </w:r>
        <w:r w:rsidRPr="001472CD">
          <w:rPr>
            <w:rStyle w:val="Hyperlink"/>
            <w:sz w:val="18"/>
            <w:szCs w:val="16"/>
            <w:lang w:val="ru-RU"/>
          </w:rPr>
          <w:t>.</w:t>
        </w:r>
        <w:r w:rsidRPr="001472CD">
          <w:rPr>
            <w:rStyle w:val="Hyperlink"/>
            <w:sz w:val="18"/>
            <w:szCs w:val="16"/>
          </w:rPr>
          <w:t>int</w:t>
        </w:r>
        <w:r w:rsidRPr="001472CD">
          <w:rPr>
            <w:rStyle w:val="Hyperlink"/>
            <w:sz w:val="18"/>
            <w:szCs w:val="16"/>
            <w:lang w:val="ru-RU"/>
          </w:rPr>
          <w:t>/</w:t>
        </w:r>
        <w:r w:rsidRPr="001472CD">
          <w:rPr>
            <w:rStyle w:val="Hyperlink"/>
            <w:sz w:val="18"/>
            <w:szCs w:val="16"/>
          </w:rPr>
          <w:t>ituweblogs</w:t>
        </w:r>
        <w:r w:rsidRPr="001472CD">
          <w:rPr>
            <w:rStyle w:val="Hyperlink"/>
            <w:sz w:val="18"/>
            <w:szCs w:val="16"/>
            <w:lang w:val="ru-RU"/>
          </w:rPr>
          <w:t>/</w:t>
        </w:r>
        <w:r w:rsidRPr="001472CD">
          <w:rPr>
            <w:rStyle w:val="Hyperlink"/>
            <w:sz w:val="18"/>
            <w:szCs w:val="16"/>
          </w:rPr>
          <w:t>ITU</w:t>
        </w:r>
        <w:r w:rsidRPr="001472CD">
          <w:rPr>
            <w:rStyle w:val="Hyperlink"/>
            <w:sz w:val="18"/>
            <w:szCs w:val="16"/>
            <w:lang w:val="ru-RU"/>
          </w:rPr>
          <w:t>-</w:t>
        </w:r>
        <w:r w:rsidRPr="001472CD">
          <w:rPr>
            <w:rStyle w:val="Hyperlink"/>
            <w:sz w:val="18"/>
            <w:szCs w:val="16"/>
          </w:rPr>
          <w:t>D</w:t>
        </w:r>
        <w:r w:rsidRPr="001472CD">
          <w:rPr>
            <w:rStyle w:val="Hyperlink"/>
            <w:sz w:val="18"/>
            <w:szCs w:val="16"/>
            <w:lang w:val="ru-RU"/>
          </w:rPr>
          <w:t>-</w:t>
        </w:r>
        <w:r w:rsidRPr="001472CD">
          <w:rPr>
            <w:rStyle w:val="Hyperlink"/>
            <w:sz w:val="18"/>
            <w:szCs w:val="16"/>
          </w:rPr>
          <w:t>SG</w:t>
        </w:r>
        <w:r w:rsidRPr="001472CD">
          <w:rPr>
            <w:rStyle w:val="Hyperlink"/>
            <w:sz w:val="18"/>
            <w:szCs w:val="16"/>
            <w:lang w:val="ru-RU"/>
          </w:rPr>
          <w:t>2-</w:t>
        </w:r>
        <w:r w:rsidRPr="001472CD">
          <w:rPr>
            <w:rStyle w:val="Hyperlink"/>
            <w:sz w:val="18"/>
            <w:szCs w:val="16"/>
          </w:rPr>
          <w:t>Q</w:t>
        </w:r>
        <w:r w:rsidRPr="001472CD">
          <w:rPr>
            <w:rStyle w:val="Hyperlink"/>
            <w:sz w:val="18"/>
            <w:szCs w:val="16"/>
            <w:lang w:val="ru-RU"/>
          </w:rPr>
          <w:t>10/</w:t>
        </w:r>
      </w:hyperlink>
      <w:r w:rsidRPr="001472CD">
        <w:rPr>
          <w:rStyle w:val="Hyperlink"/>
          <w:sz w:val="18"/>
          <w:szCs w:val="16"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73" w:rsidRPr="009415BA" w:rsidRDefault="009415BA" w:rsidP="009415BA">
    <w:pPr>
      <w:pStyle w:val="Header"/>
      <w:jc w:val="center"/>
      <w:rPr>
        <w:szCs w:val="22"/>
        <w:lang w:val="fr-CH"/>
      </w:rPr>
    </w:pPr>
    <w:r>
      <w:rPr>
        <w:szCs w:val="22"/>
        <w:lang w:val="fr-CH"/>
      </w:rPr>
      <w:t>– 2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3D5F"/>
    <w:multiLevelType w:val="hybridMultilevel"/>
    <w:tmpl w:val="5628BB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BA2BE4"/>
    <w:multiLevelType w:val="multilevel"/>
    <w:tmpl w:val="F67238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5803247"/>
    <w:multiLevelType w:val="multilevel"/>
    <w:tmpl w:val="15E411C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CFA0FD1"/>
    <w:multiLevelType w:val="hybridMultilevel"/>
    <w:tmpl w:val="BBE018D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18B29A2"/>
    <w:multiLevelType w:val="hybridMultilevel"/>
    <w:tmpl w:val="DB4ED4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96714A"/>
    <w:multiLevelType w:val="hybridMultilevel"/>
    <w:tmpl w:val="0234071A"/>
    <w:lvl w:ilvl="0" w:tplc="DDF0F0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592340"/>
    <w:multiLevelType w:val="multilevel"/>
    <w:tmpl w:val="EFEA770E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59F637F"/>
    <w:multiLevelType w:val="multilevel"/>
    <w:tmpl w:val="76B2F4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20895"/>
    <w:rsid w:val="000219BC"/>
    <w:rsid w:val="000504AA"/>
    <w:rsid w:val="00120895"/>
    <w:rsid w:val="001472CD"/>
    <w:rsid w:val="00301982"/>
    <w:rsid w:val="0039416D"/>
    <w:rsid w:val="00396F62"/>
    <w:rsid w:val="003D2606"/>
    <w:rsid w:val="00402488"/>
    <w:rsid w:val="00480B23"/>
    <w:rsid w:val="007726A7"/>
    <w:rsid w:val="008E61E4"/>
    <w:rsid w:val="009415BA"/>
    <w:rsid w:val="009956CB"/>
    <w:rsid w:val="00AB2474"/>
    <w:rsid w:val="00CC2C8D"/>
    <w:rsid w:val="00EC1673"/>
    <w:rsid w:val="00F0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pPr>
      <w:keepNext/>
      <w:keepLines/>
      <w:spacing w:before="360"/>
      <w:ind w:left="794" w:hanging="794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/>
      <w:ind w:left="794" w:hanging="794"/>
      <w:outlineLvl w:val="2"/>
    </w:pPr>
    <w:rPr>
      <w:b/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907"/>
      </w:tabs>
      <w:ind w:left="907" w:hanging="907"/>
      <w:outlineLvl w:val="4"/>
    </w:pPr>
  </w:style>
  <w:style w:type="paragraph" w:styleId="Heading6">
    <w:name w:val="heading 6"/>
    <w:basedOn w:val="Heading3"/>
    <w:next w:val="Normal"/>
    <w:qFormat/>
    <w:pPr>
      <w:outlineLvl w:val="5"/>
    </w:pPr>
  </w:style>
  <w:style w:type="paragraph" w:styleId="Heading7">
    <w:name w:val="heading 7"/>
    <w:basedOn w:val="Heading3"/>
    <w:next w:val="Normal"/>
    <w:qFormat/>
    <w:pPr>
      <w:outlineLvl w:val="6"/>
    </w:pPr>
  </w:style>
  <w:style w:type="paragraph" w:styleId="Heading8">
    <w:name w:val="heading 8"/>
    <w:basedOn w:val="Heading9"/>
    <w:next w:val="AppendixRef"/>
    <w:qFormat/>
    <w:pPr>
      <w:outlineLvl w:val="7"/>
    </w:pPr>
  </w:style>
  <w:style w:type="paragraph" w:styleId="Heading9">
    <w:name w:val="heading 9"/>
    <w:basedOn w:val="Heading1"/>
    <w:next w:val="AnnexRef"/>
    <w:qFormat/>
    <w:pPr>
      <w:tabs>
        <w:tab w:val="clear" w:pos="794"/>
        <w:tab w:val="clear" w:pos="1191"/>
        <w:tab w:val="clear" w:pos="1588"/>
        <w:tab w:val="clear" w:pos="1985"/>
      </w:tabs>
      <w:spacing w:line="360" w:lineRule="atLeast"/>
      <w:ind w:left="0" w:firstLine="0"/>
      <w:jc w:val="center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nexRef">
    <w:name w:val="Annex_Ref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paragraph" w:customStyle="1" w:styleId="AppendixRef">
    <w:name w:val="Appendix_Ref"/>
    <w:basedOn w:val="AnnexRef"/>
    <w:next w:val="Normal"/>
  </w:style>
  <w:style w:type="paragraph" w:customStyle="1" w:styleId="AnnexTitle">
    <w:name w:val="Annex_Title"/>
    <w:basedOn w:val="Normal"/>
    <w:next w:val="AnnexRef"/>
    <w:pPr>
      <w:spacing w:before="720" w:after="60"/>
      <w:jc w:val="center"/>
    </w:pPr>
    <w:rPr>
      <w:b/>
      <w:sz w:val="24"/>
    </w:rPr>
  </w:style>
  <w:style w:type="paragraph" w:customStyle="1" w:styleId="AppendixTitle">
    <w:name w:val="Appendix_Title"/>
    <w:basedOn w:val="AnnexTitle"/>
    <w:next w:val="AppendixRef"/>
  </w:style>
  <w:style w:type="paragraph" w:customStyle="1" w:styleId="Author">
    <w:name w:val="Author"/>
    <w:basedOn w:val="Normal"/>
    <w:pPr>
      <w:tabs>
        <w:tab w:val="clear" w:pos="1191"/>
        <w:tab w:val="clear" w:pos="1588"/>
        <w:tab w:val="clear" w:pos="1985"/>
      </w:tabs>
      <w:spacing w:before="240" w:after="360"/>
      <w:jc w:val="left"/>
    </w:pPr>
    <w:rPr>
      <w:b/>
    </w:rPr>
  </w:style>
  <w:style w:type="paragraph" w:customStyle="1" w:styleId="Blanc">
    <w:name w:val="Blanc"/>
    <w:basedOn w:val="Normal"/>
    <w:next w:val="Normal"/>
    <w:pPr>
      <w:keepNext/>
      <w:tabs>
        <w:tab w:val="clear" w:pos="794"/>
        <w:tab w:val="clear" w:pos="1191"/>
        <w:tab w:val="clear" w:pos="1588"/>
        <w:tab w:val="clear" w:pos="1985"/>
      </w:tabs>
      <w:spacing w:before="120" w:after="40" w:line="14" w:lineRule="exact"/>
      <w:jc w:val="center"/>
    </w:pPr>
    <w:rPr>
      <w:sz w:val="8"/>
    </w:rPr>
  </w:style>
  <w:style w:type="paragraph" w:customStyle="1" w:styleId="call">
    <w:name w:val="call"/>
    <w:basedOn w:val="Normal"/>
    <w:next w:val="Normal"/>
    <w:pPr>
      <w:tabs>
        <w:tab w:val="clear" w:pos="1191"/>
        <w:tab w:val="clear" w:pos="1588"/>
        <w:tab w:val="clear" w:pos="1985"/>
        <w:tab w:val="left" w:pos="794"/>
      </w:tabs>
      <w:spacing w:before="227"/>
      <w:ind w:left="794"/>
      <w:jc w:val="left"/>
    </w:pPr>
    <w:rPr>
      <w:i/>
    </w:rPr>
  </w:style>
  <w:style w:type="paragraph" w:customStyle="1" w:styleId="enumlev1">
    <w:name w:val="enumlev1"/>
    <w:basedOn w:val="Normal"/>
    <w:pPr>
      <w:tabs>
        <w:tab w:val="clear" w:pos="794"/>
        <w:tab w:val="clear" w:pos="1191"/>
        <w:tab w:val="clear" w:pos="1588"/>
        <w:tab w:val="clear" w:pos="1985"/>
        <w:tab w:val="left" w:pos="397"/>
      </w:tabs>
      <w:spacing w:before="86"/>
      <w:ind w:left="397" w:hanging="397"/>
    </w:pPr>
  </w:style>
  <w:style w:type="paragraph" w:customStyle="1" w:styleId="enumlev2">
    <w:name w:val="enumlev2"/>
    <w:basedOn w:val="enumlev1"/>
    <w:pPr>
      <w:tabs>
        <w:tab w:val="clear" w:pos="397"/>
        <w:tab w:val="left" w:pos="794"/>
      </w:tabs>
      <w:ind w:left="794"/>
    </w:pPr>
  </w:style>
  <w:style w:type="paragraph" w:customStyle="1" w:styleId="enumlev3">
    <w:name w:val="enumlev3"/>
    <w:basedOn w:val="enumlev2"/>
    <w:pPr>
      <w:tabs>
        <w:tab w:val="clear" w:pos="794"/>
        <w:tab w:val="left" w:pos="1191"/>
      </w:tabs>
      <w:ind w:left="1191"/>
    </w:pPr>
  </w:style>
  <w:style w:type="paragraph" w:customStyle="1" w:styleId="Equation">
    <w:name w:val="Equation"/>
    <w:basedOn w:val="Normal"/>
    <w:pPr>
      <w:tabs>
        <w:tab w:val="clear" w:pos="1191"/>
        <w:tab w:val="clear" w:pos="1985"/>
        <w:tab w:val="center" w:pos="4849"/>
        <w:tab w:val="right" w:pos="9696"/>
      </w:tabs>
      <w:spacing w:before="193" w:after="240"/>
      <w:jc w:val="left"/>
    </w:pPr>
  </w:style>
  <w:style w:type="paragraph" w:customStyle="1" w:styleId="Fig">
    <w:name w:val="Fig"/>
    <w:basedOn w:val="Normal"/>
    <w:next w:val="Normal"/>
    <w:pPr>
      <w:jc w:val="center"/>
    </w:pPr>
  </w:style>
  <w:style w:type="paragraph" w:customStyle="1" w:styleId="Fig0">
    <w:name w:val="Fig_#"/>
    <w:basedOn w:val="Fig"/>
    <w:next w:val="Normal"/>
    <w:pPr>
      <w:jc w:val="left"/>
    </w:pPr>
    <w:rPr>
      <w:color w:val="FF0000"/>
    </w:rPr>
  </w:style>
  <w:style w:type="paragraph" w:customStyle="1" w:styleId="FigureSource">
    <w:name w:val="Figure Source"/>
    <w:basedOn w:val="Normal"/>
    <w:next w:val="Normal"/>
    <w:pPr>
      <w:keepNext/>
      <w:pBdr>
        <w:bottom w:val="single" w:sz="18" w:space="10" w:color="auto"/>
      </w:pBdr>
      <w:shd w:val="clear" w:color="00FFFF" w:fill="auto"/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568" w:hanging="568"/>
      <w:textAlignment w:val="auto"/>
    </w:pPr>
    <w:rPr>
      <w:rFonts w:ascii="Times" w:hAnsi="Times"/>
      <w:sz w:val="16"/>
    </w:rPr>
  </w:style>
  <w:style w:type="paragraph" w:customStyle="1" w:styleId="FigureTitle">
    <w:name w:val="Figure Title"/>
    <w:basedOn w:val="Normal"/>
    <w:next w:val="Normal"/>
    <w:pPr>
      <w:keepNext/>
      <w:keepLines/>
      <w:pBdr>
        <w:top w:val="single" w:sz="18" w:space="10" w:color="auto"/>
      </w:pBdr>
      <w:shd w:val="clear" w:color="00FFFF" w:fill="auto"/>
      <w:tabs>
        <w:tab w:val="clear" w:pos="794"/>
        <w:tab w:val="clear" w:pos="1191"/>
        <w:tab w:val="clear" w:pos="1588"/>
        <w:tab w:val="clear" w:pos="1985"/>
        <w:tab w:val="left" w:pos="170"/>
      </w:tabs>
      <w:overflowPunct/>
      <w:autoSpaceDE/>
      <w:autoSpaceDN/>
      <w:adjustRightInd/>
      <w:spacing w:before="0"/>
      <w:textAlignment w:val="auto"/>
    </w:pPr>
    <w:rPr>
      <w:rFonts w:ascii="Times" w:hAnsi="Times"/>
      <w:b/>
    </w:rPr>
  </w:style>
  <w:style w:type="paragraph" w:customStyle="1" w:styleId="FigureLegend">
    <w:name w:val="Figure_Legend"/>
    <w:basedOn w:val="Normal"/>
    <w:next w:val="Normal"/>
    <w:pPr>
      <w:keepNext/>
      <w:spacing w:before="113"/>
      <w:jc w:val="left"/>
    </w:pPr>
    <w:rPr>
      <w:sz w:val="18"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730"/>
      </w:tabs>
      <w:jc w:val="left"/>
    </w:pPr>
    <w:rPr>
      <w:b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tabs>
        <w:tab w:val="left" w:pos="256"/>
      </w:tabs>
      <w:spacing w:line="199" w:lineRule="exact"/>
    </w:pPr>
    <w:rPr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center" w:pos="4849"/>
        <w:tab w:val="right" w:pos="8789"/>
        <w:tab w:val="right" w:pos="9730"/>
      </w:tabs>
    </w:p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200"/>
      <w:ind w:left="0" w:firstLine="0"/>
      <w:textAlignment w:val="auto"/>
    </w:pPr>
    <w:rPr>
      <w:rFonts w:ascii="Times New Roman Bold" w:hAnsi="Times New Roman Bold"/>
      <w:sz w:val="22"/>
    </w:rPr>
  </w:style>
  <w:style w:type="paragraph" w:customStyle="1" w:styleId="Headingi">
    <w:name w:val="Heading_i"/>
    <w:basedOn w:val="Normal"/>
    <w:next w:val="Normal"/>
    <w:pPr>
      <w:tabs>
        <w:tab w:val="clear" w:pos="1191"/>
        <w:tab w:val="clear" w:pos="1588"/>
        <w:tab w:val="clear" w:pos="1985"/>
        <w:tab w:val="left" w:pos="794"/>
      </w:tabs>
      <w:spacing w:before="200"/>
    </w:pPr>
    <w:rPr>
      <w:i/>
      <w:lang w:val="en-GB"/>
    </w:rPr>
  </w:style>
  <w:style w:type="character" w:customStyle="1" w:styleId="href">
    <w:name w:val="href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Index2">
    <w:name w:val="index 2"/>
    <w:basedOn w:val="Normal"/>
    <w:next w:val="Normal"/>
    <w:semiHidden/>
    <w:pPr>
      <w:spacing w:before="29"/>
      <w:ind w:left="284"/>
      <w:jc w:val="left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  <w:pPr>
      <w:tabs>
        <w:tab w:val="clear" w:pos="794"/>
        <w:tab w:val="clear" w:pos="1191"/>
        <w:tab w:val="clear" w:pos="1588"/>
        <w:tab w:val="clear" w:pos="1985"/>
        <w:tab w:val="left" w:pos="426"/>
        <w:tab w:val="left" w:pos="851"/>
        <w:tab w:val="left" w:pos="1276"/>
        <w:tab w:val="left" w:pos="1701"/>
        <w:tab w:val="left" w:pos="2127"/>
      </w:tabs>
      <w:spacing w:before="90" w:after="180" w:line="240" w:lineRule="atLeast"/>
      <w:jc w:val="left"/>
    </w:pPr>
    <w:rPr>
      <w:b/>
    </w:rPr>
  </w:style>
  <w:style w:type="paragraph" w:customStyle="1" w:styleId="IndexTitle">
    <w:name w:val="Index_Title"/>
    <w:basedOn w:val="AnnexTitle"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pPr>
      <w:spacing w:before="480"/>
    </w:pPr>
  </w:style>
  <w:style w:type="paragraph" w:styleId="NormalIndent">
    <w:name w:val="Normal Indent"/>
    <w:basedOn w:val="Normal"/>
    <w:pPr>
      <w:ind w:left="600"/>
    </w:pPr>
  </w:style>
  <w:style w:type="paragraph" w:customStyle="1" w:styleId="Note">
    <w:name w:val="Note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0" w:line="199" w:lineRule="exact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date">
    <w:name w:val="Rec_date"/>
    <w:basedOn w:val="Normal"/>
    <w:next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/>
      <w:jc w:val="center"/>
    </w:pPr>
    <w:rPr>
      <w:lang w:val="fr-FR"/>
    </w:rPr>
  </w:style>
  <w:style w:type="paragraph" w:customStyle="1" w:styleId="RecNo">
    <w:name w:val="Rec_No"/>
    <w:basedOn w:val="Normal"/>
    <w:next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/>
      <w:jc w:val="left"/>
    </w:pPr>
    <w:rPr>
      <w:b/>
    </w:rPr>
  </w:style>
  <w:style w:type="paragraph" w:customStyle="1" w:styleId="Recref">
    <w:name w:val="Rec_ref"/>
    <w:basedOn w:val="Normal"/>
    <w:next w:val="Heading1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title">
    <w:name w:val="Rec_title"/>
    <w:basedOn w:val="RecNo"/>
    <w:next w:val="Recref"/>
    <w:pPr>
      <w:spacing w:before="240"/>
      <w:jc w:val="center"/>
    </w:pPr>
    <w:rPr>
      <w:rFonts w:ascii="Times New Roman Bold" w:hAnsi="Times New Roman Bold"/>
      <w:sz w:val="28"/>
    </w:rPr>
  </w:style>
  <w:style w:type="paragraph" w:customStyle="1" w:styleId="Reftext">
    <w:name w:val="Ref_text"/>
    <w:basedOn w:val="Normal"/>
    <w:pPr>
      <w:tabs>
        <w:tab w:val="left" w:pos="794"/>
        <w:tab w:val="left" w:pos="1191"/>
        <w:tab w:val="left" w:pos="1588"/>
        <w:tab w:val="left" w:pos="1985"/>
      </w:tabs>
      <w:ind w:left="794" w:hanging="794"/>
    </w:pPr>
    <w:rPr>
      <w:lang w:val="en-GB"/>
    </w:rPr>
  </w:style>
  <w:style w:type="paragraph" w:customStyle="1" w:styleId="Reftitle">
    <w:name w:val="Ref_title"/>
    <w:basedOn w:val="Heading1"/>
    <w:next w:val="Reftext"/>
    <w:pPr>
      <w:tabs>
        <w:tab w:val="left" w:pos="794"/>
        <w:tab w:val="left" w:pos="1191"/>
        <w:tab w:val="left" w:pos="1588"/>
        <w:tab w:val="left" w:pos="1985"/>
      </w:tabs>
      <w:ind w:left="0" w:firstLine="0"/>
      <w:jc w:val="left"/>
      <w:outlineLvl w:val="9"/>
    </w:pPr>
    <w:rPr>
      <w:lang w:val="en-GB"/>
    </w:rPr>
  </w:style>
  <w:style w:type="paragraph" w:customStyle="1" w:styleId="SAP">
    <w:name w:val="SAP"/>
    <w:basedOn w:val="Normal"/>
    <w:pPr>
      <w:spacing w:before="960" w:after="240"/>
      <w:jc w:val="right"/>
    </w:pPr>
    <w:rPr>
      <w:rFonts w:ascii="C39T36Lfz" w:hAnsi="C39T36Lfz"/>
      <w:sz w:val="104"/>
    </w:rPr>
  </w:style>
  <w:style w:type="paragraph" w:customStyle="1" w:styleId="SectionTitle">
    <w:name w:val="Section_Title"/>
    <w:basedOn w:val="Normal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hAnsi="Arial"/>
      <w:sz w:val="32"/>
    </w:rPr>
  </w:style>
  <w:style w:type="paragraph" w:customStyle="1" w:styleId="Sujet">
    <w:name w:val="Sujet"/>
    <w:basedOn w:val="Normal"/>
    <w:pPr>
      <w:tabs>
        <w:tab w:val="clear" w:pos="794"/>
        <w:tab w:val="clear" w:pos="1191"/>
        <w:tab w:val="clear" w:pos="1588"/>
        <w:tab w:val="clear" w:pos="1985"/>
      </w:tabs>
      <w:ind w:left="1418"/>
      <w:jc w:val="left"/>
    </w:pPr>
    <w:rPr>
      <w:rFonts w:ascii="Arial" w:hAnsi="Arial"/>
      <w:sz w:val="32"/>
    </w:rPr>
  </w:style>
  <w:style w:type="paragraph" w:customStyle="1" w:styleId="TableSource">
    <w:name w:val="Table Source"/>
    <w:basedOn w:val="Normal"/>
    <w:next w:val="Normal"/>
    <w:pPr>
      <w:keepNext/>
      <w:widowControl w:val="0"/>
      <w:pBdr>
        <w:bottom w:val="single" w:sz="12" w:space="4" w:color="auto"/>
      </w:pBdr>
      <w:tabs>
        <w:tab w:val="clear" w:pos="794"/>
        <w:tab w:val="clear" w:pos="1191"/>
        <w:tab w:val="clear" w:pos="1588"/>
        <w:tab w:val="clear" w:pos="1985"/>
        <w:tab w:val="left" w:pos="709"/>
      </w:tabs>
      <w:spacing w:before="60" w:after="120"/>
      <w:ind w:left="709" w:hanging="709"/>
      <w:jc w:val="left"/>
    </w:pPr>
    <w:rPr>
      <w:sz w:val="16"/>
      <w:szCs w:val="24"/>
      <w:lang w:val="en-GB"/>
    </w:rPr>
  </w:style>
  <w:style w:type="paragraph" w:customStyle="1" w:styleId="AnnexNotitle">
    <w:name w:val="Annex_No &amp; 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customStyle="1" w:styleId="Call0">
    <w:name w:val="Call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ind w:left="794"/>
      <w:jc w:val="left"/>
    </w:pPr>
    <w:rPr>
      <w:i/>
      <w:sz w:val="24"/>
      <w:lang w:val="en-GB"/>
    </w:rPr>
  </w:style>
  <w:style w:type="paragraph" w:customStyle="1" w:styleId="TableFin">
    <w:name w:val="Table_Fin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2"/>
    </w:rPr>
  </w:style>
  <w:style w:type="paragraph" w:customStyle="1" w:styleId="TableText">
    <w:name w:val="Table_Text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 w:after="60" w:line="190" w:lineRule="exact"/>
      <w:jc w:val="left"/>
    </w:pPr>
    <w:rPr>
      <w:sz w:val="20"/>
    </w:rPr>
  </w:style>
  <w:style w:type="paragraph" w:customStyle="1" w:styleId="TableHead">
    <w:name w:val="Table_Head"/>
    <w:basedOn w:val="TableText"/>
    <w:next w:val="TableText"/>
    <w:pPr>
      <w:keepLines w:val="0"/>
      <w:tabs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line="240" w:lineRule="auto"/>
      <w:jc w:val="center"/>
    </w:pPr>
    <w:rPr>
      <w:b/>
      <w:noProof/>
    </w:rPr>
  </w:style>
  <w:style w:type="paragraph" w:customStyle="1" w:styleId="TableLegend">
    <w:name w:val="Table_Legend"/>
    <w:basedOn w:val="Normal"/>
    <w:next w:val="Normal"/>
    <w:pPr>
      <w:keepNext/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pacing w:before="60"/>
      <w:ind w:left="567" w:hanging="567"/>
      <w:jc w:val="left"/>
    </w:pPr>
    <w:rPr>
      <w:sz w:val="16"/>
      <w:szCs w:val="24"/>
      <w:lang w:val="en-GB"/>
    </w:rPr>
  </w:style>
  <w:style w:type="paragraph" w:customStyle="1" w:styleId="TableTitle">
    <w:name w:val="Table_Title"/>
    <w:basedOn w:val="Normal"/>
    <w:autoRedefine/>
    <w:pPr>
      <w:keepNext/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20"/>
      <w:jc w:val="left"/>
      <w:textAlignment w:val="auto"/>
    </w:pPr>
    <w:rPr>
      <w:b/>
      <w:color w:val="000000"/>
      <w:szCs w:val="24"/>
      <w:lang w:val="en-GB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310"/>
        <w:tab w:val="right" w:pos="9639"/>
      </w:tabs>
      <w:jc w:val="right"/>
    </w:pPr>
    <w:rPr>
      <w:b/>
    </w:rPr>
  </w:style>
  <w:style w:type="paragraph" w:styleId="TOC1">
    <w:name w:val="toc 1"/>
    <w:basedOn w:val="Normal"/>
    <w:next w:val="TOC2"/>
    <w:semiHidden/>
    <w:pPr>
      <w:tabs>
        <w:tab w:val="clear" w:pos="794"/>
        <w:tab w:val="clear" w:pos="1191"/>
        <w:tab w:val="clear" w:pos="1588"/>
        <w:tab w:val="clear" w:pos="1985"/>
        <w:tab w:val="left" w:pos="567"/>
        <w:tab w:val="right" w:leader="dot" w:pos="9214"/>
        <w:tab w:val="right" w:pos="9639"/>
      </w:tabs>
      <w:spacing w:before="86"/>
    </w:pPr>
    <w:rPr>
      <w:noProof/>
      <w:szCs w:val="26"/>
      <w:lang w:val="fr-CH"/>
    </w:rPr>
  </w:style>
  <w:style w:type="paragraph" w:styleId="TOC2">
    <w:name w:val="toc 2"/>
    <w:basedOn w:val="TOC1"/>
    <w:next w:val="TOC3"/>
    <w:semiHidden/>
    <w:pPr>
      <w:tabs>
        <w:tab w:val="left" w:pos="1247"/>
      </w:tabs>
      <w:spacing w:before="29"/>
      <w:ind w:left="1247" w:right="283" w:hanging="680"/>
      <w:jc w:val="left"/>
    </w:pPr>
  </w:style>
  <w:style w:type="paragraph" w:styleId="TOC3">
    <w:name w:val="toc 3"/>
    <w:basedOn w:val="Normal"/>
    <w:next w:val="Normal"/>
    <w:semiHidden/>
    <w:pPr>
      <w:tabs>
        <w:tab w:val="clear" w:pos="794"/>
        <w:tab w:val="clear" w:pos="1191"/>
        <w:tab w:val="clear" w:pos="1588"/>
        <w:tab w:val="clear" w:pos="1985"/>
        <w:tab w:val="left" w:pos="2041"/>
        <w:tab w:val="right" w:leader="dot" w:pos="9214"/>
        <w:tab w:val="right" w:pos="9639"/>
      </w:tabs>
      <w:spacing w:before="0"/>
      <w:ind w:left="2041" w:right="283" w:hanging="794"/>
    </w:pPr>
    <w:rPr>
      <w:noProof/>
    </w:rPr>
  </w:style>
  <w:style w:type="paragraph" w:styleId="TOC4">
    <w:name w:val="toc 4"/>
    <w:basedOn w:val="TOC3"/>
    <w:next w:val="Normal"/>
    <w:semiHidden/>
    <w:pPr>
      <w:tabs>
        <w:tab w:val="left" w:pos="2948"/>
      </w:tabs>
      <w:ind w:left="2948" w:hanging="907"/>
    </w:pPr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  <w:pPr>
      <w:keepLines/>
      <w:tabs>
        <w:tab w:val="clear" w:pos="2041"/>
        <w:tab w:val="clear" w:pos="2948"/>
        <w:tab w:val="clear" w:pos="9214"/>
        <w:tab w:val="left" w:pos="964"/>
        <w:tab w:val="left" w:leader="dot" w:pos="8789"/>
      </w:tabs>
      <w:spacing w:before="80"/>
      <w:ind w:left="1531" w:right="851" w:hanging="851"/>
      <w:jc w:val="left"/>
    </w:pPr>
    <w:rPr>
      <w:noProof w:val="0"/>
      <w:sz w:val="24"/>
      <w:lang w:val="en-GB"/>
    </w:rPr>
  </w:style>
  <w:style w:type="paragraph" w:styleId="TOC9">
    <w:name w:val="toc 9"/>
    <w:basedOn w:val="Normal"/>
    <w:next w:val="Normal"/>
    <w:autoRedefine/>
    <w:semiHidden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760"/>
      <w:textAlignment w:val="auto"/>
    </w:pPr>
    <w:rPr>
      <w:rFonts w:ascii="Arial" w:hAnsi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CEOindent-endash">
    <w:name w:val="CEO_indent-endash"/>
    <w:basedOn w:val="Normal"/>
    <w:rsid w:val="001472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0"/>
      <w:jc w:val="left"/>
      <w:textAlignment w:val="auto"/>
    </w:pPr>
    <w:rPr>
      <w:rFonts w:ascii="Verdana" w:eastAsia="SimSun" w:hAnsi="Verdana"/>
      <w:sz w:val="18"/>
      <w:szCs w:val="19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weblogs/ITU-D-SG2-Q10/" TargetMode="External"/><Relationship Id="rId1" Type="http://schemas.openxmlformats.org/officeDocument/2006/relationships/hyperlink" Target="http://www.itu.int/ITU-D/study_groups/SGP_2006-2010/events/Case_Library/index.as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p\Application%20Data\Microsoft\Templates\Bdt_rap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Bdt_rap05.dot</Template>
  <TotalTime>1</TotalTime>
  <Pages>3</Pages>
  <Words>1119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Question 9-1/2</vt:lpstr>
    </vt:vector>
  </TitlesOfParts>
  <Manager>General Secretariat - Pool</Manager>
  <Company>CP..3346/NM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Question 9-1/2</dc:title>
  <dc:subject/>
  <dc:creator>mep</dc:creator>
  <cp:keywords/>
  <dc:description>Saisie + MEP: 01.02.2005/NM_x000d_
Corr. BAT: 13.04.2006/NM_x000d_
Corr. BAT: 04.05.2006/NM_x000d_
3ème Corr. BAT: 16.06.2006/NM_x000d_
Ultimes: 08.08.2006/MP</dc:description>
  <cp:lastModifiedBy>lucasi</cp:lastModifiedBy>
  <cp:revision>2</cp:revision>
  <cp:lastPrinted>2007-02-20T10:07:00Z</cp:lastPrinted>
  <dcterms:created xsi:type="dcterms:W3CDTF">2010-03-26T07:47:00Z</dcterms:created>
  <dcterms:modified xsi:type="dcterms:W3CDTF">2010-03-26T07:47:00Z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Q17-1-e.doc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>Geneva, 16-20 June 2003</vt:lpwstr>
  </property>
  <property fmtid="{D5CDD505-2E9C-101B-9397-08002B2CF9AE}" pid="6" name="Docauthor">
    <vt:lpwstr/>
  </property>
</Properties>
</file>