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1D07A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D07A5" w:rsidRDefault="00E65FB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D07A5" w:rsidRDefault="00BD40B6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D07A5" w:rsidRDefault="00BD40B6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1D07A5" w:rsidRDefault="001D07A5">
            <w:pPr>
              <w:spacing w:before="0"/>
            </w:pPr>
          </w:p>
        </w:tc>
      </w:tr>
    </w:tbl>
    <w:p w:rsidR="001D07A5" w:rsidRDefault="00BD40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D07A5" w:rsidRDefault="001D07A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D07A5">
        <w:trPr>
          <w:cantSplit/>
        </w:trPr>
        <w:tc>
          <w:tcPr>
            <w:tcW w:w="1126" w:type="dxa"/>
          </w:tcPr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D07A5" w:rsidRDefault="001D07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D07A5" w:rsidRDefault="001D07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D07A5" w:rsidRDefault="00BD40B6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1D07A5" w:rsidRDefault="001D07A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D07A5" w:rsidRDefault="001D07A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BD40B6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1D07A5" w:rsidRDefault="00BD40B6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1D07A5" w:rsidRDefault="00BD40B6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D07A5" w:rsidRDefault="00BD40B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1D07A5" w:rsidRDefault="00BD40B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1D07A5" w:rsidRDefault="00BD40B6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D07A5" w:rsidRDefault="001D07A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D07A5">
        <w:trPr>
          <w:cantSplit/>
        </w:trPr>
        <w:tc>
          <w:tcPr>
            <w:tcW w:w="908" w:type="dxa"/>
          </w:tcPr>
          <w:p w:rsidR="001D07A5" w:rsidRDefault="00BD40B6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1D07A5" w:rsidRDefault="00BD40B6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D07A5" w:rsidRDefault="001D07A5">
      <w:pPr>
        <w:rPr>
          <w:sz w:val="24"/>
          <w:szCs w:val="24"/>
          <w:lang w:val="fr-FR" w:eastAsia="zh-CN"/>
        </w:rPr>
      </w:pPr>
    </w:p>
    <w:p w:rsidR="001D07A5" w:rsidRDefault="00BD40B6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  <w:bookmarkStart w:id="0" w:name="_GoBack"/>
      <w:bookmarkEnd w:id="0"/>
    </w:p>
    <w:p w:rsidR="001D07A5" w:rsidRDefault="00BD40B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D07A5" w:rsidRDefault="00BD40B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D07A5" w:rsidRDefault="00BD40B6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D07A5" w:rsidRDefault="00BD40B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D07A5" w:rsidRDefault="001D07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D07A5" w:rsidRDefault="00BD40B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D07A5" w:rsidRDefault="001D07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D07A5" w:rsidRDefault="001D07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D07A5" w:rsidRDefault="00BD40B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D07A5" w:rsidRDefault="001D07A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D07A5" w:rsidRDefault="00BD40B6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D07A5" w:rsidRDefault="001D07A5">
      <w:pPr>
        <w:spacing w:before="720"/>
        <w:rPr>
          <w:rFonts w:ascii="Times New Roman" w:hAnsi="Times New Roman"/>
        </w:rPr>
        <w:sectPr w:rsidR="001D07A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D07A5" w:rsidRDefault="00BD40B6">
      <w:r>
        <w:lastRenderedPageBreak/>
        <w:t>Annex 1</w:t>
      </w:r>
    </w:p>
    <w:p w:rsidR="001D07A5" w:rsidRDefault="00BD40B6">
      <w:pPr>
        <w:jc w:val="center"/>
      </w:pPr>
      <w:r>
        <w:t>(to TSB AAP-2)</w:t>
      </w:r>
    </w:p>
    <w:p w:rsidR="001D07A5" w:rsidRDefault="001D07A5">
      <w:pPr>
        <w:rPr>
          <w:szCs w:val="22"/>
        </w:rPr>
      </w:pPr>
    </w:p>
    <w:p w:rsidR="001D07A5" w:rsidRDefault="00BD40B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1D07A5" w:rsidRDefault="00BD40B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D07A5" w:rsidRDefault="001D07A5">
      <w:pPr>
        <w:pStyle w:val="enumlev2"/>
        <w:rPr>
          <w:szCs w:val="22"/>
        </w:rPr>
      </w:pPr>
      <w:hyperlink r:id="rId13" w:history="1">
        <w:r w:rsidR="00BD40B6">
          <w:rPr>
            <w:rStyle w:val="Hyperlink"/>
            <w:szCs w:val="22"/>
          </w:rPr>
          <w:t>https://www.itu.int/ITU-T</w:t>
        </w:r>
      </w:hyperlink>
    </w:p>
    <w:p w:rsidR="001D07A5" w:rsidRDefault="00BD40B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D07A5" w:rsidRDefault="001D07A5">
      <w:pPr>
        <w:pStyle w:val="enumlev2"/>
        <w:rPr>
          <w:szCs w:val="22"/>
        </w:rPr>
      </w:pPr>
      <w:hyperlink r:id="rId14" w:history="1">
        <w:r w:rsidR="00BD40B6">
          <w:rPr>
            <w:rStyle w:val="Hyperlink"/>
            <w:szCs w:val="22"/>
          </w:rPr>
          <w:t>https://www.itu.int/ITU-T/aapinfo</w:t>
        </w:r>
      </w:hyperlink>
    </w:p>
    <w:p w:rsidR="001D07A5" w:rsidRDefault="00BD40B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D07A5" w:rsidRDefault="00BD40B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D07A5" w:rsidRDefault="001D07A5">
      <w:pPr>
        <w:pStyle w:val="enumlev2"/>
        <w:rPr>
          <w:szCs w:val="22"/>
        </w:rPr>
      </w:pPr>
      <w:hyperlink r:id="rId15" w:history="1">
        <w:r w:rsidR="00BD40B6">
          <w:rPr>
            <w:rStyle w:val="Hyperlink"/>
            <w:szCs w:val="22"/>
          </w:rPr>
          <w:t>https://www.itu.int/ITU-T/aap/</w:t>
        </w:r>
      </w:hyperlink>
    </w:p>
    <w:p w:rsidR="001D07A5" w:rsidRDefault="00BD40B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D07A5">
        <w:tc>
          <w:tcPr>
            <w:tcW w:w="987" w:type="dxa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D40B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D40B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D40B6">
                <w:rPr>
                  <w:rStyle w:val="Hyperlink"/>
                  <w:szCs w:val="22"/>
                </w:rPr>
                <w:t>https://www.itu.int/ITU-T/studygrou</w:t>
              </w:r>
              <w:r w:rsidR="00BD40B6">
                <w:rPr>
                  <w:rStyle w:val="Hyperlink"/>
                  <w:szCs w:val="22"/>
                </w:rPr>
                <w:t>ps/com03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D40B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D40B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D40B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D40B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D40B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D40B6">
                <w:rPr>
                  <w:rStyle w:val="Hyperlink"/>
                  <w:szCs w:val="22"/>
                </w:rPr>
                <w:t>https://www.itu.int/ITU-T/studygro</w:t>
              </w:r>
              <w:r w:rsidR="00BD40B6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D40B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D40B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D40B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D40B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D40B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D40B6">
                <w:rPr>
                  <w:rStyle w:val="Hyperlink"/>
                  <w:szCs w:val="22"/>
                </w:rPr>
                <w:t>https://www.itu.int/ITU-T/studyg</w:t>
              </w:r>
              <w:r w:rsidR="00BD40B6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D40B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D40B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D40B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D40B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D40B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D07A5">
        <w:tc>
          <w:tcPr>
            <w:tcW w:w="0" w:type="auto"/>
          </w:tcPr>
          <w:p w:rsidR="001D07A5" w:rsidRDefault="00BD40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D40B6">
                <w:rPr>
                  <w:rStyle w:val="Hyperlink"/>
                  <w:szCs w:val="22"/>
                </w:rPr>
                <w:t>https://www.itu.int/ITU-T/studyg</w:t>
              </w:r>
              <w:r w:rsidR="00BD40B6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1D07A5" w:rsidRDefault="001D07A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D40B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D07A5" w:rsidRDefault="001D07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D07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D07A5" w:rsidRDefault="00BD40B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7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7A5" w:rsidRDefault="00BD40B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7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7A5" w:rsidRDefault="001D07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7A5" w:rsidRDefault="001D07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7A5" w:rsidRDefault="001D07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38" w:history="1">
              <w:r w:rsidR="00BD40B6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Handshake procedures for digital subscriber line transceivers - Amendment 1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40" w:history="1">
              <w:r w:rsidR="00BD40B6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Physical layer management for MGfast transceivers -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42" w:history="1">
              <w:r w:rsidR="00BD40B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Characteristics of Ethernet transport network equipment functional blocks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44" w:history="1">
              <w:r w:rsidR="00BD40B6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Transceiver and system specifications for backhaul applications based on G.fast (G.fastback)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46" w:history="1">
              <w:r w:rsidR="00BD40B6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Multi-gigabit fast access to subscriber terminals (MGfast) - Physical layer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04-21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D07A5" w:rsidRDefault="00BD40B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7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7A5" w:rsidRDefault="00BD40B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7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7A5" w:rsidRDefault="001D07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7A5" w:rsidRDefault="001D07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7A5" w:rsidRDefault="00BD40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7A5" w:rsidRDefault="001D07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48" w:history="1">
              <w:r w:rsidR="00BD40B6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cooperation of multiple edge gateways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50" w:history="1">
              <w:r w:rsidR="00BD40B6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video distribution systems (</w:t>
            </w:r>
            <w:hyperlink r:id="rId5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52" w:history="1">
              <w:r w:rsidR="00BD40B6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multi-operator core network enabled multimedia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54" w:history="1">
              <w:r w:rsidR="00BD40B6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communication resource management in intelligent visual surveillance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56" w:history="1">
              <w:r w:rsidR="00BD40B6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cloud gaming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58" w:history="1">
              <w:r w:rsidR="00BD40B6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a real-time interactive multimedia service under poor network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60" w:history="1">
              <w:r w:rsidR="00BD40B6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smart speaker based intelligent multimedia communication system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62" w:history="1">
              <w:r w:rsidR="00BD40B6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and evaluation methods of non-interactive 2D real-person digital human application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64" w:history="1">
              <w:r w:rsidR="00BD40B6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Framework and metrics for digital human application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66" w:history="1">
              <w:r w:rsidR="00BD40B6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for inspection and examination services using civilian unmanned aerial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68" w:history="1">
              <w:r w:rsidR="00BD40B6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 xml:space="preserve">Requirements for change management </w:t>
            </w:r>
            <w:r>
              <w:t>in DLT-based decentralized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70" w:history="1">
              <w:r w:rsidR="00BD40B6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General framework for DLT-based invoices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72" w:history="1">
              <w:r w:rsidR="00BD40B6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Framework for telemedicine systems using ultra-high definition imaging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74" w:history="1">
              <w:r w:rsidR="00BD40B6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Accessibility of telehealth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76" w:history="1">
              <w:r w:rsidR="00BD40B6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Call signalling protocols and media stream packetization for packet-based multimedia communication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78" w:history="1">
              <w:r w:rsidR="00BD40B6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H.323 security: Support of DTLS for media streams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80" w:history="1">
              <w:r w:rsidR="00BD40B6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Control protocol for multimedia communicati</w:t>
            </w:r>
            <w:r>
              <w:t>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82" w:history="1">
              <w:r w:rsidR="00BD40B6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Versatile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84" w:history="1">
              <w:r w:rsidR="00BD40B6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Conformance specification for ITU-T H.266 versatile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86" w:history="1">
              <w:r w:rsidR="00BD40B6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Reference software for ITU-T H.266 versatile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88" w:history="1">
              <w:r w:rsidR="00BD40B6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Versatile supplemental enhancement information messages for coded video bitstreams (</w:t>
            </w:r>
            <w:hyperlink r:id="rId8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90" w:history="1">
              <w:r w:rsidR="00BD40B6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Packet-based multimedia communications systems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92" w:history="1">
              <w:r w:rsidR="00BD40B6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Architecture for intelligent video surveillance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94" w:history="1">
              <w:r w:rsidR="00BD40B6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Requirements and protocols for home surveillance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96" w:history="1">
              <w:r w:rsidR="00BD40B6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IPTV terminal devices: Basic model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98" w:history="1">
              <w:r w:rsidR="00BD40B6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Guidelines for safe listening devices/systems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100" w:history="1">
              <w:r w:rsidR="00BD40B6">
                <w:rPr>
                  <w:rStyle w:val="Hyperlink"/>
                  <w:sz w:val="20"/>
                </w:rPr>
                <w:t>T.701.21 (H.ACC-GAD)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Guidance on audio description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7A5">
        <w:trPr>
          <w:cantSplit/>
        </w:trPr>
        <w:tc>
          <w:tcPr>
            <w:tcW w:w="2090" w:type="dxa"/>
          </w:tcPr>
          <w:p w:rsidR="001D07A5" w:rsidRDefault="001D07A5">
            <w:hyperlink r:id="rId102" w:history="1">
              <w:r w:rsidR="00BD40B6">
                <w:rPr>
                  <w:rStyle w:val="Hyperlink"/>
                  <w:sz w:val="20"/>
                </w:rPr>
                <w:t>T.7</w:t>
              </w:r>
              <w:r w:rsidR="00BD40B6">
                <w:rPr>
                  <w:rStyle w:val="Hyperlink"/>
                  <w:sz w:val="20"/>
                </w:rPr>
                <w:t>01.25 (H.ACC-GAP)</w:t>
              </w:r>
            </w:hyperlink>
          </w:p>
        </w:tc>
        <w:tc>
          <w:tcPr>
            <w:tcW w:w="4000" w:type="dxa"/>
          </w:tcPr>
          <w:p w:rsidR="001D07A5" w:rsidRDefault="00BD40B6">
            <w:r>
              <w:t>Guidance on the audio presentation of text in videos, including captions, subtitles and other on-screen text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115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80" w:type="dxa"/>
          </w:tcPr>
          <w:p w:rsidR="001D07A5" w:rsidRDefault="001D07A5">
            <w:pPr>
              <w:jc w:val="center"/>
            </w:pPr>
          </w:p>
        </w:tc>
        <w:tc>
          <w:tcPr>
            <w:tcW w:w="860" w:type="dxa"/>
          </w:tcPr>
          <w:p w:rsidR="001D07A5" w:rsidRDefault="00BD40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D07A5" w:rsidRDefault="001D07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D07A5">
          <w:headerReference w:type="default" r:id="rId104"/>
          <w:footerReference w:type="default" r:id="rId10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D07A5" w:rsidRDefault="00BD40B6">
      <w:r>
        <w:lastRenderedPageBreak/>
        <w:t>Annex 2</w:t>
      </w:r>
    </w:p>
    <w:p w:rsidR="001D07A5" w:rsidRDefault="00BD40B6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1D07A5" w:rsidRDefault="00BD40B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D07A5" w:rsidRDefault="00BD40B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D07A5" w:rsidRDefault="00BD40B6">
      <w:r>
        <w:t>1)</w:t>
      </w:r>
      <w:r>
        <w:tab/>
        <w:t xml:space="preserve">Go to AAP search Web page at </w:t>
      </w:r>
      <w:hyperlink r:id="rId106" w:history="1">
        <w:r>
          <w:rPr>
            <w:rStyle w:val="Hyperlink"/>
            <w:szCs w:val="22"/>
          </w:rPr>
          <w:t>https://www.itu.int/ITU-T/aap/</w:t>
        </w:r>
      </w:hyperlink>
    </w:p>
    <w:p w:rsidR="001D07A5" w:rsidRDefault="00E65FB6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A5" w:rsidRDefault="00BD40B6">
      <w:r>
        <w:t>2)</w:t>
      </w:r>
      <w:r>
        <w:tab/>
        <w:t>Select your Recommendation</w:t>
      </w:r>
    </w:p>
    <w:p w:rsidR="001D07A5" w:rsidRDefault="00E65FB6">
      <w:pPr>
        <w:jc w:val="center"/>
        <w:rPr>
          <w:sz w:val="24"/>
        </w:rPr>
      </w:pPr>
      <w:r w:rsidRPr="001D07A5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A5" w:rsidRDefault="00BD40B6">
      <w:pPr>
        <w:keepNext/>
      </w:pPr>
      <w:r>
        <w:lastRenderedPageBreak/>
        <w:t>3)</w:t>
      </w:r>
      <w:r>
        <w:tab/>
        <w:t>Click the "Submit Comment" button</w:t>
      </w:r>
    </w:p>
    <w:p w:rsidR="001D07A5" w:rsidRDefault="00E65FB6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A5" w:rsidRDefault="00BD40B6">
      <w:r>
        <w:t>4)</w:t>
      </w:r>
      <w:r>
        <w:tab/>
        <w:t>Complete the on-line form and click on "Submit"</w:t>
      </w:r>
    </w:p>
    <w:p w:rsidR="001D07A5" w:rsidRDefault="00E65FB6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A5" w:rsidRDefault="00BD40B6">
      <w:r>
        <w:t>For more information, read the AAP tutorial on:</w:t>
      </w:r>
      <w:r>
        <w:tab/>
      </w:r>
      <w:r>
        <w:br/>
      </w:r>
      <w:hyperlink r:id="rId111" w:history="1">
        <w:r>
          <w:rPr>
            <w:rStyle w:val="Hyperlink"/>
          </w:rPr>
          <w:t>https://www.itu.int/ITU-T/aapinfo/files/AAPTutorial.pdf</w:t>
        </w:r>
      </w:hyperlink>
    </w:p>
    <w:p w:rsidR="001D07A5" w:rsidRDefault="00BD40B6">
      <w:r>
        <w:br w:type="page"/>
      </w:r>
      <w:r>
        <w:lastRenderedPageBreak/>
        <w:t>Annex 3</w:t>
      </w:r>
    </w:p>
    <w:p w:rsidR="001D07A5" w:rsidRDefault="00BD40B6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1D07A5" w:rsidRDefault="00BD40B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D07A5" w:rsidRDefault="00BD40B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D07A5">
        <w:tc>
          <w:tcPr>
            <w:tcW w:w="5000" w:type="pct"/>
            <w:gridSpan w:val="2"/>
            <w:shd w:val="clear" w:color="auto" w:fill="EFFAFF"/>
          </w:tcPr>
          <w:p w:rsidR="001D07A5" w:rsidRDefault="00BD40B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07A5" w:rsidRDefault="00BD40B6">
            <w:pPr>
              <w:pStyle w:val="Tabletext"/>
            </w:pPr>
            <w:r>
              <w:br/>
            </w:r>
            <w:r w:rsidR="001D07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7A5">
              <w:fldChar w:fldCharType="separate"/>
            </w:r>
            <w:r w:rsidR="001D07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D07A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7A5">
              <w:fldChar w:fldCharType="separate"/>
            </w:r>
            <w:r w:rsidR="001D07A5">
              <w:fldChar w:fldCharType="end"/>
            </w:r>
            <w:r>
              <w:t xml:space="preserve"> Additional Review (AR)</w:t>
            </w: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7A5" w:rsidRDefault="001D07A5">
            <w:pPr>
              <w:pStyle w:val="Tabletext"/>
            </w:pPr>
          </w:p>
        </w:tc>
      </w:tr>
      <w:tr w:rsidR="001D07A5">
        <w:tc>
          <w:tcPr>
            <w:tcW w:w="1623" w:type="pct"/>
            <w:shd w:val="clear" w:color="auto" w:fill="EFFAFF"/>
            <w:vAlign w:val="center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07A5" w:rsidRDefault="00BD40B6">
            <w:pPr>
              <w:pStyle w:val="Tabletext"/>
            </w:pPr>
            <w:r>
              <w:br/>
            </w:r>
            <w:r w:rsidR="001D07A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7A5">
              <w:fldChar w:fldCharType="separate"/>
            </w:r>
            <w:r w:rsidR="001D07A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1D07A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7A5">
              <w:fldChar w:fldCharType="separate"/>
            </w:r>
            <w:r w:rsidR="001D07A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D07A5">
        <w:tc>
          <w:tcPr>
            <w:tcW w:w="1623" w:type="pct"/>
            <w:shd w:val="clear" w:color="auto" w:fill="EFFAFF"/>
            <w:vAlign w:val="center"/>
          </w:tcPr>
          <w:p w:rsidR="001D07A5" w:rsidRDefault="00BD40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D07A5" w:rsidRDefault="00BD40B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D07A5" w:rsidRDefault="00BD40B6">
      <w:pPr>
        <w:rPr>
          <w:szCs w:val="22"/>
        </w:rPr>
      </w:pPr>
      <w:r>
        <w:tab/>
      </w:r>
      <w:r w:rsidR="001D07A5" w:rsidRPr="001D07A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D07A5">
        <w:rPr>
          <w:szCs w:val="22"/>
        </w:rPr>
      </w:r>
      <w:r w:rsidR="001D07A5">
        <w:rPr>
          <w:szCs w:val="22"/>
        </w:rPr>
        <w:fldChar w:fldCharType="separate"/>
      </w:r>
      <w:r w:rsidR="001D07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D07A5" w:rsidRDefault="00BD40B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D07A5" w:rsidRDefault="001D07A5">
      <w:pPr>
        <w:rPr>
          <w:i/>
          <w:iCs/>
          <w:szCs w:val="22"/>
        </w:rPr>
      </w:pPr>
    </w:p>
    <w:sectPr w:rsidR="001D07A5" w:rsidSect="001D07A5">
      <w:headerReference w:type="default" r:id="rId113"/>
      <w:footerReference w:type="default" r:id="rId11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B6" w:rsidRDefault="00BD40B6">
      <w:r>
        <w:separator/>
      </w:r>
    </w:p>
  </w:endnote>
  <w:endnote w:type="continuationSeparator" w:id="0">
    <w:p w:rsidR="00BD40B6" w:rsidRDefault="00B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A5" w:rsidRDefault="00BD40B6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D07A5">
      <w:tc>
        <w:tcPr>
          <w:tcW w:w="1985" w:type="dxa"/>
        </w:tcPr>
        <w:p w:rsidR="001D07A5" w:rsidRDefault="00BD40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D07A5" w:rsidRDefault="00BD40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D07A5" w:rsidRDefault="00BD40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D07A5" w:rsidRDefault="00BD40B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D07A5" w:rsidRDefault="00BD40B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D07A5" w:rsidRDefault="001D07A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A5" w:rsidRDefault="00BD40B6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A5" w:rsidRDefault="00BD40B6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B6" w:rsidRDefault="00BD40B6">
      <w:r>
        <w:t>____________________</w:t>
      </w:r>
    </w:p>
  </w:footnote>
  <w:footnote w:type="continuationSeparator" w:id="0">
    <w:p w:rsidR="00BD40B6" w:rsidRDefault="00BD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A5" w:rsidRDefault="00BD40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07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07A5">
      <w:rPr>
        <w:rStyle w:val="PageNumber"/>
        <w:szCs w:val="18"/>
      </w:rPr>
      <w:fldChar w:fldCharType="separate"/>
    </w:r>
    <w:r w:rsidR="00E65FB6">
      <w:rPr>
        <w:rStyle w:val="PageNumber"/>
        <w:noProof/>
        <w:szCs w:val="18"/>
      </w:rPr>
      <w:t>2</w:t>
    </w:r>
    <w:r w:rsidR="001D07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A5" w:rsidRDefault="00BD40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07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07A5">
      <w:rPr>
        <w:rStyle w:val="PageNumber"/>
        <w:szCs w:val="18"/>
      </w:rPr>
      <w:fldChar w:fldCharType="separate"/>
    </w:r>
    <w:r w:rsidR="00E65FB6">
      <w:rPr>
        <w:rStyle w:val="PageNumber"/>
        <w:noProof/>
        <w:szCs w:val="18"/>
      </w:rPr>
      <w:t>6</w:t>
    </w:r>
    <w:r w:rsidR="001D07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A5" w:rsidRDefault="00BD40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07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07A5">
      <w:rPr>
        <w:rStyle w:val="PageNumber"/>
        <w:szCs w:val="18"/>
      </w:rPr>
      <w:fldChar w:fldCharType="separate"/>
    </w:r>
    <w:r w:rsidR="00E65FB6">
      <w:rPr>
        <w:rStyle w:val="PageNumber"/>
        <w:noProof/>
        <w:szCs w:val="18"/>
      </w:rPr>
      <w:t>9</w:t>
    </w:r>
    <w:r w:rsidR="001D07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A5"/>
    <w:rsid w:val="001D07A5"/>
    <w:rsid w:val="00BD40B6"/>
    <w:rsid w:val="00E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2BC79-7D42-429A-9D25-E0513DF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73" TargetMode="External"/><Relationship Id="rId47" Type="http://schemas.openxmlformats.org/officeDocument/2006/relationships/hyperlink" Target="https://www.itu.int/ITU-T/aap/dologin_aap.asp?id=T01020027B20801MSWE.doc&amp;group=15" TargetMode="External"/><Relationship Id="rId63" Type="http://schemas.openxmlformats.org/officeDocument/2006/relationships/hyperlink" Target="https://www.itu.int/ITU-T/aap/dologin_aap.asp?id=T01020027F40801MSWE.docx&amp;group=16" TargetMode="External"/><Relationship Id="rId68" Type="http://schemas.openxmlformats.org/officeDocument/2006/relationships/hyperlink" Target="https://www.itu.int/t/aap/recdetails/10221" TargetMode="External"/><Relationship Id="rId84" Type="http://schemas.openxmlformats.org/officeDocument/2006/relationships/hyperlink" Target="https://www.itu.int/t/aap/recdetails/10231" TargetMode="External"/><Relationship Id="rId89" Type="http://schemas.openxmlformats.org/officeDocument/2006/relationships/hyperlink" Target="https://www.itu.int/ITU-T/aap/dologin_aap.asp?id=T01020027F80801MSWE.docx&amp;group=16" TargetMode="External"/><Relationship Id="rId112" Type="http://schemas.openxmlformats.org/officeDocument/2006/relationships/hyperlink" Target="mailto:tsbsg....@itu.int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2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EA0801MSWE.docx&amp;group=16" TargetMode="External"/><Relationship Id="rId58" Type="http://schemas.openxmlformats.org/officeDocument/2006/relationships/hyperlink" Target="https://www.itu.int/t/aap/recdetails/10220" TargetMode="External"/><Relationship Id="rId74" Type="http://schemas.openxmlformats.org/officeDocument/2006/relationships/hyperlink" Target="https://www.itu.int/t/aap/recdetails/10224" TargetMode="External"/><Relationship Id="rId79" Type="http://schemas.openxmlformats.org/officeDocument/2006/relationships/hyperlink" Target="https://www.itu.int/ITU-T/aap/dologin_aap.asp?id=T01020027E10801MSWE.docx&amp;group=16" TargetMode="External"/><Relationship Id="rId102" Type="http://schemas.openxmlformats.org/officeDocument/2006/relationships/hyperlink" Target="https://www.itu.int/t/aap/recdetails/102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07" TargetMode="External"/><Relationship Id="rId95" Type="http://schemas.openxmlformats.org/officeDocument/2006/relationships/hyperlink" Target="https://www.itu.int/ITU-T/aap/dologin_aap.asp?id=T01020027E3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BD0801MSWE.docx&amp;group=15" TargetMode="External"/><Relationship Id="rId48" Type="http://schemas.openxmlformats.org/officeDocument/2006/relationships/hyperlink" Target="https://www.itu.int/t/aap/recdetails/10216" TargetMode="External"/><Relationship Id="rId64" Type="http://schemas.openxmlformats.org/officeDocument/2006/relationships/hyperlink" Target="https://www.itu.int/t/aap/recdetails/10229" TargetMode="External"/><Relationship Id="rId69" Type="http://schemas.openxmlformats.org/officeDocument/2006/relationships/hyperlink" Target="https://www.itu.int/ITU-T/aap/dologin_aap.asp?id=T01020027ED0801MSWE.docx&amp;group=16" TargetMode="External"/><Relationship Id="rId113" Type="http://schemas.openxmlformats.org/officeDocument/2006/relationships/header" Target="header3.xml"/><Relationship Id="rId80" Type="http://schemas.openxmlformats.org/officeDocument/2006/relationships/hyperlink" Target="https://www.itu.int/t/aap/recdetails/10210" TargetMode="External"/><Relationship Id="rId85" Type="http://schemas.openxmlformats.org/officeDocument/2006/relationships/hyperlink" Target="https://www.itu.int/ITU-T/aap/dologin_aap.asp?id=T01020027F7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63" TargetMode="External"/><Relationship Id="rId59" Type="http://schemas.openxmlformats.org/officeDocument/2006/relationships/hyperlink" Target="https://www.itu.int/ITU-T/aap/dologin_aap.asp?id=T01020027EC0801MSWE.docx&amp;group=16" TargetMode="External"/><Relationship Id="rId103" Type="http://schemas.openxmlformats.org/officeDocument/2006/relationships/hyperlink" Target="https://www.itu.int/ITU-T/aap/dologin_aap.asp?id=T01020027FA0801MSWE.docx&amp;group=16" TargetMode="External"/><Relationship Id="rId108" Type="http://schemas.openxmlformats.org/officeDocument/2006/relationships/image" Target="media/image3.gif"/><Relationship Id="rId54" Type="http://schemas.openxmlformats.org/officeDocument/2006/relationships/hyperlink" Target="https://www.itu.int/t/aap/recdetails/10212" TargetMode="External"/><Relationship Id="rId70" Type="http://schemas.openxmlformats.org/officeDocument/2006/relationships/hyperlink" Target="https://www.itu.int/t/aap/recdetails/10222" TargetMode="External"/><Relationship Id="rId75" Type="http://schemas.openxmlformats.org/officeDocument/2006/relationships/hyperlink" Target="https://www.itu.int/ITU-T/aap/dologin_aap.asp?id=T01020027F00801MSWE.docx&amp;group=16" TargetMode="External"/><Relationship Id="rId91" Type="http://schemas.openxmlformats.org/officeDocument/2006/relationships/hyperlink" Target="https://www.itu.int/ITU-T/aap/dologin_aap.asp?id=T01020027DF0801MSWE.docx&amp;group=16" TargetMode="External"/><Relationship Id="rId96" Type="http://schemas.openxmlformats.org/officeDocument/2006/relationships/hyperlink" Target="https://www.itu.int/t/aap/recdetails/10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E80801MSWE.docx&amp;group=16" TargetMode="External"/><Relationship Id="rId57" Type="http://schemas.openxmlformats.org/officeDocument/2006/relationships/hyperlink" Target="https://www.itu.int/ITU-T/aap/dologin_aap.asp?id=T01020027EF0801MSWE.docx&amp;group=16" TargetMode="External"/><Relationship Id="rId106" Type="http://schemas.openxmlformats.org/officeDocument/2006/relationships/hyperlink" Target="https://www.itu.int/ITU-T/aap/" TargetMode="External"/><Relationship Id="rId114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6" TargetMode="External"/><Relationship Id="rId52" Type="http://schemas.openxmlformats.org/officeDocument/2006/relationships/hyperlink" Target="https://www.itu.int/t/aap/recdetails/10218" TargetMode="External"/><Relationship Id="rId60" Type="http://schemas.openxmlformats.org/officeDocument/2006/relationships/hyperlink" Target="https://www.itu.int/t/aap/recdetails/10227" TargetMode="External"/><Relationship Id="rId65" Type="http://schemas.openxmlformats.org/officeDocument/2006/relationships/hyperlink" Target="https://www.itu.int/ITU-T/aap/dologin_aap.asp?id=T01020027F50802MSWE.docx&amp;group=16" TargetMode="External"/><Relationship Id="rId73" Type="http://schemas.openxmlformats.org/officeDocument/2006/relationships/hyperlink" Target="https://www.itu.int/ITU-T/aap/dologin_aap.asp?id=T01020027F10801MSWE.docx&amp;group=16" TargetMode="External"/><Relationship Id="rId78" Type="http://schemas.openxmlformats.org/officeDocument/2006/relationships/hyperlink" Target="https://www.itu.int/t/aap/recdetails/10209" TargetMode="External"/><Relationship Id="rId81" Type="http://schemas.openxmlformats.org/officeDocument/2006/relationships/hyperlink" Target="https://www.itu.int/ITU-T/aap/dologin_aap.asp?id=T01020027E20801MSWE.docx&amp;group=16" TargetMode="External"/><Relationship Id="rId86" Type="http://schemas.openxmlformats.org/officeDocument/2006/relationships/hyperlink" Target="https://www.itu.int/t/aap/recdetails/10235" TargetMode="External"/><Relationship Id="rId94" Type="http://schemas.openxmlformats.org/officeDocument/2006/relationships/hyperlink" Target="https://www.itu.int/t/aap/recdetails/10211" TargetMode="External"/><Relationship Id="rId99" Type="http://schemas.openxmlformats.org/officeDocument/2006/relationships/hyperlink" Target="https://www.itu.int/ITU-T/aap/dologin_aap.asp?id=T01020027F20801MSWE.docx&amp;group=16" TargetMode="External"/><Relationship Id="rId101" Type="http://schemas.openxmlformats.org/officeDocument/2006/relationships/hyperlink" Target="https://www.itu.int/ITU-T/aap/dologin_aap.asp?id=T01020027F9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B30801MSWE.docx&amp;group=15" TargetMode="External"/><Relationship Id="rId109" Type="http://schemas.openxmlformats.org/officeDocument/2006/relationships/image" Target="media/image4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17" TargetMode="External"/><Relationship Id="rId55" Type="http://schemas.openxmlformats.org/officeDocument/2006/relationships/hyperlink" Target="https://www.itu.int/ITU-T/aap/dologin_aap.asp?id=T01020027E40801MSWE.docx&amp;group=16" TargetMode="External"/><Relationship Id="rId76" Type="http://schemas.openxmlformats.org/officeDocument/2006/relationships/hyperlink" Target="https://www.itu.int/t/aap/recdetails/10208" TargetMode="External"/><Relationship Id="rId97" Type="http://schemas.openxmlformats.org/officeDocument/2006/relationships/hyperlink" Target="https://www.itu.int/ITU-T/aap/dologin_aap.asp?id=T01020027E60801MSWE.docx&amp;group=16" TargetMode="External"/><Relationship Id="rId10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EE0801MSWE.docx&amp;group=16" TargetMode="External"/><Relationship Id="rId92" Type="http://schemas.openxmlformats.org/officeDocument/2006/relationships/hyperlink" Target="https://www.itu.int/t/aap/recdetails/1021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65" TargetMode="External"/><Relationship Id="rId45" Type="http://schemas.openxmlformats.org/officeDocument/2006/relationships/hyperlink" Target="https://www.itu.int/ITU-T/aap/dologin_aap.asp?id=T01020027B60801MSWE.docx&amp;group=15" TargetMode="External"/><Relationship Id="rId66" Type="http://schemas.openxmlformats.org/officeDocument/2006/relationships/hyperlink" Target="https://www.itu.int/t/aap/recdetails/10219" TargetMode="External"/><Relationship Id="rId87" Type="http://schemas.openxmlformats.org/officeDocument/2006/relationships/hyperlink" Target="https://www.itu.int/ITU-T/aap/dologin_aap.asp?id=T01020027FB0801MSWE.docx&amp;group=16" TargetMode="External"/><Relationship Id="rId110" Type="http://schemas.openxmlformats.org/officeDocument/2006/relationships/image" Target="media/image5.gif"/><Relationship Id="rId115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27F30802MSWE.docx&amp;group=16" TargetMode="External"/><Relationship Id="rId82" Type="http://schemas.openxmlformats.org/officeDocument/2006/relationships/hyperlink" Target="https://www.itu.int/t/aap/recdetails/102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23" TargetMode="External"/><Relationship Id="rId77" Type="http://schemas.openxmlformats.org/officeDocument/2006/relationships/hyperlink" Target="https://www.itu.int/ITU-T/aap/dologin_aap.asp?id=T01020027E00801MSWE.docx&amp;group=16" TargetMode="External"/><Relationship Id="rId100" Type="http://schemas.openxmlformats.org/officeDocument/2006/relationships/hyperlink" Target="https://www.itu.int/t/aap/recdetails/10233" TargetMode="External"/><Relationship Id="rId105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E90801MSWE.docx&amp;group=16" TargetMode="External"/><Relationship Id="rId72" Type="http://schemas.openxmlformats.org/officeDocument/2006/relationships/hyperlink" Target="https://www.itu.int/t/aap/recdetails/10225" TargetMode="External"/><Relationship Id="rId93" Type="http://schemas.openxmlformats.org/officeDocument/2006/relationships/hyperlink" Target="https://www.itu.int/ITU-T/aap/dologin_aap.asp?id=T01020027E50801MSWE.docx&amp;group=16" TargetMode="External"/><Relationship Id="rId98" Type="http://schemas.openxmlformats.org/officeDocument/2006/relationships/hyperlink" Target="https://www.itu.int/t/aap/recdetails/1022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62" TargetMode="External"/><Relationship Id="rId67" Type="http://schemas.openxmlformats.org/officeDocument/2006/relationships/hyperlink" Target="https://www.itu.int/ITU-T/aap/dologin_aap.asp?id=T01020027EB0802MSWE.docx&amp;group=1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B50801MSWE.docx&amp;group=15" TargetMode="External"/><Relationship Id="rId62" Type="http://schemas.openxmlformats.org/officeDocument/2006/relationships/hyperlink" Target="https://www.itu.int/t/aap/recdetails/10228" TargetMode="External"/><Relationship Id="rId83" Type="http://schemas.openxmlformats.org/officeDocument/2006/relationships/hyperlink" Target="https://www.itu.int/ITU-T/aap/dologin_aap.asp?id=T01020027F60801MSWE.docx&amp;group=16" TargetMode="External"/><Relationship Id="rId88" Type="http://schemas.openxmlformats.org/officeDocument/2006/relationships/hyperlink" Target="https://www.itu.int/t/aap/recdetails/10232" TargetMode="External"/><Relationship Id="rId111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2244</Words>
  <Characters>12795</Characters>
  <Application>Microsoft Office Word</Application>
  <DocSecurity>0</DocSecurity>
  <Lines>106</Lines>
  <Paragraphs>30</Paragraphs>
  <ScaleCrop>false</ScaleCrop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2022-03-31T13:50:00Z</dcterms:created>
  <dcterms:modified xsi:type="dcterms:W3CDTF">2022-03-31T13:50:00Z</dcterms:modified>
</cp:coreProperties>
</file>