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243E2C" w:rsidRPr="002576D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43E2C" w:rsidRDefault="002576D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4220" cy="74422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43E2C" w:rsidRPr="002576DC" w:rsidRDefault="00C13A9E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FR"/>
              </w:rPr>
            </w:pPr>
            <w:r w:rsidRPr="002576DC">
              <w:rPr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243E2C" w:rsidRPr="002576DC" w:rsidRDefault="00C13A9E">
            <w:pPr>
              <w:rPr>
                <w:lang w:val="fr-FR"/>
              </w:rPr>
            </w:pPr>
            <w:r w:rsidRPr="002576DC">
              <w:rPr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243E2C" w:rsidRPr="002576DC" w:rsidRDefault="00243E2C">
            <w:pPr>
              <w:spacing w:before="0"/>
              <w:rPr>
                <w:lang w:val="fr-FR"/>
              </w:rPr>
            </w:pPr>
          </w:p>
        </w:tc>
      </w:tr>
    </w:tbl>
    <w:p w:rsidR="00243E2C" w:rsidRPr="002576DC" w:rsidRDefault="00243E2C">
      <w:pPr>
        <w:rPr>
          <w:lang w:val="fr-FR"/>
        </w:rPr>
      </w:pPr>
    </w:p>
    <w:p w:rsidR="00243E2C" w:rsidRDefault="00C13A9E">
      <w:pPr>
        <w:jc w:val="right"/>
      </w:pPr>
      <w:r>
        <w:rPr>
          <w:lang w:val="fr-CH"/>
        </w:rPr>
        <w:t>Genève, le 1 novembre 2019</w:t>
      </w:r>
      <w:r>
        <w:tab/>
      </w:r>
    </w:p>
    <w:p w:rsidR="00243E2C" w:rsidRDefault="00243E2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243E2C" w:rsidRPr="002576DC">
        <w:trPr>
          <w:cantSplit/>
        </w:trPr>
        <w:tc>
          <w:tcPr>
            <w:tcW w:w="843" w:type="dxa"/>
          </w:tcPr>
          <w:p w:rsidR="00243E2C" w:rsidRPr="002576DC" w:rsidRDefault="00C13A9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2576DC">
              <w:rPr>
                <w:szCs w:val="22"/>
                <w:lang w:val="fr-FR"/>
              </w:rPr>
              <w:t>Réf:</w:t>
            </w:r>
          </w:p>
          <w:p w:rsidR="00243E2C" w:rsidRPr="002576DC" w:rsidRDefault="00243E2C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243E2C" w:rsidRPr="002576DC" w:rsidRDefault="00243E2C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243E2C" w:rsidRPr="002576DC" w:rsidRDefault="00C13A9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2576DC">
              <w:rPr>
                <w:szCs w:val="22"/>
                <w:lang w:val="fr-FR"/>
              </w:rPr>
              <w:t>Tél:</w:t>
            </w:r>
          </w:p>
          <w:p w:rsidR="00243E2C" w:rsidRPr="002576DC" w:rsidRDefault="00C13A9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2576DC">
              <w:rPr>
                <w:szCs w:val="22"/>
                <w:lang w:val="fr-FR"/>
              </w:rPr>
              <w:t>Fax:</w:t>
            </w:r>
          </w:p>
          <w:p w:rsidR="00243E2C" w:rsidRPr="002576DC" w:rsidRDefault="00C13A9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2576DC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243E2C" w:rsidRDefault="00C13A9E">
            <w:pPr>
              <w:pStyle w:val="Tabletext"/>
              <w:spacing w:before="0"/>
              <w:rPr>
                <w:b/>
                <w:szCs w:val="22"/>
              </w:rPr>
            </w:pPr>
            <w:r w:rsidRPr="002576DC">
              <w:rPr>
                <w:b/>
                <w:szCs w:val="22"/>
                <w:lang w:val="fr-FR"/>
              </w:rPr>
              <w:t xml:space="preserve"> </w:t>
            </w:r>
            <w:r w:rsidRPr="002576DC">
              <w:rPr>
                <w:b/>
                <w:szCs w:val="22"/>
                <w:lang w:val="fr-FR"/>
              </w:rPr>
              <w:tab/>
            </w:r>
            <w:r w:rsidRPr="002576DC">
              <w:rPr>
                <w:b/>
                <w:szCs w:val="22"/>
                <w:lang w:val="fr-FR"/>
              </w:rPr>
              <w:tab/>
            </w:r>
            <w:r w:rsidRPr="002576DC">
              <w:rPr>
                <w:b/>
                <w:szCs w:val="22"/>
                <w:lang w:val="fr-FR"/>
              </w:rPr>
              <w:tab/>
            </w:r>
            <w:r w:rsidRPr="002576DC">
              <w:rPr>
                <w:b/>
                <w:szCs w:val="22"/>
                <w:lang w:val="fr-FR"/>
              </w:rPr>
              <w:tab/>
            </w:r>
            <w:r w:rsidRPr="002576DC">
              <w:rPr>
                <w:b/>
                <w:szCs w:val="22"/>
                <w:lang w:val="fr-FR"/>
              </w:rPr>
              <w:tab/>
            </w:r>
            <w:r w:rsidRPr="002576DC">
              <w:rPr>
                <w:b/>
                <w:szCs w:val="22"/>
                <w:lang w:val="fr-FR"/>
              </w:rPr>
              <w:tab/>
              <w:t xml:space="preserve">  </w:t>
            </w:r>
            <w:r>
              <w:rPr>
                <w:b/>
                <w:szCs w:val="22"/>
              </w:rPr>
              <w:t xml:space="preserve">TSB AAP-69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243E2C" w:rsidRDefault="00C13A9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43E2C" w:rsidRDefault="00243E2C">
            <w:pPr>
              <w:pStyle w:val="Tabletext"/>
              <w:spacing w:before="0"/>
              <w:rPr>
                <w:szCs w:val="22"/>
              </w:rPr>
            </w:pPr>
          </w:p>
          <w:p w:rsidR="00243E2C" w:rsidRDefault="00C13A9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43E2C" w:rsidRDefault="00C13A9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43E2C" w:rsidRDefault="00243E2C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C13A9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43E2C" w:rsidRDefault="00C13A9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243E2C" w:rsidRDefault="00C13A9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243E2C" w:rsidRDefault="00C13A9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243E2C" w:rsidRDefault="00C13A9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243E2C" w:rsidRDefault="00C13A9E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243E2C" w:rsidRDefault="00C13A9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243E2C" w:rsidRDefault="00C13A9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243E2C" w:rsidRDefault="00C13A9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243E2C" w:rsidRDefault="00243E2C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43E2C" w:rsidRPr="002576DC">
        <w:trPr>
          <w:cantSplit/>
        </w:trPr>
        <w:tc>
          <w:tcPr>
            <w:tcW w:w="908" w:type="dxa"/>
          </w:tcPr>
          <w:p w:rsidR="00243E2C" w:rsidRDefault="00C13A9E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243E2C" w:rsidRDefault="00C13A9E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243E2C" w:rsidRDefault="00243E2C">
      <w:pPr>
        <w:rPr>
          <w:lang w:val="fr-FR"/>
        </w:rPr>
      </w:pPr>
    </w:p>
    <w:p w:rsidR="00243E2C" w:rsidRDefault="00C13A9E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243E2C" w:rsidRDefault="00243E2C">
      <w:pPr>
        <w:rPr>
          <w:lang w:val="fr-CH"/>
        </w:rPr>
      </w:pPr>
    </w:p>
    <w:p w:rsidR="00243E2C" w:rsidRDefault="00C13A9E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243E2C" w:rsidRDefault="00C13A9E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243E2C" w:rsidRDefault="00C13A9E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243E2C" w:rsidRDefault="00C13A9E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243E2C" w:rsidRDefault="00C13A9E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243E2C" w:rsidRDefault="00C13A9E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243E2C" w:rsidRPr="002576DC" w:rsidRDefault="00243E2C">
      <w:pPr>
        <w:rPr>
          <w:lang w:val="fr-FR"/>
        </w:rPr>
      </w:pPr>
    </w:p>
    <w:p w:rsidR="00243E2C" w:rsidRDefault="00C13A9E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243E2C" w:rsidRDefault="00243E2C">
      <w:pPr>
        <w:spacing w:before="720"/>
        <w:rPr>
          <w:rFonts w:ascii="Times New Roman" w:hAnsi="Times New Roman"/>
        </w:rPr>
        <w:sectPr w:rsidR="00243E2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43E2C" w:rsidRDefault="00C13A9E">
      <w:r>
        <w:lastRenderedPageBreak/>
        <w:t>Annex 1</w:t>
      </w:r>
    </w:p>
    <w:p w:rsidR="00243E2C" w:rsidRDefault="00C13A9E">
      <w:pPr>
        <w:jc w:val="center"/>
      </w:pPr>
      <w:r>
        <w:t>(to TSB AAP-69)</w:t>
      </w:r>
    </w:p>
    <w:p w:rsidR="00243E2C" w:rsidRDefault="00243E2C">
      <w:pPr>
        <w:rPr>
          <w:szCs w:val="22"/>
        </w:rPr>
      </w:pPr>
    </w:p>
    <w:p w:rsidR="00243E2C" w:rsidRDefault="00C13A9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43E2C" w:rsidRDefault="00C13A9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43E2C" w:rsidRDefault="00C13A9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43E2C" w:rsidRDefault="00C13A9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43E2C" w:rsidRDefault="00C13A9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43E2C" w:rsidRDefault="00C13A9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43E2C" w:rsidRDefault="00C13A9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43E2C" w:rsidRDefault="00C13A9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43E2C" w:rsidRDefault="00C13A9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43E2C" w:rsidRDefault="00C13A9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43E2C" w:rsidRDefault="00C13A9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43E2C" w:rsidRDefault="00C13A9E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243E2C" w:rsidRDefault="00243E2C">
      <w:pPr>
        <w:pStyle w:val="enumlev2"/>
        <w:rPr>
          <w:szCs w:val="22"/>
        </w:rPr>
      </w:pPr>
      <w:hyperlink r:id="rId13" w:history="1">
        <w:r w:rsidR="00C13A9E">
          <w:rPr>
            <w:rStyle w:val="Hyperlink"/>
            <w:szCs w:val="22"/>
          </w:rPr>
          <w:t>https://www.itu.int/ITU-T</w:t>
        </w:r>
      </w:hyperlink>
    </w:p>
    <w:p w:rsidR="00243E2C" w:rsidRDefault="00C13A9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43E2C" w:rsidRDefault="00243E2C">
      <w:pPr>
        <w:pStyle w:val="enumlev2"/>
        <w:rPr>
          <w:szCs w:val="22"/>
        </w:rPr>
      </w:pPr>
      <w:hyperlink r:id="rId14" w:history="1">
        <w:r w:rsidR="00C13A9E">
          <w:rPr>
            <w:rStyle w:val="Hyperlink"/>
            <w:szCs w:val="22"/>
          </w:rPr>
          <w:t>https://www.itu.int/ITU-T/aapinfo</w:t>
        </w:r>
      </w:hyperlink>
    </w:p>
    <w:p w:rsidR="00243E2C" w:rsidRDefault="00C13A9E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243E2C" w:rsidRDefault="00C13A9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43E2C" w:rsidRDefault="00243E2C">
      <w:pPr>
        <w:pStyle w:val="enumlev2"/>
        <w:rPr>
          <w:szCs w:val="22"/>
        </w:rPr>
      </w:pPr>
      <w:hyperlink r:id="rId15" w:history="1">
        <w:r w:rsidR="00C13A9E">
          <w:rPr>
            <w:rStyle w:val="Hyperlink"/>
            <w:szCs w:val="22"/>
          </w:rPr>
          <w:t>https://www.itu.int/ITU-T/aap/</w:t>
        </w:r>
      </w:hyperlink>
    </w:p>
    <w:p w:rsidR="00243E2C" w:rsidRDefault="00C13A9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43E2C">
        <w:tc>
          <w:tcPr>
            <w:tcW w:w="987" w:type="dxa"/>
          </w:tcPr>
          <w:p w:rsidR="00243E2C" w:rsidRDefault="00C13A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13A9E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13A9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43E2C">
        <w:tc>
          <w:tcPr>
            <w:tcW w:w="0" w:type="auto"/>
          </w:tcPr>
          <w:p w:rsidR="00243E2C" w:rsidRDefault="00C13A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13A9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13A9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43E2C">
        <w:tc>
          <w:tcPr>
            <w:tcW w:w="0" w:type="auto"/>
          </w:tcPr>
          <w:p w:rsidR="00243E2C" w:rsidRDefault="00C13A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13A9E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13A9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43E2C">
        <w:tc>
          <w:tcPr>
            <w:tcW w:w="0" w:type="auto"/>
          </w:tcPr>
          <w:p w:rsidR="00243E2C" w:rsidRDefault="00C13A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13A9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13A9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43E2C">
        <w:tc>
          <w:tcPr>
            <w:tcW w:w="0" w:type="auto"/>
          </w:tcPr>
          <w:p w:rsidR="00243E2C" w:rsidRDefault="00C13A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13A9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13A9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43E2C">
        <w:tc>
          <w:tcPr>
            <w:tcW w:w="0" w:type="auto"/>
          </w:tcPr>
          <w:p w:rsidR="00243E2C" w:rsidRDefault="00C13A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13A9E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13A9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43E2C">
        <w:tc>
          <w:tcPr>
            <w:tcW w:w="0" w:type="auto"/>
          </w:tcPr>
          <w:p w:rsidR="00243E2C" w:rsidRDefault="00C13A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13A9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13A9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43E2C">
        <w:tc>
          <w:tcPr>
            <w:tcW w:w="0" w:type="auto"/>
          </w:tcPr>
          <w:p w:rsidR="00243E2C" w:rsidRDefault="00C13A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13A9E">
                <w:rPr>
                  <w:rStyle w:val="Hyperlink"/>
                  <w:szCs w:val="22"/>
                </w:rPr>
                <w:t>https://www.itu.int/ITU-T/studyg</w:t>
              </w:r>
              <w:r w:rsidR="00C13A9E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13A9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43E2C">
        <w:tc>
          <w:tcPr>
            <w:tcW w:w="0" w:type="auto"/>
          </w:tcPr>
          <w:p w:rsidR="00243E2C" w:rsidRDefault="00C13A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13A9E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13A9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43E2C">
        <w:tc>
          <w:tcPr>
            <w:tcW w:w="0" w:type="auto"/>
          </w:tcPr>
          <w:p w:rsidR="00243E2C" w:rsidRDefault="00C13A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13A9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13A9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43E2C">
        <w:tc>
          <w:tcPr>
            <w:tcW w:w="0" w:type="auto"/>
          </w:tcPr>
          <w:p w:rsidR="00243E2C" w:rsidRDefault="00C13A9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13A9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243E2C" w:rsidRDefault="00243E2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13A9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43E2C" w:rsidRDefault="00243E2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43E2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43E2C" w:rsidRDefault="00C13A9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43E2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43E2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38" w:history="1">
              <w:r w:rsidR="00C13A9E">
                <w:rPr>
                  <w:rStyle w:val="Hyperlink"/>
                  <w:sz w:val="20"/>
                </w:rPr>
                <w:t>K.44 (Revision of K.44)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Resistibility tests for telecommunication equipment exposed to overvoltages and overcurrents - Basic Recommendation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40" w:history="1">
              <w:r w:rsidR="00C13A9E">
                <w:rPr>
                  <w:rStyle w:val="Hyperlink"/>
                  <w:sz w:val="20"/>
                </w:rPr>
                <w:t>K.45 (Revision of K.45)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Resistibility of telecommunication equipment installed in the access and trunk 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9-06-16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42" w:history="1">
              <w:r w:rsidR="00C13A9E">
                <w:rPr>
                  <w:rStyle w:val="Hyperlink"/>
                  <w:sz w:val="20"/>
                </w:rPr>
                <w:t>L.1022 (L.CE_Concepts)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Circular Economy: Definitions and concepts for material efficiency for Information and Communication Technology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43E2C" w:rsidRDefault="00C13A9E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43E2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43E2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44" w:history="1">
              <w:r w:rsidR="00C13A9E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Internet protocol data communication service - IP packet transfer and availability performance parameters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243E2C" w:rsidRDefault="00C13A9E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43E2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43E2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46" w:history="1">
              <w:r w:rsidR="00C13A9E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Framework for Networks supporting Quantum Key Distribution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2019-09-21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43E2C" w:rsidRDefault="00C13A9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43E2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43E2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48" w:history="1">
              <w:r w:rsidR="00C13A9E">
                <w:rPr>
                  <w:rStyle w:val="Hyperlink"/>
                  <w:sz w:val="20"/>
                </w:rPr>
                <w:t>G.9701 (2019) Amd.1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Fast access to subscriber terminals (G.fast) - Physical layer specification - Amendment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2019-11-21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50" w:history="1">
              <w:r w:rsidR="00C13A9E">
                <w:rPr>
                  <w:rStyle w:val="Hyperlink"/>
                  <w:sz w:val="20"/>
                </w:rPr>
                <w:t>G.9701 (2019) Cor.1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Fast access to subscriber terminals (G.fast) - Physical layer specification - Corrigendum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2019-11-21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52" w:history="1">
              <w:r w:rsidR="00C13A9E">
                <w:rPr>
                  <w:rStyle w:val="Hyperlink"/>
                  <w:sz w:val="20"/>
                </w:rPr>
                <w:t>G.9804.1 (G.hsp.req)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Higher Speed Passive Optical Networks: Requirements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2019-11-21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43E2C" w:rsidRDefault="00C13A9E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43E2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43E2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54" w:history="1">
              <w:r w:rsidR="00C13A9E">
                <w:rPr>
                  <w:rStyle w:val="Hyperlink"/>
                  <w:sz w:val="20"/>
                </w:rPr>
                <w:t>F.740.1 (F.ISOMReqs)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Requirements for an information service of objects in museums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56" w:history="1">
              <w:r w:rsidR="00C13A9E">
                <w:rPr>
                  <w:rStyle w:val="Hyperlink"/>
                  <w:sz w:val="20"/>
                </w:rPr>
                <w:t>F.743 (V2)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Requirements and service description for video surveillance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58" w:history="1">
              <w:r w:rsidR="00C13A9E">
                <w:rPr>
                  <w:rStyle w:val="Hyperlink"/>
                  <w:sz w:val="20"/>
                </w:rPr>
                <w:t>F.743.10 (F.CDN-MEC)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Requirements for mobile edge computing enabled content delivery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60" w:history="1">
              <w:r w:rsidR="00C13A9E">
                <w:rPr>
                  <w:rStyle w:val="Hyperlink"/>
                  <w:sz w:val="20"/>
                </w:rPr>
                <w:t>F.749.11 (F.CUAV-MEC)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Requirements of civilian unmanned aerial vehicles enabled mobile edge computing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62" w:history="1">
              <w:r w:rsidR="00C13A9E">
                <w:rPr>
                  <w:rStyle w:val="Hyperlink"/>
                  <w:sz w:val="20"/>
                </w:rPr>
                <w:t>H.222.0 (2019) Amd.1 (H.222.0 (2018))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Information technology - Generic coding of moving pictures and associated audio information: Systems: Carriage of JPEG XS in MPEG-2 TS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64" w:history="1">
              <w:r w:rsidR="00C13A9E">
                <w:rPr>
                  <w:rStyle w:val="Hyperlink"/>
                  <w:sz w:val="20"/>
                </w:rPr>
                <w:t>H.222.0 (2019) Cor.1 (H.222.0 (2018))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Inform</w:t>
            </w:r>
            <w:r>
              <w:t>ation technology - Generic coding of moving pictures and associated audio information: Systems: Correction of stream_type value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66" w:history="1">
              <w:r w:rsidR="00C13A9E">
                <w:rPr>
                  <w:rStyle w:val="Hyperlink"/>
                  <w:sz w:val="20"/>
                </w:rPr>
                <w:t>H.265 (V7)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High efficiency video coding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68" w:history="1">
              <w:r w:rsidR="00C13A9E">
                <w:rPr>
                  <w:rStyle w:val="Hyperlink"/>
                  <w:sz w:val="20"/>
                </w:rPr>
                <w:t>H.430.4 (H.ILE-MMT)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Service configuration, media transport protocols, signalling information of MMT for Immersive Live Experience (ILE) systems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70" w:history="1">
              <w:r w:rsidR="00C13A9E">
                <w:rPr>
                  <w:rStyle w:val="Hyperlink"/>
                  <w:sz w:val="20"/>
                </w:rPr>
                <w:t>H.626 (V2)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Architectural requirements f</w:t>
            </w:r>
            <w:r>
              <w:t>or video surveillance system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72" w:history="1">
              <w:r w:rsidR="00C13A9E">
                <w:rPr>
                  <w:rStyle w:val="Hyperlink"/>
                  <w:sz w:val="20"/>
                </w:rPr>
                <w:t>H.629.1 (F.DRIDS)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Scenarios, framework and metadata for digitalized artwork images display system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74" w:history="1">
              <w:r w:rsidR="00C13A9E">
                <w:rPr>
                  <w:rStyle w:val="Hyperlink"/>
                  <w:sz w:val="20"/>
                </w:rPr>
                <w:t>H.644.2 (H.VCDN.1-NV)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Virtual content delivery network: Network virtualization (</w:t>
            </w:r>
            <w:hyperlink r:id="rId75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76" w:history="1">
              <w:r w:rsidR="00C13A9E">
                <w:rPr>
                  <w:rStyle w:val="Hyperlink"/>
                  <w:sz w:val="20"/>
                </w:rPr>
                <w:t>H.753 (H.IPTV-SBM)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Scene-based metadata for IPTV services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78" w:history="1">
              <w:r w:rsidR="00C13A9E">
                <w:rPr>
                  <w:rStyle w:val="Hyperlink"/>
                  <w:sz w:val="20"/>
                </w:rPr>
                <w:t>H.764 (V2)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IPTV services enhanced script language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80" w:history="1">
              <w:r w:rsidR="00C13A9E">
                <w:rPr>
                  <w:rStyle w:val="Hyperlink"/>
                  <w:sz w:val="20"/>
                </w:rPr>
                <w:t>H.810 (2019-10)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Interoperability design guidelines for personal connected health systems: Introduction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82" w:history="1">
              <w:r w:rsidR="00C13A9E">
                <w:rPr>
                  <w:rStyle w:val="Hyperlink"/>
                  <w:sz w:val="20"/>
                </w:rPr>
                <w:t>H.813 (2019-10)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Interoperability design guidelines for personal connected health systems: Healthcare Information S</w:t>
            </w:r>
            <w:r>
              <w:t>ystem interface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84" w:history="1">
              <w:r w:rsidR="00C13A9E">
                <w:rPr>
                  <w:rStyle w:val="Hyperlink"/>
                  <w:sz w:val="20"/>
                </w:rPr>
                <w:t>H.830.15 (2019-10)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Conformance of ITU-T H.810 personal health system: Services interface Part 15: FHIR Observation Upload: Health &amp; Fitness Service sender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86" w:history="1">
              <w:r w:rsidR="00C13A9E">
                <w:rPr>
                  <w:rStyle w:val="Hyperlink"/>
                  <w:sz w:val="20"/>
                </w:rPr>
                <w:t>H.842 (2019-10)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Conformance of ITU-T H.810 personal health system: Personal Health Devices interface Part 2: Optimized Exchange Protocol: Personal Health Gateway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88" w:history="1">
              <w:r w:rsidR="00C13A9E">
                <w:rPr>
                  <w:rStyle w:val="Hyperlink"/>
                  <w:sz w:val="20"/>
                </w:rPr>
                <w:t>H.844 (2019-10)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Conformance of ITU-T H.810 personal health system: Personal Health Devices interface Part 4: Continua Design Guidelines: Personal H</w:t>
            </w:r>
            <w:r>
              <w:t>ealth Gateway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90" w:history="1">
              <w:r w:rsidR="00C13A9E">
                <w:rPr>
                  <w:rStyle w:val="Hyperlink"/>
                  <w:sz w:val="20"/>
                </w:rPr>
                <w:t>H.845.17 (2019-10)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Conformance of ITU-T H.810 personal health system: Personal Health Devices interface Part 5Q: Power status monitor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92" w:history="1">
              <w:r w:rsidR="00C13A9E">
                <w:rPr>
                  <w:rStyle w:val="Hyperlink"/>
                  <w:sz w:val="20"/>
                </w:rPr>
                <w:t>H.846 (2019-10)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Conformance of ITU-T H.810 personal health system: Personal Health Devices interface Part 6: Personal Health Gateway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94" w:history="1">
              <w:r w:rsidR="00C13A9E">
                <w:rPr>
                  <w:rStyle w:val="Hyperlink"/>
                  <w:sz w:val="20"/>
                </w:rPr>
                <w:t>H.850 (2019-10)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Conformance of ITU-T H.810 personal health system: Personal Health</w:t>
            </w:r>
            <w:r>
              <w:t xml:space="preserve"> Devices interface Part 10: Transcoding for Bluetooth Low Energy: Personal Health Gateway - General requirements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96" w:history="1">
              <w:r w:rsidR="00C13A9E">
                <w:rPr>
                  <w:rStyle w:val="Hyperlink"/>
                  <w:sz w:val="20"/>
                </w:rPr>
                <w:t>H.850.6 (2019-10)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Conformance of ITU-T H.810 personal health system: Personal Health Devices interface Part 10F: Transcoding for Bluetooth Low Energy: Personal Health Gateway - Pul</w:t>
            </w:r>
            <w:r>
              <w:t>se oximeter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98" w:history="1">
              <w:r w:rsidR="00C13A9E">
                <w:rPr>
                  <w:rStyle w:val="Hyperlink"/>
                  <w:sz w:val="20"/>
                </w:rPr>
                <w:t>H.850.7 (2019-10)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Conformance of ITU-T H.810 personal health system: Personal Health Devices interface Part 10G: Transcoding for Bluetooth Low Energy: Personal Health Gateway - Continuous glucose monitoring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100" w:history="1">
              <w:r w:rsidR="00C13A9E">
                <w:rPr>
                  <w:rStyle w:val="Hyperlink"/>
                  <w:sz w:val="20"/>
                </w:rPr>
                <w:t>H.862.0 (F.HF-SLM)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Requirements and framework for ICT sleep management service models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43E2C" w:rsidRDefault="00C13A9E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43E2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43E2C" w:rsidRDefault="00C13A9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43E2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3E2C" w:rsidRDefault="00C13A9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43E2C" w:rsidRDefault="00243E2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102" w:history="1">
              <w:r w:rsidR="00C13A9E">
                <w:rPr>
                  <w:rStyle w:val="Hyperlink"/>
                  <w:sz w:val="20"/>
                </w:rPr>
                <w:t>X.1044 (X.srnv)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Security requirements of network virtualization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104" w:history="1">
              <w:r w:rsidR="00C13A9E">
                <w:rPr>
                  <w:rStyle w:val="Hyperlink"/>
                  <w:sz w:val="20"/>
                </w:rPr>
                <w:t>X.1045 (X.ssc)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Security service chain architecture for networks and applications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106" w:history="1">
              <w:r w:rsidR="00C13A9E">
                <w:rPr>
                  <w:rStyle w:val="Hyperlink"/>
                  <w:sz w:val="20"/>
                </w:rPr>
                <w:t>X.1059 (X.grm, X.sup-grm)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Implementation guidance for telecommunications organizations on risk management of their assets globally accessible in IP-based networks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108" w:history="1">
              <w:r w:rsidR="00C13A9E">
                <w:rPr>
                  <w:rStyle w:val="Hyperlink"/>
                  <w:sz w:val="20"/>
                </w:rPr>
                <w:t>X.1232 (X.tfcas)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Technical framework for countering advertising spam in user generated information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43E2C">
        <w:trPr>
          <w:cantSplit/>
        </w:trPr>
        <w:tc>
          <w:tcPr>
            <w:tcW w:w="2090" w:type="dxa"/>
          </w:tcPr>
          <w:p w:rsidR="00243E2C" w:rsidRDefault="00243E2C">
            <w:hyperlink r:id="rId110" w:history="1">
              <w:r w:rsidR="00C13A9E">
                <w:rPr>
                  <w:rStyle w:val="Hyperlink"/>
                  <w:sz w:val="20"/>
                </w:rPr>
                <w:t>X.1401 (X.sct-dlt)</w:t>
              </w:r>
            </w:hyperlink>
          </w:p>
        </w:tc>
        <w:tc>
          <w:tcPr>
            <w:tcW w:w="4000" w:type="dxa"/>
          </w:tcPr>
          <w:p w:rsidR="00243E2C" w:rsidRDefault="00C13A9E">
            <w:r>
              <w:t>Security threats of distributed ledger technology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2019-11-01</w:t>
            </w:r>
          </w:p>
        </w:tc>
        <w:tc>
          <w:tcPr>
            <w:tcW w:w="115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2019-11-28</w:t>
            </w: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115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80" w:type="dxa"/>
          </w:tcPr>
          <w:p w:rsidR="00243E2C" w:rsidRDefault="00243E2C">
            <w:pPr>
              <w:jc w:val="center"/>
            </w:pPr>
          </w:p>
        </w:tc>
        <w:tc>
          <w:tcPr>
            <w:tcW w:w="860" w:type="dxa"/>
          </w:tcPr>
          <w:p w:rsidR="00243E2C" w:rsidRDefault="00C13A9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43E2C" w:rsidRDefault="00243E2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43E2C">
          <w:headerReference w:type="default" r:id="rId112"/>
          <w:footerReference w:type="default" r:id="rId11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43E2C" w:rsidRDefault="00C13A9E">
      <w:r>
        <w:lastRenderedPageBreak/>
        <w:t>Annex 2</w:t>
      </w:r>
    </w:p>
    <w:p w:rsidR="00243E2C" w:rsidRDefault="00C13A9E">
      <w:pPr>
        <w:jc w:val="center"/>
        <w:rPr>
          <w:szCs w:val="22"/>
        </w:rPr>
      </w:pPr>
      <w:r>
        <w:rPr>
          <w:szCs w:val="22"/>
        </w:rPr>
        <w:t>(to TSB AAP-69)</w:t>
      </w:r>
    </w:p>
    <w:p w:rsidR="00243E2C" w:rsidRDefault="00C13A9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43E2C" w:rsidRDefault="00C13A9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43E2C" w:rsidRDefault="00C13A9E">
      <w:r>
        <w:t>1)</w:t>
      </w:r>
      <w:r>
        <w:tab/>
        <w:t xml:space="preserve">Go to AAP search Web page at </w:t>
      </w:r>
      <w:hyperlink r:id="rId114" w:history="1">
        <w:r>
          <w:rPr>
            <w:rStyle w:val="Hyperlink"/>
            <w:szCs w:val="22"/>
          </w:rPr>
          <w:t>https://www.itu.int/ITU-T/aap/</w:t>
        </w:r>
      </w:hyperlink>
    </w:p>
    <w:p w:rsidR="00243E2C" w:rsidRDefault="002576D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3900" cy="215836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E2C" w:rsidRDefault="00C13A9E">
      <w:r>
        <w:t>2)</w:t>
      </w:r>
      <w:r>
        <w:tab/>
        <w:t>Select your Recommendation</w:t>
      </w:r>
    </w:p>
    <w:p w:rsidR="00243E2C" w:rsidRDefault="002576DC">
      <w:pPr>
        <w:jc w:val="center"/>
        <w:rPr>
          <w:sz w:val="24"/>
        </w:rPr>
      </w:pPr>
      <w:r w:rsidRPr="00243E2C">
        <w:rPr>
          <w:noProof/>
          <w:sz w:val="24"/>
          <w:lang w:eastAsia="en-GB"/>
        </w:rPr>
        <w:drawing>
          <wp:inline distT="0" distB="0" distL="0" distR="0">
            <wp:extent cx="5401310" cy="322135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E2C" w:rsidRDefault="00C13A9E">
      <w:pPr>
        <w:keepNext/>
      </w:pPr>
      <w:r>
        <w:lastRenderedPageBreak/>
        <w:t>3)</w:t>
      </w:r>
      <w:r>
        <w:tab/>
        <w:t>Click the "Submit Comment" button</w:t>
      </w:r>
    </w:p>
    <w:p w:rsidR="00243E2C" w:rsidRDefault="002576D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3855" cy="317944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E2C" w:rsidRDefault="00C13A9E">
      <w:r>
        <w:t>4)</w:t>
      </w:r>
      <w:r>
        <w:tab/>
        <w:t>Complete the on-line form and click on "Submit"</w:t>
      </w:r>
    </w:p>
    <w:p w:rsidR="00243E2C" w:rsidRDefault="002576D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6095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E2C" w:rsidRDefault="00C13A9E">
      <w:r>
        <w:t>For more information, read the AAP tutorial on:</w:t>
      </w:r>
      <w:r>
        <w:tab/>
      </w:r>
      <w:r>
        <w:br/>
      </w:r>
      <w:hyperlink r:id="rId119" w:history="1">
        <w:r>
          <w:rPr>
            <w:rStyle w:val="Hyperlink"/>
          </w:rPr>
          <w:t>https://www.itu.int/ITU-T/aapinfo/files/AAPTutorial.pdf</w:t>
        </w:r>
      </w:hyperlink>
    </w:p>
    <w:p w:rsidR="00243E2C" w:rsidRDefault="00C13A9E">
      <w:r>
        <w:br w:type="page"/>
      </w:r>
      <w:r>
        <w:lastRenderedPageBreak/>
        <w:t>Annex 3</w:t>
      </w:r>
    </w:p>
    <w:p w:rsidR="00243E2C" w:rsidRDefault="00C13A9E">
      <w:pPr>
        <w:jc w:val="center"/>
        <w:rPr>
          <w:szCs w:val="22"/>
        </w:rPr>
      </w:pPr>
      <w:r>
        <w:rPr>
          <w:szCs w:val="22"/>
        </w:rPr>
        <w:t>(to TSB AAP-69)</w:t>
      </w:r>
    </w:p>
    <w:p w:rsidR="00243E2C" w:rsidRDefault="00C13A9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43E2C" w:rsidRDefault="00C13A9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43E2C">
        <w:tc>
          <w:tcPr>
            <w:tcW w:w="5000" w:type="pct"/>
            <w:gridSpan w:val="2"/>
            <w:shd w:val="clear" w:color="auto" w:fill="EFFAFF"/>
          </w:tcPr>
          <w:p w:rsidR="00243E2C" w:rsidRDefault="00C13A9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43E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3E2C" w:rsidRDefault="00C13A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43E2C" w:rsidRDefault="00243E2C">
            <w:pPr>
              <w:pStyle w:val="Tabletext"/>
            </w:pPr>
          </w:p>
        </w:tc>
      </w:tr>
      <w:tr w:rsidR="00243E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3E2C" w:rsidRDefault="00C13A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3E2C" w:rsidRDefault="00243E2C">
            <w:pPr>
              <w:pStyle w:val="Tabletext"/>
            </w:pPr>
          </w:p>
        </w:tc>
      </w:tr>
      <w:tr w:rsidR="00243E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3E2C" w:rsidRDefault="00C13A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3E2C" w:rsidRDefault="00243E2C">
            <w:pPr>
              <w:pStyle w:val="Tabletext"/>
            </w:pPr>
          </w:p>
        </w:tc>
      </w:tr>
      <w:tr w:rsidR="00243E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3E2C" w:rsidRDefault="00C13A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3E2C" w:rsidRDefault="00243E2C">
            <w:pPr>
              <w:pStyle w:val="Tabletext"/>
            </w:pPr>
          </w:p>
        </w:tc>
      </w:tr>
      <w:tr w:rsidR="00243E2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43E2C" w:rsidRDefault="00C13A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43E2C" w:rsidRDefault="00C13A9E">
            <w:pPr>
              <w:pStyle w:val="Tabletext"/>
            </w:pPr>
            <w:r>
              <w:br/>
            </w:r>
            <w:r w:rsidR="00243E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43E2C">
              <w:fldChar w:fldCharType="separate"/>
            </w:r>
            <w:r w:rsidR="00243E2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43E2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43E2C">
              <w:fldChar w:fldCharType="separate"/>
            </w:r>
            <w:r w:rsidR="00243E2C">
              <w:fldChar w:fldCharType="end"/>
            </w:r>
            <w:r>
              <w:t xml:space="preserve"> Additional Review (AR)</w:t>
            </w:r>
          </w:p>
        </w:tc>
      </w:tr>
      <w:tr w:rsidR="00243E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3E2C" w:rsidRDefault="00C13A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43E2C" w:rsidRDefault="00243E2C">
            <w:pPr>
              <w:pStyle w:val="Tabletext"/>
            </w:pPr>
          </w:p>
        </w:tc>
      </w:tr>
      <w:tr w:rsidR="00243E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3E2C" w:rsidRDefault="00C13A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3E2C" w:rsidRDefault="00243E2C">
            <w:pPr>
              <w:pStyle w:val="Tabletext"/>
            </w:pPr>
          </w:p>
        </w:tc>
      </w:tr>
      <w:tr w:rsidR="00243E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3E2C" w:rsidRDefault="00C13A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3E2C" w:rsidRDefault="00243E2C">
            <w:pPr>
              <w:pStyle w:val="Tabletext"/>
            </w:pPr>
          </w:p>
        </w:tc>
      </w:tr>
      <w:tr w:rsidR="00243E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3E2C" w:rsidRDefault="00C13A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3E2C" w:rsidRDefault="00243E2C">
            <w:pPr>
              <w:pStyle w:val="Tabletext"/>
            </w:pPr>
          </w:p>
        </w:tc>
      </w:tr>
      <w:tr w:rsidR="00243E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3E2C" w:rsidRDefault="00C13A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3E2C" w:rsidRDefault="00243E2C">
            <w:pPr>
              <w:pStyle w:val="Tabletext"/>
            </w:pPr>
          </w:p>
        </w:tc>
      </w:tr>
      <w:tr w:rsidR="00243E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3E2C" w:rsidRDefault="00C13A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3E2C" w:rsidRDefault="00243E2C">
            <w:pPr>
              <w:pStyle w:val="Tabletext"/>
            </w:pPr>
          </w:p>
        </w:tc>
      </w:tr>
      <w:tr w:rsidR="00243E2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3E2C" w:rsidRDefault="00C13A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3E2C" w:rsidRDefault="00243E2C">
            <w:pPr>
              <w:pStyle w:val="Tabletext"/>
            </w:pPr>
          </w:p>
        </w:tc>
      </w:tr>
      <w:tr w:rsidR="00243E2C">
        <w:tc>
          <w:tcPr>
            <w:tcW w:w="1623" w:type="pct"/>
            <w:shd w:val="clear" w:color="auto" w:fill="EFFAFF"/>
            <w:vAlign w:val="center"/>
          </w:tcPr>
          <w:p w:rsidR="00243E2C" w:rsidRDefault="00C13A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43E2C" w:rsidRDefault="00C13A9E">
            <w:pPr>
              <w:pStyle w:val="Tabletext"/>
            </w:pPr>
            <w:r>
              <w:br/>
            </w:r>
            <w:r w:rsidR="00243E2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43E2C">
              <w:fldChar w:fldCharType="separate"/>
            </w:r>
            <w:r w:rsidR="00243E2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43E2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43E2C">
              <w:fldChar w:fldCharType="separate"/>
            </w:r>
            <w:r w:rsidR="00243E2C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243E2C">
        <w:tc>
          <w:tcPr>
            <w:tcW w:w="1623" w:type="pct"/>
            <w:shd w:val="clear" w:color="auto" w:fill="EFFAFF"/>
            <w:vAlign w:val="center"/>
          </w:tcPr>
          <w:p w:rsidR="00243E2C" w:rsidRDefault="00C13A9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43E2C" w:rsidRDefault="00C13A9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43E2C" w:rsidRDefault="00C13A9E">
      <w:pPr>
        <w:rPr>
          <w:szCs w:val="22"/>
        </w:rPr>
      </w:pPr>
      <w:r>
        <w:tab/>
      </w:r>
      <w:r w:rsidR="00243E2C" w:rsidRPr="00243E2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43E2C">
        <w:rPr>
          <w:szCs w:val="22"/>
        </w:rPr>
      </w:r>
      <w:r w:rsidR="00243E2C">
        <w:rPr>
          <w:szCs w:val="22"/>
        </w:rPr>
        <w:fldChar w:fldCharType="separate"/>
      </w:r>
      <w:r w:rsidR="00243E2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43E2C" w:rsidRDefault="00C13A9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43E2C" w:rsidRDefault="00243E2C">
      <w:pPr>
        <w:rPr>
          <w:i/>
          <w:iCs/>
          <w:szCs w:val="22"/>
        </w:rPr>
      </w:pPr>
    </w:p>
    <w:sectPr w:rsidR="00243E2C" w:rsidSect="00243E2C">
      <w:headerReference w:type="default" r:id="rId121"/>
      <w:footerReference w:type="default" r:id="rId12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9E" w:rsidRDefault="00C13A9E">
      <w:r>
        <w:separator/>
      </w:r>
    </w:p>
  </w:endnote>
  <w:endnote w:type="continuationSeparator" w:id="0">
    <w:p w:rsidR="00C13A9E" w:rsidRDefault="00C1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2C" w:rsidRDefault="00C13A9E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43E2C">
      <w:tc>
        <w:tcPr>
          <w:tcW w:w="1985" w:type="dxa"/>
        </w:tcPr>
        <w:p w:rsidR="00243E2C" w:rsidRDefault="00C13A9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43E2C" w:rsidRDefault="00C13A9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43E2C" w:rsidRDefault="00C13A9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43E2C" w:rsidRDefault="00C13A9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243E2C" w:rsidRDefault="00C13A9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43E2C" w:rsidRDefault="00243E2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2C" w:rsidRDefault="00C13A9E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2C" w:rsidRDefault="00C13A9E">
    <w:pPr>
      <w:pStyle w:val="Footer"/>
    </w:pPr>
    <w:r>
      <w:rPr>
        <w:sz w:val="18"/>
        <w:szCs w:val="18"/>
        <w:lang w:val="en-US"/>
      </w:rPr>
      <w:t>TSB AAP-69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9E" w:rsidRDefault="00C13A9E">
      <w:r>
        <w:t>____________________</w:t>
      </w:r>
    </w:p>
  </w:footnote>
  <w:footnote w:type="continuationSeparator" w:id="0">
    <w:p w:rsidR="00C13A9E" w:rsidRDefault="00C1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2C" w:rsidRDefault="00C13A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43E2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43E2C">
      <w:rPr>
        <w:rStyle w:val="PageNumber"/>
        <w:szCs w:val="18"/>
      </w:rPr>
      <w:fldChar w:fldCharType="separate"/>
    </w:r>
    <w:r w:rsidR="002576DC">
      <w:rPr>
        <w:rStyle w:val="PageNumber"/>
        <w:noProof/>
        <w:szCs w:val="18"/>
      </w:rPr>
      <w:t>2</w:t>
    </w:r>
    <w:r w:rsidR="00243E2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2C" w:rsidRDefault="00C13A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43E2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43E2C">
      <w:rPr>
        <w:rStyle w:val="PageNumber"/>
        <w:szCs w:val="18"/>
      </w:rPr>
      <w:fldChar w:fldCharType="separate"/>
    </w:r>
    <w:r w:rsidR="002576DC">
      <w:rPr>
        <w:rStyle w:val="PageNumber"/>
        <w:noProof/>
        <w:szCs w:val="18"/>
      </w:rPr>
      <w:t>12</w:t>
    </w:r>
    <w:r w:rsidR="00243E2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2C" w:rsidRDefault="00C13A9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43E2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43E2C">
      <w:rPr>
        <w:rStyle w:val="PageNumber"/>
        <w:szCs w:val="18"/>
      </w:rPr>
      <w:fldChar w:fldCharType="separate"/>
    </w:r>
    <w:r w:rsidR="002576DC">
      <w:rPr>
        <w:rStyle w:val="PageNumber"/>
        <w:noProof/>
        <w:szCs w:val="18"/>
      </w:rPr>
      <w:t>15</w:t>
    </w:r>
    <w:r w:rsidR="00243E2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2C"/>
    <w:rsid w:val="00243E2C"/>
    <w:rsid w:val="002576DC"/>
    <w:rsid w:val="00C1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64600-8512-431A-86F3-0BD6AE51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image" Target="media/image4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46" TargetMode="External"/><Relationship Id="rId47" Type="http://schemas.openxmlformats.org/officeDocument/2006/relationships/hyperlink" Target="https://www.itu.int/ITU-T/aap/dologin_aap.asp?id=T01020021230801MSWE.docx&amp;group=13" TargetMode="External"/><Relationship Id="rId63" Type="http://schemas.openxmlformats.org/officeDocument/2006/relationships/hyperlink" Target="https://www.itu.int/ITU-T/aap/dologin_aap.asp?id=T01020021A10801MSWE.docx&amp;group=16" TargetMode="External"/><Relationship Id="rId68" Type="http://schemas.openxmlformats.org/officeDocument/2006/relationships/hyperlink" Target="http://www.itu.int/itu-t/aap/AAPRecDetails.aspx?AAPSeqNo=8618" TargetMode="External"/><Relationship Id="rId84" Type="http://schemas.openxmlformats.org/officeDocument/2006/relationships/hyperlink" Target="http://www.itu.int/itu-t/aap/AAPRecDetails.aspx?AAPSeqNo=8585" TargetMode="External"/><Relationship Id="rId89" Type="http://schemas.openxmlformats.org/officeDocument/2006/relationships/hyperlink" Target="https://www.itu.int/ITU-T/aap/dologin_aap.asp?id=T010200218A0802MSWE.docx&amp;group=16" TargetMode="External"/><Relationship Id="rId112" Type="http://schemas.openxmlformats.org/officeDocument/2006/relationships/header" Target="header2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81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280801MSWE.docx&amp;group=15" TargetMode="External"/><Relationship Id="rId58" Type="http://schemas.openxmlformats.org/officeDocument/2006/relationships/hyperlink" Target="http://www.itu.int/itu-t/aap/AAPRecDetails.aspx?AAPSeqNo=8617" TargetMode="External"/><Relationship Id="rId74" Type="http://schemas.openxmlformats.org/officeDocument/2006/relationships/hyperlink" Target="http://www.itu.int/itu-t/aap/AAPRecDetails.aspx?AAPSeqNo=8613" TargetMode="External"/><Relationship Id="rId79" Type="http://schemas.openxmlformats.org/officeDocument/2006/relationships/hyperlink" Target="https://www.itu.int/ITU-T/aap/dologin_aap.asp?id=T010200219F0801MSWE.docx&amp;group=16" TargetMode="External"/><Relationship Id="rId102" Type="http://schemas.openxmlformats.org/officeDocument/2006/relationships/hyperlink" Target="http://www.itu.int/itu-t/aap/AAPRecDetails.aspx?AAPSeqNo=8575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1A80801MSWE.docx&amp;group=16" TargetMode="External"/><Relationship Id="rId82" Type="http://schemas.openxmlformats.org/officeDocument/2006/relationships/hyperlink" Target="http://www.itu.int/itu-t/aap/AAPRecDetails.aspx?AAPSeqNo=8584" TargetMode="External"/><Relationship Id="rId90" Type="http://schemas.openxmlformats.org/officeDocument/2006/relationships/hyperlink" Target="http://www.itu.int/itu-t/aap/AAPRecDetails.aspx?AAPSeqNo=8587" TargetMode="External"/><Relationship Id="rId95" Type="http://schemas.openxmlformats.org/officeDocument/2006/relationships/hyperlink" Target="https://www.itu.int/ITU-T/aap/dologin_aap.asp?id=T010200218F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FE0801MSWE.docx&amp;group=5" TargetMode="External"/><Relationship Id="rId48" Type="http://schemas.openxmlformats.org/officeDocument/2006/relationships/hyperlink" Target="http://www.itu.int/itu-t/aap/AAPRecDetails.aspx?AAPSeqNo=8491" TargetMode="External"/><Relationship Id="rId56" Type="http://schemas.openxmlformats.org/officeDocument/2006/relationships/hyperlink" Target="http://www.itu.int/itu-t/aap/AAPRecDetails.aspx?AAPSeqNo=8606" TargetMode="External"/><Relationship Id="rId64" Type="http://schemas.openxmlformats.org/officeDocument/2006/relationships/hyperlink" Target="http://www.itu.int/itu-t/aap/AAPRecDetails.aspx?AAPSeqNo=8610" TargetMode="External"/><Relationship Id="rId69" Type="http://schemas.openxmlformats.org/officeDocument/2006/relationships/hyperlink" Target="https://www.itu.int/ITU-T/aap/dologin_aap.asp?id=T01020021AA0802MSWE.docx&amp;group=16" TargetMode="External"/><Relationship Id="rId77" Type="http://schemas.openxmlformats.org/officeDocument/2006/relationships/hyperlink" Target="https://www.itu.int/ITU-T/aap/dologin_aap.asp?id=T01020021A60801MSWE.docx&amp;group=16" TargetMode="External"/><Relationship Id="rId100" Type="http://schemas.openxmlformats.org/officeDocument/2006/relationships/hyperlink" Target="http://www.itu.int/itu-t/aap/AAPRecDetails.aspx?AAPSeqNo=8615" TargetMode="External"/><Relationship Id="rId105" Type="http://schemas.openxmlformats.org/officeDocument/2006/relationships/hyperlink" Target="https://www.itu.int/ITU-T/aap/dologin_aap.asp?id=T01020021800802MSWE.docx&amp;group=17" TargetMode="External"/><Relationship Id="rId113" Type="http://schemas.openxmlformats.org/officeDocument/2006/relationships/footer" Target="footer3.xml"/><Relationship Id="rId118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2A0801MSWE.docx&amp;group=15" TargetMode="External"/><Relationship Id="rId72" Type="http://schemas.openxmlformats.org/officeDocument/2006/relationships/hyperlink" Target="http://www.itu.int/itu-t/aap/AAPRecDetails.aspx?AAPSeqNo=8612" TargetMode="External"/><Relationship Id="rId80" Type="http://schemas.openxmlformats.org/officeDocument/2006/relationships/hyperlink" Target="http://www.itu.int/itu-t/aap/AAPRecDetails.aspx?AAPSeqNo=8583" TargetMode="External"/><Relationship Id="rId85" Type="http://schemas.openxmlformats.org/officeDocument/2006/relationships/hyperlink" Target="https://www.itu.int/ITU-T/aap/dologin_aap.asp?id=T01020021890801MSWE.docx&amp;group=16" TargetMode="External"/><Relationship Id="rId93" Type="http://schemas.openxmlformats.org/officeDocument/2006/relationships/hyperlink" Target="https://www.itu.int/ITU-T/aap/dologin_aap.asp?id=T010200218C0801MSWE.docx&amp;group=16" TargetMode="External"/><Relationship Id="rId98" Type="http://schemas.openxmlformats.org/officeDocument/2006/relationships/hyperlink" Target="http://www.itu.int/itu-t/aap/AAPRecDetails.aspx?AAPSeqNo=8590" TargetMode="External"/><Relationship Id="rId12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48" TargetMode="External"/><Relationship Id="rId46" Type="http://schemas.openxmlformats.org/officeDocument/2006/relationships/hyperlink" Target="http://www.itu.int/itu-t/aap/AAPRecDetails.aspx?AAPSeqNo=8483" TargetMode="External"/><Relationship Id="rId59" Type="http://schemas.openxmlformats.org/officeDocument/2006/relationships/hyperlink" Target="https://www.itu.int/ITU-T/aap/dologin_aap.asp?id=T01020021A90801MSWE.docx&amp;group=16" TargetMode="External"/><Relationship Id="rId67" Type="http://schemas.openxmlformats.org/officeDocument/2006/relationships/hyperlink" Target="https://www.itu.int/ITU-T/aap/dologin_aap.asp?id=T01020021AB0801MSWE.docx&amp;group=16" TargetMode="External"/><Relationship Id="rId103" Type="http://schemas.openxmlformats.org/officeDocument/2006/relationships/hyperlink" Target="https://www.itu.int/ITU-T/aap/dologin_aap.asp?id=T010200217F0801MSWE.docx&amp;group=17" TargetMode="External"/><Relationship Id="rId108" Type="http://schemas.openxmlformats.org/officeDocument/2006/relationships/hyperlink" Target="http://www.itu.int/itu-t/aap/AAPRecDetails.aspx?AAPSeqNo=8578" TargetMode="External"/><Relationship Id="rId116" Type="http://schemas.openxmlformats.org/officeDocument/2006/relationships/image" Target="media/image3.gif"/><Relationship Id="rId124" Type="http://schemas.openxmlformats.org/officeDocument/2006/relationships/theme" Target="theme/theme1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030801MSWE.docx&amp;group=5" TargetMode="External"/><Relationship Id="rId54" Type="http://schemas.openxmlformats.org/officeDocument/2006/relationships/hyperlink" Target="http://www.itu.int/itu-t/aap/AAPRecDetails.aspx?AAPSeqNo=8611" TargetMode="External"/><Relationship Id="rId62" Type="http://schemas.openxmlformats.org/officeDocument/2006/relationships/hyperlink" Target="http://www.itu.int/itu-t/aap/AAPRecDetails.aspx?AAPSeqNo=8609" TargetMode="External"/><Relationship Id="rId70" Type="http://schemas.openxmlformats.org/officeDocument/2006/relationships/hyperlink" Target="http://www.itu.int/itu-t/aap/AAPRecDetails.aspx?AAPSeqNo=8608" TargetMode="External"/><Relationship Id="rId75" Type="http://schemas.openxmlformats.org/officeDocument/2006/relationships/hyperlink" Target="https://www.itu.int/ITU-T/aap/dologin_aap.asp?id=T01020021A50801MSWE.docx&amp;group=16" TargetMode="External"/><Relationship Id="rId83" Type="http://schemas.openxmlformats.org/officeDocument/2006/relationships/hyperlink" Target="https://www.itu.int/ITU-T/aap/dologin_aap.asp?id=T01020021880801MSWE.docx&amp;group=16" TargetMode="External"/><Relationship Id="rId88" Type="http://schemas.openxmlformats.org/officeDocument/2006/relationships/hyperlink" Target="http://www.itu.int/itu-t/aap/AAPRecDetails.aspx?AAPSeqNo=8586" TargetMode="External"/><Relationship Id="rId91" Type="http://schemas.openxmlformats.org/officeDocument/2006/relationships/hyperlink" Target="https://www.itu.int/ITU-T/aap/dologin_aap.asp?id=T010200218B0801MSWE.docx&amp;group=16" TargetMode="External"/><Relationship Id="rId96" Type="http://schemas.openxmlformats.org/officeDocument/2006/relationships/hyperlink" Target="http://www.itu.int/itu-t/aap/AAPRecDetails.aspx?AAPSeqNo=8589" TargetMode="External"/><Relationship Id="rId111" Type="http://schemas.openxmlformats.org/officeDocument/2006/relationships/hyperlink" Target="https://www.itu.int/ITU-T/aap/dologin_aap.asp?id=T01020021850801MSWE.docx&amp;group=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2B0802MSWE.docx&amp;group=15" TargetMode="External"/><Relationship Id="rId57" Type="http://schemas.openxmlformats.org/officeDocument/2006/relationships/hyperlink" Target="https://www.itu.int/ITU-T/aap/dologin_aap.asp?id=T010200219E0803MSWE.docx&amp;group=16" TargetMode="External"/><Relationship Id="rId106" Type="http://schemas.openxmlformats.org/officeDocument/2006/relationships/hyperlink" Target="http://www.itu.int/itu-t/aap/AAPRecDetails.aspx?AAPSeqNo=8577" TargetMode="External"/><Relationship Id="rId114" Type="http://schemas.openxmlformats.org/officeDocument/2006/relationships/hyperlink" Target="https://www.itu.int/ITU-T/aap/" TargetMode="External"/><Relationship Id="rId119" Type="http://schemas.openxmlformats.org/officeDocument/2006/relationships/hyperlink" Target="https://www.itu.int/ITU-T/aapinfo/files/AAPTutorial.pdf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39" TargetMode="External"/><Relationship Id="rId52" Type="http://schemas.openxmlformats.org/officeDocument/2006/relationships/hyperlink" Target="http://www.itu.int/itu-t/aap/AAPRecDetails.aspx?AAPSeqNo=8488" TargetMode="External"/><Relationship Id="rId60" Type="http://schemas.openxmlformats.org/officeDocument/2006/relationships/hyperlink" Target="http://www.itu.int/itu-t/aap/AAPRecDetails.aspx?AAPSeqNo=8616" TargetMode="External"/><Relationship Id="rId65" Type="http://schemas.openxmlformats.org/officeDocument/2006/relationships/hyperlink" Target="https://www.itu.int/ITU-T/aap/dologin_aap.asp?id=T01020021A20801MSWE.docx&amp;group=16" TargetMode="External"/><Relationship Id="rId73" Type="http://schemas.openxmlformats.org/officeDocument/2006/relationships/hyperlink" Target="https://www.itu.int/ITU-T/aap/dologin_aap.asp?id=T01020021A40801MSWE.docx&amp;group=16" TargetMode="External"/><Relationship Id="rId78" Type="http://schemas.openxmlformats.org/officeDocument/2006/relationships/hyperlink" Target="http://www.itu.int/itu-t/aap/AAPRecDetails.aspx?AAPSeqNo=8607" TargetMode="External"/><Relationship Id="rId81" Type="http://schemas.openxmlformats.org/officeDocument/2006/relationships/hyperlink" Target="https://www.itu.int/ITU-T/aap/dologin_aap.asp?id=T01020021870801MSWE.docx&amp;group=16" TargetMode="External"/><Relationship Id="rId86" Type="http://schemas.openxmlformats.org/officeDocument/2006/relationships/hyperlink" Target="http://www.itu.int/itu-t/aap/AAPRecDetails.aspx?AAPSeqNo=8592" TargetMode="External"/><Relationship Id="rId94" Type="http://schemas.openxmlformats.org/officeDocument/2006/relationships/hyperlink" Target="http://www.itu.int/itu-t/aap/AAPRecDetails.aspx?AAPSeqNo=8591" TargetMode="External"/><Relationship Id="rId99" Type="http://schemas.openxmlformats.org/officeDocument/2006/relationships/hyperlink" Target="https://www.itu.int/ITU-T/aap/dologin_aap.asp?id=T010200218E0801MSWE.docx&amp;group=16" TargetMode="External"/><Relationship Id="rId101" Type="http://schemas.openxmlformats.org/officeDocument/2006/relationships/hyperlink" Target="https://www.itu.int/ITU-T/aap/dologin_aap.asp?id=T01020021A70801MSWE.docx&amp;group=16" TargetMode="External"/><Relationship Id="rId122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000801MSWE.docx&amp;group=5" TargetMode="External"/><Relationship Id="rId109" Type="http://schemas.openxmlformats.org/officeDocument/2006/relationships/hyperlink" Target="https://www.itu.int/ITU-T/aap/dologin_aap.asp?id=T01020021820801MSWE.docx&amp;group=17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490" TargetMode="External"/><Relationship Id="rId55" Type="http://schemas.openxmlformats.org/officeDocument/2006/relationships/hyperlink" Target="https://www.itu.int/ITU-T/aap/dologin_aap.asp?id=T01020021A30801MSWE.docx&amp;group=16" TargetMode="External"/><Relationship Id="rId76" Type="http://schemas.openxmlformats.org/officeDocument/2006/relationships/hyperlink" Target="http://www.itu.int/itu-t/aap/AAPRecDetails.aspx?AAPSeqNo=8614" TargetMode="External"/><Relationship Id="rId97" Type="http://schemas.openxmlformats.org/officeDocument/2006/relationships/hyperlink" Target="https://www.itu.int/ITU-T/aap/dologin_aap.asp?id=T010200218D0805MSWE.docx&amp;group=16" TargetMode="External"/><Relationship Id="rId104" Type="http://schemas.openxmlformats.org/officeDocument/2006/relationships/hyperlink" Target="http://www.itu.int/itu-t/aap/AAPRecDetails.aspx?AAPSeqNo=8576" TargetMode="External"/><Relationship Id="rId120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A00801MSWE.docx&amp;group=16" TargetMode="External"/><Relationship Id="rId92" Type="http://schemas.openxmlformats.org/officeDocument/2006/relationships/hyperlink" Target="http://www.itu.int/itu-t/aap/AAPRecDetails.aspx?AAPSeqNo=8588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451" TargetMode="External"/><Relationship Id="rId45" Type="http://schemas.openxmlformats.org/officeDocument/2006/relationships/hyperlink" Target="https://www.itu.int/ITU-T/aap/dologin_aap.asp?id=T01020020F70801MSWE.docx&amp;group=12" TargetMode="External"/><Relationship Id="rId66" Type="http://schemas.openxmlformats.org/officeDocument/2006/relationships/hyperlink" Target="http://www.itu.int/itu-t/aap/AAPRecDetails.aspx?AAPSeqNo=8619" TargetMode="External"/><Relationship Id="rId87" Type="http://schemas.openxmlformats.org/officeDocument/2006/relationships/hyperlink" Target="https://www.itu.int/ITU-T/aap/dologin_aap.asp?id=T01020021900801MSWE.docx&amp;group=16" TargetMode="External"/><Relationship Id="rId110" Type="http://schemas.openxmlformats.org/officeDocument/2006/relationships/hyperlink" Target="http://www.itu.int/itu-t/aap/AAPRecDetails.aspx?AAPSeqNo=8581" TargetMode="External"/><Relationship Id="rId115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3021</Words>
  <Characters>17221</Characters>
  <Application>Microsoft Office Word</Application>
  <DocSecurity>0</DocSecurity>
  <Lines>143</Lines>
  <Paragraphs>40</Paragraphs>
  <ScaleCrop>false</ScaleCrop>
  <Company/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2019-10-31T14:59:00Z</dcterms:created>
  <dcterms:modified xsi:type="dcterms:W3CDTF">2019-10-31T14:59:00Z</dcterms:modified>
</cp:coreProperties>
</file>