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700AE6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700AE6" w:rsidRDefault="000D4EC3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42950" cy="74930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700AE6" w:rsidRDefault="000D4EC3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700AE6" w:rsidRPr="000D4EC3" w:rsidRDefault="000D4EC3">
            <w:pPr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700AE6" w:rsidRDefault="00700AE6">
            <w:pPr>
              <w:spacing w:before="0"/>
            </w:pPr>
          </w:p>
        </w:tc>
        <w:bookmarkStart w:id="0" w:name="_GoBack"/>
        <w:bookmarkEnd w:id="0"/>
      </w:tr>
    </w:tbl>
    <w:p w:rsidR="00700AE6" w:rsidRDefault="000D4EC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2019年7月16日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700AE6" w:rsidRDefault="00700AE6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700AE6">
        <w:trPr>
          <w:cantSplit/>
        </w:trPr>
        <w:tc>
          <w:tcPr>
            <w:tcW w:w="1126" w:type="dxa"/>
          </w:tcPr>
          <w:p w:rsidR="00700AE6" w:rsidRDefault="000D4EC3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700AE6" w:rsidRDefault="00700AE6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700AE6" w:rsidRDefault="00700AE6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700AE6" w:rsidRDefault="000D4EC3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700AE6" w:rsidRDefault="000D4EC3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700AE6" w:rsidRDefault="000D4EC3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700AE6" w:rsidRDefault="000D4EC3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 w:rsidRPr="000D4EC3">
              <w:rPr>
                <w:rFonts w:hint="eastAsia"/>
                <w:b/>
                <w:bCs/>
                <w:iCs/>
                <w:sz w:val="24"/>
                <w:szCs w:val="24"/>
                <w:lang w:eastAsia="zh-CN"/>
              </w:rPr>
              <w:t>AAP-62</w:t>
            </w:r>
          </w:p>
          <w:p w:rsidR="00700AE6" w:rsidRDefault="000D4EC3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700AE6" w:rsidRDefault="00700AE6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700AE6" w:rsidRDefault="000D4EC3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700AE6" w:rsidRDefault="000D4EC3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700AE6" w:rsidRDefault="00700AE6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0D4EC3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700AE6" w:rsidRPr="000D4EC3" w:rsidRDefault="000D4EC3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 w:rsidRPr="000D4EC3">
              <w:rPr>
                <w:sz w:val="24"/>
                <w:szCs w:val="24"/>
                <w:lang w:eastAsia="zh-CN"/>
              </w:rPr>
              <w:t>–</w:t>
            </w:r>
            <w:r w:rsidRPr="000D4EC3">
              <w:rPr>
                <w:sz w:val="24"/>
                <w:szCs w:val="24"/>
                <w:lang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700AE6" w:rsidRPr="000D4EC3" w:rsidRDefault="000D4EC3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 w:rsidRPr="000D4EC3">
              <w:rPr>
                <w:sz w:val="24"/>
                <w:szCs w:val="24"/>
                <w:lang w:eastAsia="zh-CN"/>
              </w:rPr>
              <w:t>–</w:t>
            </w:r>
            <w:r w:rsidRPr="000D4EC3">
              <w:rPr>
                <w:sz w:val="24"/>
                <w:szCs w:val="24"/>
                <w:lang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700AE6" w:rsidRPr="000D4EC3" w:rsidRDefault="000D4EC3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 w:rsidRPr="000D4EC3">
              <w:rPr>
                <w:sz w:val="24"/>
                <w:szCs w:val="24"/>
                <w:lang w:eastAsia="zh-CN"/>
              </w:rPr>
              <w:t>–</w:t>
            </w:r>
            <w:r w:rsidRPr="000D4EC3">
              <w:rPr>
                <w:sz w:val="24"/>
                <w:szCs w:val="24"/>
                <w:lang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部门准成员；</w:t>
            </w:r>
          </w:p>
          <w:p w:rsidR="00700AE6" w:rsidRPr="000D4EC3" w:rsidRDefault="000D4EC3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 w:rsidRPr="000D4EC3">
              <w:rPr>
                <w:sz w:val="24"/>
                <w:szCs w:val="24"/>
                <w:lang w:eastAsia="zh-CN"/>
              </w:rPr>
              <w:t>–</w:t>
            </w:r>
            <w:r w:rsidRPr="000D4EC3">
              <w:rPr>
                <w:sz w:val="24"/>
                <w:szCs w:val="24"/>
                <w:lang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国际电联学术成员</w:t>
            </w:r>
          </w:p>
          <w:p w:rsidR="00700AE6" w:rsidRPr="000D4EC3" w:rsidRDefault="000D4EC3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700AE6" w:rsidRPr="000D4EC3" w:rsidRDefault="000D4EC3">
            <w:pPr>
              <w:pStyle w:val="Tabletext"/>
              <w:spacing w:before="0"/>
              <w:ind w:left="284" w:hanging="284"/>
              <w:rPr>
                <w:sz w:val="24"/>
                <w:szCs w:val="24"/>
                <w:lang w:eastAsia="zh-CN"/>
              </w:rPr>
            </w:pPr>
            <w:r w:rsidRPr="000D4EC3">
              <w:rPr>
                <w:sz w:val="24"/>
                <w:szCs w:val="24"/>
                <w:lang w:eastAsia="zh-CN"/>
              </w:rPr>
              <w:t>–</w:t>
            </w:r>
            <w:r w:rsidRPr="000D4EC3">
              <w:rPr>
                <w:sz w:val="24"/>
                <w:szCs w:val="24"/>
                <w:lang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电信标准化局研究组主席和副主席；</w:t>
            </w:r>
          </w:p>
          <w:p w:rsidR="00700AE6" w:rsidRPr="000D4EC3" w:rsidRDefault="000D4EC3">
            <w:pPr>
              <w:pStyle w:val="Tabletext"/>
              <w:spacing w:before="0"/>
              <w:ind w:left="284" w:hanging="284"/>
              <w:rPr>
                <w:sz w:val="24"/>
                <w:szCs w:val="24"/>
                <w:lang w:eastAsia="zh-CN"/>
              </w:rPr>
            </w:pPr>
            <w:r w:rsidRPr="000D4EC3">
              <w:rPr>
                <w:sz w:val="24"/>
                <w:szCs w:val="24"/>
                <w:lang w:eastAsia="zh-CN"/>
              </w:rPr>
              <w:t>–</w:t>
            </w:r>
            <w:r w:rsidRPr="000D4EC3">
              <w:rPr>
                <w:sz w:val="24"/>
                <w:szCs w:val="24"/>
                <w:lang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电信发展局主任；</w:t>
            </w:r>
          </w:p>
          <w:p w:rsidR="00700AE6" w:rsidRDefault="000D4EC3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700AE6" w:rsidRDefault="00700AE6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700AE6">
        <w:trPr>
          <w:cantSplit/>
        </w:trPr>
        <w:tc>
          <w:tcPr>
            <w:tcW w:w="908" w:type="dxa"/>
          </w:tcPr>
          <w:p w:rsidR="00700AE6" w:rsidRDefault="000D4EC3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700AE6" w:rsidRPr="000D4EC3" w:rsidRDefault="000D4EC3">
            <w:pPr>
              <w:pStyle w:val="Tabletext"/>
              <w:rPr>
                <w:sz w:val="24"/>
                <w:szCs w:val="24"/>
                <w:lang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700AE6" w:rsidRPr="000D4EC3" w:rsidRDefault="00700AE6">
      <w:pPr>
        <w:rPr>
          <w:sz w:val="24"/>
          <w:szCs w:val="24"/>
          <w:lang w:eastAsia="zh-CN"/>
        </w:rPr>
      </w:pPr>
    </w:p>
    <w:p w:rsidR="00700AE6" w:rsidRDefault="000D4EC3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700AE6" w:rsidRDefault="000D4EC3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700AE6" w:rsidRDefault="000D4EC3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700AE6" w:rsidRDefault="000D4EC3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https://www.itu.int/ITU-T/aap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700AE6" w:rsidRDefault="000D4EC3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700AE6" w:rsidRDefault="00700AE6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700AE6" w:rsidRDefault="000D4EC3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700AE6" w:rsidRDefault="00700AE6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700AE6" w:rsidRDefault="00700AE6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700AE6" w:rsidRDefault="000D4EC3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700AE6" w:rsidRDefault="00700AE6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700AE6" w:rsidRDefault="000D4EC3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700AE6" w:rsidRDefault="00700AE6">
      <w:pPr>
        <w:spacing w:before="720"/>
        <w:rPr>
          <w:rFonts w:ascii="Times New Roman" w:hAnsi="Times New Roman"/>
        </w:rPr>
        <w:sectPr w:rsidR="00700AE6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700AE6" w:rsidRDefault="000D4EC3">
      <w:r>
        <w:lastRenderedPageBreak/>
        <w:t>Annex 1</w:t>
      </w:r>
    </w:p>
    <w:p w:rsidR="00700AE6" w:rsidRDefault="000D4EC3">
      <w:pPr>
        <w:jc w:val="center"/>
      </w:pPr>
      <w:r>
        <w:t>(to TSB AAP-62)</w:t>
      </w:r>
    </w:p>
    <w:p w:rsidR="00700AE6" w:rsidRDefault="00700AE6">
      <w:pPr>
        <w:rPr>
          <w:szCs w:val="22"/>
        </w:rPr>
      </w:pPr>
    </w:p>
    <w:p w:rsidR="00700AE6" w:rsidRDefault="000D4EC3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700AE6" w:rsidRDefault="000D4EC3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700AE6" w:rsidRDefault="000D4EC3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700AE6" w:rsidRDefault="000D4EC3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700AE6" w:rsidRDefault="000D4EC3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700AE6" w:rsidRDefault="000D4EC3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700AE6" w:rsidRDefault="000D4EC3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700AE6" w:rsidRDefault="000D4EC3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700AE6" w:rsidRDefault="000D4EC3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700AE6" w:rsidRDefault="000D4EC3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700AE6" w:rsidRDefault="000D4EC3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700AE6" w:rsidRPr="000D4EC3" w:rsidRDefault="000D4EC3">
      <w:pPr>
        <w:pStyle w:val="Headingb"/>
        <w:rPr>
          <w:szCs w:val="22"/>
          <w:lang w:val="fr-FR"/>
        </w:rPr>
      </w:pPr>
      <w:r w:rsidRPr="000D4EC3">
        <w:rPr>
          <w:szCs w:val="22"/>
          <w:lang w:val="fr-FR"/>
        </w:rPr>
        <w:t>ITU-T website entry page:</w:t>
      </w:r>
    </w:p>
    <w:p w:rsidR="00700AE6" w:rsidRPr="000D4EC3" w:rsidRDefault="00700AE6">
      <w:pPr>
        <w:pStyle w:val="enumlev2"/>
        <w:rPr>
          <w:szCs w:val="22"/>
          <w:lang w:val="fr-FR"/>
        </w:rPr>
      </w:pPr>
      <w:hyperlink r:id="rId13" w:history="1">
        <w:r w:rsidR="000D4EC3" w:rsidRPr="000D4EC3">
          <w:rPr>
            <w:rStyle w:val="Hyperlink"/>
            <w:szCs w:val="22"/>
            <w:lang w:val="fr-FR"/>
          </w:rPr>
          <w:t>https://www.itu.int/ITU-T</w:t>
        </w:r>
      </w:hyperlink>
    </w:p>
    <w:p w:rsidR="00700AE6" w:rsidRDefault="000D4EC3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700AE6" w:rsidRDefault="00700AE6">
      <w:pPr>
        <w:pStyle w:val="enumlev2"/>
        <w:rPr>
          <w:szCs w:val="22"/>
        </w:rPr>
      </w:pPr>
      <w:hyperlink r:id="rId14" w:history="1">
        <w:r w:rsidR="000D4EC3">
          <w:rPr>
            <w:rStyle w:val="Hyperlink"/>
            <w:szCs w:val="22"/>
          </w:rPr>
          <w:t>https://www.itu.int/ITU-T/aapinfo</w:t>
        </w:r>
      </w:hyperlink>
    </w:p>
    <w:p w:rsidR="00700AE6" w:rsidRDefault="000D4EC3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700AE6" w:rsidRDefault="000D4EC3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700AE6" w:rsidRDefault="00700AE6">
      <w:pPr>
        <w:pStyle w:val="enumlev2"/>
        <w:rPr>
          <w:szCs w:val="22"/>
        </w:rPr>
      </w:pPr>
      <w:hyperlink r:id="rId15" w:history="1">
        <w:r w:rsidR="000D4EC3">
          <w:rPr>
            <w:rStyle w:val="Hyperlink"/>
            <w:szCs w:val="22"/>
          </w:rPr>
          <w:t>https://www.itu.int/ITU-T/aap/</w:t>
        </w:r>
      </w:hyperlink>
    </w:p>
    <w:p w:rsidR="00700AE6" w:rsidRDefault="000D4EC3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700AE6">
        <w:tc>
          <w:tcPr>
            <w:tcW w:w="987" w:type="dxa"/>
          </w:tcPr>
          <w:p w:rsidR="00700AE6" w:rsidRDefault="000D4EC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700AE6" w:rsidRDefault="00700AE6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0D4EC3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700AE6" w:rsidRDefault="00700AE6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0D4EC3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700AE6">
        <w:tc>
          <w:tcPr>
            <w:tcW w:w="0" w:type="auto"/>
          </w:tcPr>
          <w:p w:rsidR="00700AE6" w:rsidRDefault="000D4EC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700AE6" w:rsidRDefault="00700AE6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0D4EC3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700AE6" w:rsidRDefault="00700AE6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0D4EC3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700AE6">
        <w:tc>
          <w:tcPr>
            <w:tcW w:w="0" w:type="auto"/>
          </w:tcPr>
          <w:p w:rsidR="00700AE6" w:rsidRDefault="000D4EC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700AE6" w:rsidRDefault="00700AE6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0D4EC3">
                <w:rPr>
                  <w:rStyle w:val="Hyperlink"/>
                  <w:szCs w:val="22"/>
                </w:rPr>
                <w:t>https://</w:t>
              </w:r>
              <w:r w:rsidR="000D4EC3">
                <w:rPr>
                  <w:rStyle w:val="Hyperlink"/>
                  <w:szCs w:val="22"/>
                </w:rPr>
                <w:t>www.itu.int/ITU-T/studygroups/com05</w:t>
              </w:r>
            </w:hyperlink>
          </w:p>
        </w:tc>
        <w:tc>
          <w:tcPr>
            <w:tcW w:w="0" w:type="auto"/>
          </w:tcPr>
          <w:p w:rsidR="00700AE6" w:rsidRDefault="00700AE6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0D4EC3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700AE6">
        <w:tc>
          <w:tcPr>
            <w:tcW w:w="0" w:type="auto"/>
          </w:tcPr>
          <w:p w:rsidR="00700AE6" w:rsidRDefault="000D4EC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700AE6" w:rsidRDefault="00700AE6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0D4EC3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700AE6" w:rsidRDefault="00700AE6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0D4EC3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700AE6">
        <w:tc>
          <w:tcPr>
            <w:tcW w:w="0" w:type="auto"/>
          </w:tcPr>
          <w:p w:rsidR="00700AE6" w:rsidRDefault="000D4EC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700AE6" w:rsidRDefault="00700AE6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0D4EC3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700AE6" w:rsidRDefault="00700AE6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0D4EC3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700AE6">
        <w:tc>
          <w:tcPr>
            <w:tcW w:w="0" w:type="auto"/>
          </w:tcPr>
          <w:p w:rsidR="00700AE6" w:rsidRDefault="000D4EC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700AE6" w:rsidRDefault="00700AE6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0D4EC3">
                <w:rPr>
                  <w:rStyle w:val="Hyperlink"/>
                  <w:szCs w:val="22"/>
                </w:rPr>
                <w:t>https://www.itu.int/ITU-</w:t>
              </w:r>
              <w:r w:rsidR="000D4EC3">
                <w:rPr>
                  <w:rStyle w:val="Hyperlink"/>
                  <w:szCs w:val="22"/>
                </w:rPr>
                <w:t>T/studygroups/com12</w:t>
              </w:r>
            </w:hyperlink>
          </w:p>
        </w:tc>
        <w:tc>
          <w:tcPr>
            <w:tcW w:w="0" w:type="auto"/>
          </w:tcPr>
          <w:p w:rsidR="00700AE6" w:rsidRDefault="00700AE6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0D4EC3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700AE6">
        <w:tc>
          <w:tcPr>
            <w:tcW w:w="0" w:type="auto"/>
          </w:tcPr>
          <w:p w:rsidR="00700AE6" w:rsidRDefault="000D4EC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700AE6" w:rsidRDefault="00700AE6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0D4EC3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700AE6" w:rsidRDefault="00700AE6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0D4EC3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700AE6">
        <w:tc>
          <w:tcPr>
            <w:tcW w:w="0" w:type="auto"/>
          </w:tcPr>
          <w:p w:rsidR="00700AE6" w:rsidRDefault="000D4EC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700AE6" w:rsidRDefault="00700AE6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0D4EC3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700AE6" w:rsidRDefault="00700AE6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0D4EC3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700AE6">
        <w:tc>
          <w:tcPr>
            <w:tcW w:w="0" w:type="auto"/>
          </w:tcPr>
          <w:p w:rsidR="00700AE6" w:rsidRDefault="000D4EC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700AE6" w:rsidRDefault="00700AE6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0D4EC3">
                <w:rPr>
                  <w:rStyle w:val="Hyperlink"/>
                  <w:szCs w:val="22"/>
                </w:rPr>
                <w:t>https://www.itu.int/ITU-T/studyg</w:t>
              </w:r>
              <w:r w:rsidR="000D4EC3">
                <w:rPr>
                  <w:rStyle w:val="Hyperlink"/>
                  <w:szCs w:val="22"/>
                </w:rPr>
                <w:t>roups/com16</w:t>
              </w:r>
            </w:hyperlink>
          </w:p>
        </w:tc>
        <w:tc>
          <w:tcPr>
            <w:tcW w:w="0" w:type="auto"/>
          </w:tcPr>
          <w:p w:rsidR="00700AE6" w:rsidRDefault="00700AE6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0D4EC3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700AE6">
        <w:tc>
          <w:tcPr>
            <w:tcW w:w="0" w:type="auto"/>
          </w:tcPr>
          <w:p w:rsidR="00700AE6" w:rsidRDefault="000D4EC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700AE6" w:rsidRDefault="00700AE6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0D4EC3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700AE6" w:rsidRDefault="00700AE6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0D4EC3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700AE6">
        <w:tc>
          <w:tcPr>
            <w:tcW w:w="0" w:type="auto"/>
          </w:tcPr>
          <w:p w:rsidR="00700AE6" w:rsidRDefault="000D4EC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700AE6" w:rsidRDefault="00700AE6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0D4EC3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700AE6" w:rsidRDefault="00700AE6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0D4EC3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700AE6" w:rsidRDefault="00700AE6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00AE6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700AE6" w:rsidRDefault="000D4EC3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00AE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00AE6" w:rsidRDefault="000D4EC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00AE6" w:rsidRDefault="000D4E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00AE6" w:rsidRDefault="000D4E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</w:t>
            </w:r>
            <w:r>
              <w:rPr>
                <w:rFonts w:ascii="Times New Roman" w:hAnsi="Times New Roman"/>
                <w:b/>
                <w:bCs/>
                <w:sz w:val="20"/>
              </w:rPr>
              <w:t>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00AE6" w:rsidRDefault="000D4E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00AE6" w:rsidRDefault="000D4EC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00AE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00AE6" w:rsidRDefault="00700AE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00AE6" w:rsidRDefault="00700AE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00AE6" w:rsidRDefault="000D4EC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00AE6" w:rsidRDefault="000D4EC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00AE6" w:rsidRDefault="000D4E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00AE6" w:rsidRDefault="000D4E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00AE6" w:rsidRDefault="000D4EC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00AE6" w:rsidRDefault="000D4EC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00AE6" w:rsidRDefault="000D4EC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00AE6" w:rsidRDefault="000D4E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00AE6" w:rsidRDefault="00700AE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00AE6">
        <w:trPr>
          <w:cantSplit/>
        </w:trPr>
        <w:tc>
          <w:tcPr>
            <w:tcW w:w="2090" w:type="dxa"/>
          </w:tcPr>
          <w:p w:rsidR="00700AE6" w:rsidRDefault="00700AE6">
            <w:hyperlink r:id="rId38" w:history="1">
              <w:r w:rsidR="000D4EC3">
                <w:rPr>
                  <w:rStyle w:val="Hyperlink"/>
                  <w:sz w:val="20"/>
                </w:rPr>
                <w:t>K.20 (Revision of K.20)</w:t>
              </w:r>
            </w:hyperlink>
          </w:p>
        </w:tc>
        <w:tc>
          <w:tcPr>
            <w:tcW w:w="4000" w:type="dxa"/>
          </w:tcPr>
          <w:p w:rsidR="00700AE6" w:rsidRDefault="000D4EC3">
            <w:r>
              <w:t>Resistibility of telecommunication equipment installed in a telecommunication centre to overvoltages and overcurrents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1150" w:type="dxa"/>
          </w:tcPr>
          <w:p w:rsidR="00700AE6" w:rsidRDefault="00700AE6">
            <w:pPr>
              <w:jc w:val="center"/>
            </w:pPr>
          </w:p>
        </w:tc>
        <w:tc>
          <w:tcPr>
            <w:tcW w:w="115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6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00AE6">
        <w:trPr>
          <w:cantSplit/>
        </w:trPr>
        <w:tc>
          <w:tcPr>
            <w:tcW w:w="2090" w:type="dxa"/>
          </w:tcPr>
          <w:p w:rsidR="00700AE6" w:rsidRDefault="00700AE6">
            <w:hyperlink r:id="rId40" w:history="1">
              <w:r w:rsidR="000D4EC3">
                <w:rPr>
                  <w:rStyle w:val="Hyperlink"/>
                  <w:sz w:val="20"/>
                </w:rPr>
                <w:t>K.21 (Revision of K.21)</w:t>
              </w:r>
            </w:hyperlink>
          </w:p>
        </w:tc>
        <w:tc>
          <w:tcPr>
            <w:tcW w:w="4000" w:type="dxa"/>
          </w:tcPr>
          <w:p w:rsidR="00700AE6" w:rsidRDefault="000D4EC3">
            <w:r>
              <w:t>Resistibility of telecommunication equipment installed in customer premises to overvoltages and overcurrents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1150" w:type="dxa"/>
          </w:tcPr>
          <w:p w:rsidR="00700AE6" w:rsidRDefault="00700AE6">
            <w:pPr>
              <w:jc w:val="center"/>
            </w:pPr>
          </w:p>
        </w:tc>
        <w:tc>
          <w:tcPr>
            <w:tcW w:w="115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6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00AE6">
        <w:trPr>
          <w:cantSplit/>
        </w:trPr>
        <w:tc>
          <w:tcPr>
            <w:tcW w:w="2090" w:type="dxa"/>
          </w:tcPr>
          <w:p w:rsidR="00700AE6" w:rsidRDefault="00700AE6">
            <w:hyperlink r:id="rId42" w:history="1">
              <w:r w:rsidR="000D4EC3">
                <w:rPr>
                  <w:rStyle w:val="Hyperlink"/>
                  <w:sz w:val="20"/>
                </w:rPr>
                <w:t>K.44 (Revision of K.44)</w:t>
              </w:r>
            </w:hyperlink>
          </w:p>
        </w:tc>
        <w:tc>
          <w:tcPr>
            <w:tcW w:w="4000" w:type="dxa"/>
          </w:tcPr>
          <w:p w:rsidR="00700AE6" w:rsidRDefault="000D4EC3">
            <w:r>
              <w:t>Resistibility tests for telecommunication equipment e</w:t>
            </w:r>
            <w:r>
              <w:t>xposed to overvoltages and overcurrents - Basic Recommendation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1150" w:type="dxa"/>
          </w:tcPr>
          <w:p w:rsidR="00700AE6" w:rsidRDefault="00700AE6">
            <w:pPr>
              <w:jc w:val="center"/>
            </w:pPr>
          </w:p>
        </w:tc>
        <w:tc>
          <w:tcPr>
            <w:tcW w:w="115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6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00AE6">
        <w:trPr>
          <w:cantSplit/>
        </w:trPr>
        <w:tc>
          <w:tcPr>
            <w:tcW w:w="2090" w:type="dxa"/>
          </w:tcPr>
          <w:p w:rsidR="00700AE6" w:rsidRDefault="00700AE6">
            <w:hyperlink r:id="rId44" w:history="1">
              <w:r w:rsidR="000D4EC3">
                <w:rPr>
                  <w:rStyle w:val="Hyperlink"/>
                  <w:sz w:val="20"/>
                </w:rPr>
                <w:t>K.45 (Revision of K.45)</w:t>
              </w:r>
            </w:hyperlink>
          </w:p>
        </w:tc>
        <w:tc>
          <w:tcPr>
            <w:tcW w:w="4000" w:type="dxa"/>
          </w:tcPr>
          <w:p w:rsidR="00700AE6" w:rsidRDefault="000D4EC3">
            <w:r>
              <w:t>Resistibility of telecommunication equipment installed in the access and trunk networks to overvoltages and overcurrents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1150" w:type="dxa"/>
          </w:tcPr>
          <w:p w:rsidR="00700AE6" w:rsidRDefault="00700AE6">
            <w:pPr>
              <w:jc w:val="center"/>
            </w:pPr>
          </w:p>
        </w:tc>
        <w:tc>
          <w:tcPr>
            <w:tcW w:w="115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6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00AE6">
        <w:trPr>
          <w:cantSplit/>
        </w:trPr>
        <w:tc>
          <w:tcPr>
            <w:tcW w:w="2090" w:type="dxa"/>
          </w:tcPr>
          <w:p w:rsidR="00700AE6" w:rsidRDefault="00700AE6">
            <w:hyperlink r:id="rId46" w:history="1">
              <w:r w:rsidR="000D4EC3">
                <w:rPr>
                  <w:rStyle w:val="Hyperlink"/>
                  <w:sz w:val="20"/>
                </w:rPr>
                <w:t>K.77 (Revision of K.77)</w:t>
              </w:r>
            </w:hyperlink>
          </w:p>
        </w:tc>
        <w:tc>
          <w:tcPr>
            <w:tcW w:w="4000" w:type="dxa"/>
          </w:tcPr>
          <w:p w:rsidR="00700AE6" w:rsidRDefault="000D4EC3">
            <w:r>
              <w:t>Characteristics of metal oxide varistors for the protection of telecommunication installations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1150" w:type="dxa"/>
          </w:tcPr>
          <w:p w:rsidR="00700AE6" w:rsidRDefault="00700AE6">
            <w:pPr>
              <w:jc w:val="center"/>
            </w:pPr>
          </w:p>
        </w:tc>
        <w:tc>
          <w:tcPr>
            <w:tcW w:w="115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6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00AE6">
        <w:trPr>
          <w:cantSplit/>
        </w:trPr>
        <w:tc>
          <w:tcPr>
            <w:tcW w:w="2090" w:type="dxa"/>
          </w:tcPr>
          <w:p w:rsidR="00700AE6" w:rsidRDefault="00700AE6">
            <w:hyperlink r:id="rId48" w:history="1">
              <w:r w:rsidR="000D4EC3">
                <w:rPr>
                  <w:rStyle w:val="Hyperlink"/>
                  <w:sz w:val="20"/>
                </w:rPr>
                <w:t>K.100 (Revision of K.100)</w:t>
              </w:r>
            </w:hyperlink>
          </w:p>
        </w:tc>
        <w:tc>
          <w:tcPr>
            <w:tcW w:w="4000" w:type="dxa"/>
          </w:tcPr>
          <w:p w:rsidR="00700AE6" w:rsidRDefault="000D4EC3">
            <w:r>
              <w:t>Measurement of radio frequency electromagnetic fields to determine compliance with human exposure limits when a base station is put into service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1150" w:type="dxa"/>
          </w:tcPr>
          <w:p w:rsidR="00700AE6" w:rsidRDefault="00700AE6">
            <w:pPr>
              <w:jc w:val="center"/>
            </w:pPr>
          </w:p>
        </w:tc>
        <w:tc>
          <w:tcPr>
            <w:tcW w:w="115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6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00AE6">
        <w:trPr>
          <w:cantSplit/>
        </w:trPr>
        <w:tc>
          <w:tcPr>
            <w:tcW w:w="2090" w:type="dxa"/>
          </w:tcPr>
          <w:p w:rsidR="00700AE6" w:rsidRDefault="00700AE6">
            <w:hyperlink r:id="rId50" w:history="1">
              <w:r w:rsidR="000D4EC3">
                <w:rPr>
                  <w:rStyle w:val="Hyperlink"/>
                  <w:sz w:val="20"/>
                </w:rPr>
                <w:t>K.112 (K.112)</w:t>
              </w:r>
            </w:hyperlink>
          </w:p>
        </w:tc>
        <w:tc>
          <w:tcPr>
            <w:tcW w:w="4000" w:type="dxa"/>
          </w:tcPr>
          <w:p w:rsidR="00700AE6" w:rsidRDefault="000D4EC3">
            <w:r>
              <w:t>Lightning protection, earthing and bonding: Practical procedures for radio base stations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1150" w:type="dxa"/>
          </w:tcPr>
          <w:p w:rsidR="00700AE6" w:rsidRDefault="00700AE6">
            <w:pPr>
              <w:jc w:val="center"/>
            </w:pPr>
          </w:p>
        </w:tc>
        <w:tc>
          <w:tcPr>
            <w:tcW w:w="115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6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00AE6">
        <w:trPr>
          <w:cantSplit/>
        </w:trPr>
        <w:tc>
          <w:tcPr>
            <w:tcW w:w="2090" w:type="dxa"/>
          </w:tcPr>
          <w:p w:rsidR="00700AE6" w:rsidRDefault="00700AE6">
            <w:hyperlink r:id="rId52" w:history="1">
              <w:r w:rsidR="000D4EC3">
                <w:rPr>
                  <w:rStyle w:val="Hyperlink"/>
                  <w:sz w:val="20"/>
                </w:rPr>
                <w:t>K.116 (Revision of ITU-T K.116)</w:t>
              </w:r>
            </w:hyperlink>
          </w:p>
        </w:tc>
        <w:tc>
          <w:tcPr>
            <w:tcW w:w="4000" w:type="dxa"/>
          </w:tcPr>
          <w:p w:rsidR="00700AE6" w:rsidRDefault="000D4EC3">
            <w:r>
              <w:t>Electromagnetic compatibility requirements and test methods for radio telecommunication terminal equipment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1150" w:type="dxa"/>
          </w:tcPr>
          <w:p w:rsidR="00700AE6" w:rsidRDefault="00700AE6">
            <w:pPr>
              <w:jc w:val="center"/>
            </w:pPr>
          </w:p>
        </w:tc>
        <w:tc>
          <w:tcPr>
            <w:tcW w:w="115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6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00AE6">
        <w:trPr>
          <w:cantSplit/>
        </w:trPr>
        <w:tc>
          <w:tcPr>
            <w:tcW w:w="2090" w:type="dxa"/>
          </w:tcPr>
          <w:p w:rsidR="00700AE6" w:rsidRDefault="00700AE6">
            <w:hyperlink r:id="rId54" w:history="1">
              <w:r w:rsidR="000D4EC3">
                <w:rPr>
                  <w:rStyle w:val="Hyperlink"/>
                  <w:sz w:val="20"/>
                </w:rPr>
                <w:t>K.123 (K.123)</w:t>
              </w:r>
            </w:hyperlink>
          </w:p>
        </w:tc>
        <w:tc>
          <w:tcPr>
            <w:tcW w:w="4000" w:type="dxa"/>
          </w:tcPr>
          <w:p w:rsidR="00700AE6" w:rsidRDefault="000D4EC3">
            <w:r>
              <w:t>Electromagnetic compatibility requirements for electrical equipment in telecommunication facilities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1150" w:type="dxa"/>
          </w:tcPr>
          <w:p w:rsidR="00700AE6" w:rsidRDefault="00700AE6">
            <w:pPr>
              <w:jc w:val="center"/>
            </w:pPr>
          </w:p>
        </w:tc>
        <w:tc>
          <w:tcPr>
            <w:tcW w:w="115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6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00AE6">
        <w:trPr>
          <w:cantSplit/>
        </w:trPr>
        <w:tc>
          <w:tcPr>
            <w:tcW w:w="2090" w:type="dxa"/>
          </w:tcPr>
          <w:p w:rsidR="00700AE6" w:rsidRDefault="00700AE6">
            <w:hyperlink r:id="rId56" w:history="1">
              <w:r w:rsidR="000D4EC3">
                <w:rPr>
                  <w:rStyle w:val="Hyperlink"/>
                  <w:sz w:val="20"/>
                </w:rPr>
                <w:t>K.140 (K.appl5)</w:t>
              </w:r>
            </w:hyperlink>
          </w:p>
        </w:tc>
        <w:tc>
          <w:tcPr>
            <w:tcW w:w="4000" w:type="dxa"/>
          </w:tcPr>
          <w:p w:rsidR="00700AE6" w:rsidRDefault="000D4EC3">
            <w:r>
              <w:t>Surge protective component application guide - Fuses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9-06-16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1150" w:type="dxa"/>
          </w:tcPr>
          <w:p w:rsidR="00700AE6" w:rsidRDefault="00700AE6">
            <w:pPr>
              <w:jc w:val="center"/>
            </w:pPr>
          </w:p>
        </w:tc>
        <w:tc>
          <w:tcPr>
            <w:tcW w:w="115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6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00AE6">
        <w:trPr>
          <w:cantSplit/>
        </w:trPr>
        <w:tc>
          <w:tcPr>
            <w:tcW w:w="2090" w:type="dxa"/>
          </w:tcPr>
          <w:p w:rsidR="00700AE6" w:rsidRDefault="00700AE6">
            <w:hyperlink r:id="rId58" w:history="1">
              <w:r w:rsidR="000D4EC3">
                <w:rPr>
                  <w:rStyle w:val="Hyperlink"/>
                  <w:sz w:val="20"/>
                </w:rPr>
                <w:t>K.141 (K.ipe)</w:t>
              </w:r>
            </w:hyperlink>
          </w:p>
        </w:tc>
        <w:tc>
          <w:tcPr>
            <w:tcW w:w="4000" w:type="dxa"/>
          </w:tcPr>
          <w:p w:rsidR="00700AE6" w:rsidRDefault="000D4EC3">
            <w:r>
              <w:t>Electromagnetic compatibility requirements for Information Perception Equipment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1150" w:type="dxa"/>
          </w:tcPr>
          <w:p w:rsidR="00700AE6" w:rsidRDefault="00700AE6">
            <w:pPr>
              <w:jc w:val="center"/>
            </w:pPr>
          </w:p>
        </w:tc>
        <w:tc>
          <w:tcPr>
            <w:tcW w:w="115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6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00AE6">
        <w:trPr>
          <w:cantSplit/>
        </w:trPr>
        <w:tc>
          <w:tcPr>
            <w:tcW w:w="2090" w:type="dxa"/>
          </w:tcPr>
          <w:p w:rsidR="00700AE6" w:rsidRDefault="00700AE6">
            <w:hyperlink r:id="rId60" w:history="1">
              <w:r w:rsidR="000D4EC3">
                <w:rPr>
                  <w:rStyle w:val="Hyperlink"/>
                  <w:sz w:val="20"/>
                </w:rPr>
                <w:t>L.1000 (Revision of L.1000)</w:t>
              </w:r>
            </w:hyperlink>
          </w:p>
        </w:tc>
        <w:tc>
          <w:tcPr>
            <w:tcW w:w="4000" w:type="dxa"/>
          </w:tcPr>
          <w:p w:rsidR="00700AE6" w:rsidRDefault="000D4EC3">
            <w:r>
              <w:t>Universal p</w:t>
            </w:r>
            <w:r>
              <w:t>ower adapter and charger solution for mobile terminals and other hand-held ICT devices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1150" w:type="dxa"/>
          </w:tcPr>
          <w:p w:rsidR="00700AE6" w:rsidRDefault="00700AE6">
            <w:pPr>
              <w:jc w:val="center"/>
            </w:pPr>
          </w:p>
        </w:tc>
        <w:tc>
          <w:tcPr>
            <w:tcW w:w="115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6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00AE6">
        <w:trPr>
          <w:cantSplit/>
        </w:trPr>
        <w:tc>
          <w:tcPr>
            <w:tcW w:w="2090" w:type="dxa"/>
          </w:tcPr>
          <w:p w:rsidR="00700AE6" w:rsidRDefault="00700AE6">
            <w:hyperlink r:id="rId62" w:history="1">
              <w:r w:rsidR="000D4EC3">
                <w:rPr>
                  <w:rStyle w:val="Hyperlink"/>
                  <w:sz w:val="20"/>
                </w:rPr>
                <w:t>L.1022 (L.CE_Concepts)</w:t>
              </w:r>
            </w:hyperlink>
          </w:p>
        </w:tc>
        <w:tc>
          <w:tcPr>
            <w:tcW w:w="4000" w:type="dxa"/>
          </w:tcPr>
          <w:p w:rsidR="00700AE6" w:rsidRDefault="000D4EC3">
            <w:r>
              <w:t>Circular Economy: Definitions and concepts for material efficiency for Information and Communication Technology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1150" w:type="dxa"/>
          </w:tcPr>
          <w:p w:rsidR="00700AE6" w:rsidRDefault="00700AE6">
            <w:pPr>
              <w:jc w:val="center"/>
            </w:pPr>
          </w:p>
        </w:tc>
        <w:tc>
          <w:tcPr>
            <w:tcW w:w="115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6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00AE6">
        <w:trPr>
          <w:cantSplit/>
        </w:trPr>
        <w:tc>
          <w:tcPr>
            <w:tcW w:w="2090" w:type="dxa"/>
          </w:tcPr>
          <w:p w:rsidR="00700AE6" w:rsidRDefault="00700AE6">
            <w:hyperlink r:id="rId64" w:history="1">
              <w:r w:rsidR="000D4EC3">
                <w:rPr>
                  <w:rStyle w:val="Hyperlink"/>
                  <w:sz w:val="20"/>
                </w:rPr>
                <w:t>L.1032 (L.ER)</w:t>
              </w:r>
            </w:hyperlink>
          </w:p>
        </w:tc>
        <w:tc>
          <w:tcPr>
            <w:tcW w:w="4000" w:type="dxa"/>
          </w:tcPr>
          <w:p w:rsidR="00700AE6" w:rsidRDefault="000D4EC3">
            <w:r>
              <w:t>Guidelines and certification schemes for e-waste recyclers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1150" w:type="dxa"/>
          </w:tcPr>
          <w:p w:rsidR="00700AE6" w:rsidRDefault="00700AE6">
            <w:pPr>
              <w:jc w:val="center"/>
            </w:pPr>
          </w:p>
        </w:tc>
        <w:tc>
          <w:tcPr>
            <w:tcW w:w="115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6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00AE6">
        <w:trPr>
          <w:cantSplit/>
        </w:trPr>
        <w:tc>
          <w:tcPr>
            <w:tcW w:w="2090" w:type="dxa"/>
          </w:tcPr>
          <w:p w:rsidR="00700AE6" w:rsidRDefault="00700AE6">
            <w:hyperlink r:id="rId66" w:history="1">
              <w:r w:rsidR="000D4EC3">
                <w:rPr>
                  <w:rStyle w:val="Hyperlink"/>
                  <w:sz w:val="20"/>
                </w:rPr>
                <w:t>L.1362 (L.GAL2)</w:t>
              </w:r>
            </w:hyperlink>
          </w:p>
        </w:tc>
        <w:tc>
          <w:tcPr>
            <w:tcW w:w="4000" w:type="dxa"/>
          </w:tcPr>
          <w:p w:rsidR="00700AE6" w:rsidRDefault="000D4EC3">
            <w:r>
              <w:t>Interface for power management in network function virtualization environments – Green abstraction layer version 2 (</w:t>
            </w:r>
            <w:hyperlink r:id="rId67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1150" w:type="dxa"/>
          </w:tcPr>
          <w:p w:rsidR="00700AE6" w:rsidRDefault="00700AE6">
            <w:pPr>
              <w:jc w:val="center"/>
            </w:pPr>
          </w:p>
        </w:tc>
        <w:tc>
          <w:tcPr>
            <w:tcW w:w="115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6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00AE6">
        <w:trPr>
          <w:cantSplit/>
        </w:trPr>
        <w:tc>
          <w:tcPr>
            <w:tcW w:w="2090" w:type="dxa"/>
          </w:tcPr>
          <w:p w:rsidR="00700AE6" w:rsidRDefault="00700AE6">
            <w:hyperlink r:id="rId68" w:history="1">
              <w:r w:rsidR="000D4EC3">
                <w:rPr>
                  <w:rStyle w:val="Hyperlink"/>
                  <w:sz w:val="20"/>
                </w:rPr>
                <w:t>L.1507 (L.SES)</w:t>
              </w:r>
            </w:hyperlink>
          </w:p>
        </w:tc>
        <w:tc>
          <w:tcPr>
            <w:tcW w:w="4000" w:type="dxa"/>
          </w:tcPr>
          <w:p w:rsidR="00700AE6" w:rsidRDefault="000D4EC3">
            <w:r>
              <w:t>Use of ICT sites to support environmental sensing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1150" w:type="dxa"/>
          </w:tcPr>
          <w:p w:rsidR="00700AE6" w:rsidRDefault="00700AE6">
            <w:pPr>
              <w:jc w:val="center"/>
            </w:pPr>
          </w:p>
        </w:tc>
        <w:tc>
          <w:tcPr>
            <w:tcW w:w="115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6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00AE6" w:rsidRDefault="000D4EC3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00AE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00AE6" w:rsidRDefault="000D4EC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00AE6" w:rsidRDefault="000D4E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00AE6" w:rsidRDefault="000D4E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00AE6" w:rsidRDefault="000D4E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00AE6" w:rsidRDefault="000D4EC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00AE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00AE6" w:rsidRDefault="00700AE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00AE6" w:rsidRDefault="00700AE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00AE6" w:rsidRDefault="000D4EC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00AE6" w:rsidRDefault="000D4EC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00AE6" w:rsidRDefault="000D4E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00AE6" w:rsidRDefault="000D4E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00AE6" w:rsidRDefault="000D4EC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00AE6" w:rsidRDefault="000D4EC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00AE6" w:rsidRDefault="000D4EC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00AE6" w:rsidRDefault="000D4E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00AE6" w:rsidRDefault="00700AE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00AE6">
        <w:trPr>
          <w:cantSplit/>
        </w:trPr>
        <w:tc>
          <w:tcPr>
            <w:tcW w:w="2090" w:type="dxa"/>
          </w:tcPr>
          <w:p w:rsidR="00700AE6" w:rsidRDefault="00700AE6">
            <w:hyperlink r:id="rId70" w:history="1">
              <w:r w:rsidR="000D4EC3">
                <w:rPr>
                  <w:rStyle w:val="Hyperlink"/>
                  <w:sz w:val="20"/>
                </w:rPr>
                <w:t>Y.2243 (Y.farms)</w:t>
              </w:r>
            </w:hyperlink>
          </w:p>
        </w:tc>
        <w:tc>
          <w:tcPr>
            <w:tcW w:w="4000" w:type="dxa"/>
          </w:tcPr>
          <w:p w:rsidR="00700AE6" w:rsidRDefault="000D4EC3">
            <w:r>
              <w:t>A service model for risk mitigation service based on networks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1150" w:type="dxa"/>
          </w:tcPr>
          <w:p w:rsidR="00700AE6" w:rsidRDefault="00700AE6">
            <w:pPr>
              <w:jc w:val="center"/>
            </w:pPr>
          </w:p>
        </w:tc>
        <w:tc>
          <w:tcPr>
            <w:tcW w:w="115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6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00AE6">
        <w:trPr>
          <w:cantSplit/>
        </w:trPr>
        <w:tc>
          <w:tcPr>
            <w:tcW w:w="2090" w:type="dxa"/>
          </w:tcPr>
          <w:p w:rsidR="00700AE6" w:rsidRDefault="00700AE6">
            <w:hyperlink r:id="rId72" w:history="1">
              <w:r w:rsidR="000D4EC3">
                <w:rPr>
                  <w:rStyle w:val="Hyperlink"/>
                  <w:sz w:val="20"/>
                </w:rPr>
                <w:t>Y.2775 (Y.DpiArchFn)</w:t>
              </w:r>
            </w:hyperlink>
          </w:p>
        </w:tc>
        <w:tc>
          <w:tcPr>
            <w:tcW w:w="4000" w:type="dxa"/>
          </w:tcPr>
          <w:p w:rsidR="00700AE6" w:rsidRDefault="000D4EC3">
            <w:r>
              <w:t>Functional architecture of deep packet inspection for future networks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1150" w:type="dxa"/>
          </w:tcPr>
          <w:p w:rsidR="00700AE6" w:rsidRDefault="00700AE6">
            <w:pPr>
              <w:jc w:val="center"/>
            </w:pPr>
          </w:p>
        </w:tc>
        <w:tc>
          <w:tcPr>
            <w:tcW w:w="115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6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00AE6">
        <w:trPr>
          <w:cantSplit/>
        </w:trPr>
        <w:tc>
          <w:tcPr>
            <w:tcW w:w="2090" w:type="dxa"/>
          </w:tcPr>
          <w:p w:rsidR="00700AE6" w:rsidRDefault="00700AE6">
            <w:hyperlink r:id="rId74" w:history="1">
              <w:r w:rsidR="000D4EC3">
                <w:rPr>
                  <w:rStyle w:val="Hyperlink"/>
                  <w:sz w:val="20"/>
                </w:rPr>
                <w:t>Y.3073 (Y.ICN-FnChain)</w:t>
              </w:r>
            </w:hyperlink>
          </w:p>
        </w:tc>
        <w:tc>
          <w:tcPr>
            <w:tcW w:w="4000" w:type="dxa"/>
          </w:tcPr>
          <w:p w:rsidR="00700AE6" w:rsidRDefault="000D4EC3">
            <w:r>
              <w:t>Framework for service function chaining in information centric networking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1150" w:type="dxa"/>
          </w:tcPr>
          <w:p w:rsidR="00700AE6" w:rsidRDefault="00700AE6">
            <w:pPr>
              <w:jc w:val="center"/>
            </w:pPr>
          </w:p>
        </w:tc>
        <w:tc>
          <w:tcPr>
            <w:tcW w:w="115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6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00AE6">
        <w:trPr>
          <w:cantSplit/>
        </w:trPr>
        <w:tc>
          <w:tcPr>
            <w:tcW w:w="2090" w:type="dxa"/>
          </w:tcPr>
          <w:p w:rsidR="00700AE6" w:rsidRDefault="00700AE6">
            <w:hyperlink r:id="rId76" w:history="1">
              <w:r w:rsidR="000D4EC3">
                <w:rPr>
                  <w:rStyle w:val="Hyperlink"/>
                  <w:sz w:val="20"/>
                </w:rPr>
                <w:t>Y.3074 (Y.ICN-DS-framework)</w:t>
              </w:r>
            </w:hyperlink>
          </w:p>
        </w:tc>
        <w:tc>
          <w:tcPr>
            <w:tcW w:w="4000" w:type="dxa"/>
          </w:tcPr>
          <w:p w:rsidR="00700AE6" w:rsidRDefault="000D4EC3">
            <w:r>
              <w:t>Framework for directory service for management of huge number of heterogeneously named objects in IMT-2020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1150" w:type="dxa"/>
          </w:tcPr>
          <w:p w:rsidR="00700AE6" w:rsidRDefault="00700AE6">
            <w:pPr>
              <w:jc w:val="center"/>
            </w:pPr>
          </w:p>
        </w:tc>
        <w:tc>
          <w:tcPr>
            <w:tcW w:w="115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6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00AE6">
        <w:trPr>
          <w:cantSplit/>
        </w:trPr>
        <w:tc>
          <w:tcPr>
            <w:tcW w:w="2090" w:type="dxa"/>
          </w:tcPr>
          <w:p w:rsidR="00700AE6" w:rsidRPr="000D4EC3" w:rsidRDefault="00700AE6">
            <w:pPr>
              <w:rPr>
                <w:lang w:val="fr-FR"/>
              </w:rPr>
            </w:pPr>
            <w:hyperlink r:id="rId78" w:history="1">
              <w:r w:rsidR="000D4EC3" w:rsidRPr="000D4EC3">
                <w:rPr>
                  <w:rStyle w:val="Hyperlink"/>
                  <w:sz w:val="20"/>
                  <w:lang w:val="fr-FR"/>
                </w:rPr>
                <w:t>Y.3107 (Y.IMT2020-qos-fa)</w:t>
              </w:r>
            </w:hyperlink>
          </w:p>
        </w:tc>
        <w:tc>
          <w:tcPr>
            <w:tcW w:w="4000" w:type="dxa"/>
          </w:tcPr>
          <w:p w:rsidR="00700AE6" w:rsidRDefault="000D4EC3">
            <w:r>
              <w:t>Functional architecture for QoS assurance management in the IMT-2020 network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1150" w:type="dxa"/>
          </w:tcPr>
          <w:p w:rsidR="00700AE6" w:rsidRDefault="00700AE6">
            <w:pPr>
              <w:jc w:val="center"/>
            </w:pPr>
          </w:p>
        </w:tc>
        <w:tc>
          <w:tcPr>
            <w:tcW w:w="115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6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00AE6">
        <w:trPr>
          <w:cantSplit/>
        </w:trPr>
        <w:tc>
          <w:tcPr>
            <w:tcW w:w="2090" w:type="dxa"/>
          </w:tcPr>
          <w:p w:rsidR="00700AE6" w:rsidRDefault="00700AE6">
            <w:hyperlink r:id="rId80" w:history="1">
              <w:r w:rsidR="000D4EC3">
                <w:rPr>
                  <w:rStyle w:val="Hyperlink"/>
                  <w:sz w:val="20"/>
                </w:rPr>
                <w:t>Y.3131 (Y.FMC-ARCH)</w:t>
              </w:r>
            </w:hyperlink>
          </w:p>
        </w:tc>
        <w:tc>
          <w:tcPr>
            <w:tcW w:w="4000" w:type="dxa"/>
          </w:tcPr>
          <w:p w:rsidR="00700AE6" w:rsidRDefault="000D4EC3">
            <w:r>
              <w:t>Functional architecture for supporting fixed mobile convergence in IMT-2020 networks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1150" w:type="dxa"/>
          </w:tcPr>
          <w:p w:rsidR="00700AE6" w:rsidRDefault="00700AE6">
            <w:pPr>
              <w:jc w:val="center"/>
            </w:pPr>
          </w:p>
        </w:tc>
        <w:tc>
          <w:tcPr>
            <w:tcW w:w="115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6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00AE6">
        <w:trPr>
          <w:cantSplit/>
        </w:trPr>
        <w:tc>
          <w:tcPr>
            <w:tcW w:w="2090" w:type="dxa"/>
          </w:tcPr>
          <w:p w:rsidR="00700AE6" w:rsidRDefault="00700AE6">
            <w:hyperlink r:id="rId82" w:history="1">
              <w:r w:rsidR="000D4EC3">
                <w:rPr>
                  <w:rStyle w:val="Hyperlink"/>
                  <w:sz w:val="20"/>
                </w:rPr>
                <w:t>Y.3508 (Y.ccdc-reqts)</w:t>
              </w:r>
            </w:hyperlink>
          </w:p>
        </w:tc>
        <w:tc>
          <w:tcPr>
            <w:tcW w:w="4000" w:type="dxa"/>
          </w:tcPr>
          <w:p w:rsidR="00700AE6" w:rsidRDefault="000D4EC3">
            <w:r>
              <w:t>Cloud computing - Overview and high-level requirements of distributed cloud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1150" w:type="dxa"/>
          </w:tcPr>
          <w:p w:rsidR="00700AE6" w:rsidRDefault="00700AE6">
            <w:pPr>
              <w:jc w:val="center"/>
            </w:pPr>
          </w:p>
        </w:tc>
        <w:tc>
          <w:tcPr>
            <w:tcW w:w="115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6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00AE6">
        <w:trPr>
          <w:cantSplit/>
        </w:trPr>
        <w:tc>
          <w:tcPr>
            <w:tcW w:w="2090" w:type="dxa"/>
          </w:tcPr>
          <w:p w:rsidR="00700AE6" w:rsidRDefault="00700AE6">
            <w:hyperlink r:id="rId84" w:history="1">
              <w:r w:rsidR="000D4EC3">
                <w:rPr>
                  <w:rStyle w:val="Hyperlink"/>
                  <w:sz w:val="20"/>
                </w:rPr>
                <w:t>Y.3523 (Y.cslm-metadata)</w:t>
              </w:r>
            </w:hyperlink>
          </w:p>
        </w:tc>
        <w:tc>
          <w:tcPr>
            <w:tcW w:w="4000" w:type="dxa"/>
          </w:tcPr>
          <w:p w:rsidR="00700AE6" w:rsidRDefault="000D4EC3">
            <w:r>
              <w:t>Metadata framework for NaaS service lifecycle management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1150" w:type="dxa"/>
          </w:tcPr>
          <w:p w:rsidR="00700AE6" w:rsidRDefault="00700AE6">
            <w:pPr>
              <w:jc w:val="center"/>
            </w:pPr>
          </w:p>
        </w:tc>
        <w:tc>
          <w:tcPr>
            <w:tcW w:w="115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6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00AE6">
        <w:trPr>
          <w:cantSplit/>
        </w:trPr>
        <w:tc>
          <w:tcPr>
            <w:tcW w:w="2090" w:type="dxa"/>
          </w:tcPr>
          <w:p w:rsidR="00700AE6" w:rsidRDefault="00700AE6">
            <w:hyperlink r:id="rId86" w:history="1">
              <w:r w:rsidR="000D4EC3">
                <w:rPr>
                  <w:rStyle w:val="Hyperlink"/>
                  <w:sz w:val="20"/>
                </w:rPr>
                <w:t>Y.3800 (Y.QKDN_FR)</w:t>
              </w:r>
            </w:hyperlink>
          </w:p>
        </w:tc>
        <w:tc>
          <w:tcPr>
            <w:tcW w:w="4000" w:type="dxa"/>
          </w:tcPr>
          <w:p w:rsidR="00700AE6" w:rsidRDefault="000D4EC3">
            <w:r>
              <w:t>Framework for Networks supporting Quantum Key Distribution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1150" w:type="dxa"/>
          </w:tcPr>
          <w:p w:rsidR="00700AE6" w:rsidRDefault="00700AE6">
            <w:pPr>
              <w:jc w:val="center"/>
            </w:pPr>
          </w:p>
        </w:tc>
        <w:tc>
          <w:tcPr>
            <w:tcW w:w="115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6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00AE6" w:rsidRDefault="000D4EC3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00AE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00AE6" w:rsidRDefault="000D4EC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00AE6" w:rsidRDefault="000D4E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00AE6" w:rsidRDefault="000D4E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00AE6" w:rsidRDefault="000D4E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00AE6" w:rsidRDefault="000D4EC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00AE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00AE6" w:rsidRDefault="00700AE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00AE6" w:rsidRDefault="00700AE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00AE6" w:rsidRDefault="000D4EC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00AE6" w:rsidRDefault="000D4EC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00AE6" w:rsidRDefault="000D4E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00AE6" w:rsidRDefault="000D4E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00AE6" w:rsidRDefault="000D4EC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00AE6" w:rsidRDefault="000D4EC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00AE6" w:rsidRDefault="000D4EC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00AE6" w:rsidRDefault="000D4E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00AE6" w:rsidRDefault="00700AE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00AE6">
        <w:trPr>
          <w:cantSplit/>
        </w:trPr>
        <w:tc>
          <w:tcPr>
            <w:tcW w:w="2090" w:type="dxa"/>
          </w:tcPr>
          <w:p w:rsidR="00700AE6" w:rsidRDefault="00700AE6">
            <w:hyperlink r:id="rId88" w:history="1">
              <w:r w:rsidR="000D4EC3">
                <w:rPr>
                  <w:rStyle w:val="Hyperlink"/>
                  <w:sz w:val="20"/>
                </w:rPr>
                <w:t>H.265 (V6)</w:t>
              </w:r>
            </w:hyperlink>
          </w:p>
        </w:tc>
        <w:tc>
          <w:tcPr>
            <w:tcW w:w="4000" w:type="dxa"/>
          </w:tcPr>
          <w:p w:rsidR="00700AE6" w:rsidRDefault="000D4EC3">
            <w:r>
              <w:t>High efficiency video coding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700AE6" w:rsidRDefault="00700AE6">
            <w:pPr>
              <w:jc w:val="center"/>
            </w:pPr>
          </w:p>
        </w:tc>
        <w:tc>
          <w:tcPr>
            <w:tcW w:w="115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6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00AE6">
        <w:trPr>
          <w:cantSplit/>
        </w:trPr>
        <w:tc>
          <w:tcPr>
            <w:tcW w:w="2090" w:type="dxa"/>
          </w:tcPr>
          <w:p w:rsidR="00700AE6" w:rsidRDefault="00700AE6">
            <w:hyperlink r:id="rId90" w:history="1">
              <w:r w:rsidR="000D4EC3">
                <w:rPr>
                  <w:rStyle w:val="Hyperlink"/>
                  <w:sz w:val="20"/>
                </w:rPr>
                <w:t>T.832 (V4)</w:t>
              </w:r>
            </w:hyperlink>
          </w:p>
        </w:tc>
        <w:tc>
          <w:tcPr>
            <w:tcW w:w="4000" w:type="dxa"/>
          </w:tcPr>
          <w:p w:rsidR="00700AE6" w:rsidRDefault="000D4EC3">
            <w:r>
              <w:t>Information technology - JPEG XR image coding system - Image coding specification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700AE6" w:rsidRDefault="00700AE6">
            <w:pPr>
              <w:jc w:val="center"/>
            </w:pPr>
          </w:p>
        </w:tc>
        <w:tc>
          <w:tcPr>
            <w:tcW w:w="115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6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00AE6" w:rsidRDefault="000D4EC3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00AE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00AE6" w:rsidRDefault="000D4EC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00AE6" w:rsidRDefault="000D4E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00AE6" w:rsidRDefault="000D4E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00AE6" w:rsidRDefault="000D4E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00AE6" w:rsidRDefault="000D4EC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00AE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00AE6" w:rsidRDefault="00700AE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00AE6" w:rsidRDefault="00700AE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00AE6" w:rsidRDefault="000D4EC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00AE6" w:rsidRDefault="000D4EC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00AE6" w:rsidRDefault="000D4E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00AE6" w:rsidRDefault="000D4E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00AE6" w:rsidRDefault="000D4EC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00AE6" w:rsidRDefault="000D4EC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00AE6" w:rsidRDefault="000D4EC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00AE6" w:rsidRDefault="000D4E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00AE6" w:rsidRDefault="00700AE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00AE6">
        <w:trPr>
          <w:cantSplit/>
        </w:trPr>
        <w:tc>
          <w:tcPr>
            <w:tcW w:w="2090" w:type="dxa"/>
          </w:tcPr>
          <w:p w:rsidR="00700AE6" w:rsidRDefault="00700AE6">
            <w:hyperlink r:id="rId92" w:history="1">
              <w:r w:rsidR="000D4EC3">
                <w:rPr>
                  <w:rStyle w:val="Hyperlink"/>
                  <w:sz w:val="20"/>
                </w:rPr>
                <w:t>Y.4051 (Y.SCC-Terms)</w:t>
              </w:r>
            </w:hyperlink>
          </w:p>
        </w:tc>
        <w:tc>
          <w:tcPr>
            <w:tcW w:w="4000" w:type="dxa"/>
          </w:tcPr>
          <w:p w:rsidR="00700AE6" w:rsidRDefault="000D4EC3">
            <w:r>
              <w:t>Vocabulary for smart cities and communities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2019-07-06</w:t>
            </w:r>
          </w:p>
        </w:tc>
        <w:tc>
          <w:tcPr>
            <w:tcW w:w="88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6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700AE6">
        <w:trPr>
          <w:cantSplit/>
        </w:trPr>
        <w:tc>
          <w:tcPr>
            <w:tcW w:w="2090" w:type="dxa"/>
          </w:tcPr>
          <w:p w:rsidR="00700AE6" w:rsidRDefault="00700AE6">
            <w:hyperlink r:id="rId94" w:history="1">
              <w:r w:rsidR="000D4EC3">
                <w:rPr>
                  <w:rStyle w:val="Hyperlink"/>
                  <w:sz w:val="20"/>
                </w:rPr>
                <w:t>Y.4906 (Y.AFDTS)</w:t>
              </w:r>
            </w:hyperlink>
          </w:p>
        </w:tc>
        <w:tc>
          <w:tcPr>
            <w:tcW w:w="4000" w:type="dxa"/>
          </w:tcPr>
          <w:p w:rsidR="00700AE6" w:rsidRDefault="000D4EC3">
            <w:r>
              <w:t>Assessment framework for digital transformation of sectors in smart cities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2019-05-16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2019-06-12</w:t>
            </w:r>
          </w:p>
        </w:tc>
        <w:tc>
          <w:tcPr>
            <w:tcW w:w="88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2019-07-06</w:t>
            </w:r>
          </w:p>
        </w:tc>
        <w:tc>
          <w:tcPr>
            <w:tcW w:w="88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700AE6" w:rsidRDefault="00700AE6">
            <w:pPr>
              <w:jc w:val="center"/>
            </w:pPr>
          </w:p>
        </w:tc>
        <w:tc>
          <w:tcPr>
            <w:tcW w:w="860" w:type="dxa"/>
          </w:tcPr>
          <w:p w:rsidR="00700AE6" w:rsidRDefault="000D4EC3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700AE6" w:rsidRDefault="00700AE6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00AE6">
          <w:headerReference w:type="default" r:id="rId96"/>
          <w:footerReference w:type="default" r:id="rId9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700AE6" w:rsidRDefault="000D4EC3">
      <w:r>
        <w:lastRenderedPageBreak/>
        <w:t>Annex 2</w:t>
      </w:r>
    </w:p>
    <w:p w:rsidR="00700AE6" w:rsidRDefault="000D4EC3">
      <w:pPr>
        <w:jc w:val="center"/>
        <w:rPr>
          <w:szCs w:val="22"/>
        </w:rPr>
      </w:pPr>
      <w:r>
        <w:rPr>
          <w:szCs w:val="22"/>
        </w:rPr>
        <w:t>(to TSB AAP-62)</w:t>
      </w:r>
    </w:p>
    <w:p w:rsidR="00700AE6" w:rsidRDefault="000D4EC3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700AE6" w:rsidRDefault="000D4EC3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700AE6" w:rsidRDefault="000D4EC3">
      <w:r>
        <w:t>1)</w:t>
      </w:r>
      <w:r>
        <w:tab/>
        <w:t xml:space="preserve">Go to AAP search Web page at </w:t>
      </w:r>
      <w:hyperlink r:id="rId98" w:history="1">
        <w:r>
          <w:rPr>
            <w:rStyle w:val="Hyperlink"/>
            <w:szCs w:val="22"/>
          </w:rPr>
          <w:t>https://www.itu.int/ITU-T/aap/</w:t>
        </w:r>
      </w:hyperlink>
    </w:p>
    <w:p w:rsidR="00700AE6" w:rsidRDefault="000D4EC3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3900" cy="215900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AE6" w:rsidRDefault="000D4EC3">
      <w:r>
        <w:t>2)</w:t>
      </w:r>
      <w:r>
        <w:tab/>
        <w:t>Select your Recommendation</w:t>
      </w:r>
    </w:p>
    <w:p w:rsidR="00700AE6" w:rsidRDefault="000D4EC3">
      <w:pPr>
        <w:jc w:val="center"/>
        <w:rPr>
          <w:sz w:val="24"/>
        </w:rPr>
      </w:pPr>
      <w:r w:rsidRPr="00700AE6">
        <w:rPr>
          <w:noProof/>
          <w:sz w:val="24"/>
          <w:lang w:eastAsia="en-GB"/>
        </w:rPr>
        <w:drawing>
          <wp:inline distT="0" distB="0" distL="0" distR="0">
            <wp:extent cx="5397500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AE6" w:rsidRDefault="000D4EC3">
      <w:pPr>
        <w:keepNext/>
      </w:pPr>
      <w:r>
        <w:lastRenderedPageBreak/>
        <w:t>3)</w:t>
      </w:r>
      <w:r>
        <w:tab/>
        <w:t>Click the "Submit Comment" button</w:t>
      </w:r>
    </w:p>
    <w:p w:rsidR="00700AE6" w:rsidRDefault="000D4EC3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AE6" w:rsidRDefault="000D4EC3">
      <w:r>
        <w:t>4)</w:t>
      </w:r>
      <w:r>
        <w:tab/>
      </w:r>
      <w:r>
        <w:t>Complete the on-line form and click on "Submit"</w:t>
      </w:r>
    </w:p>
    <w:p w:rsidR="00700AE6" w:rsidRDefault="000D4EC3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460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AE6" w:rsidRDefault="000D4EC3">
      <w:r>
        <w:t>For more information, read the AAP tutorial on:</w:t>
      </w:r>
      <w:r>
        <w:tab/>
      </w:r>
      <w:r>
        <w:br/>
      </w:r>
      <w:hyperlink r:id="rId103" w:history="1">
        <w:r>
          <w:rPr>
            <w:rStyle w:val="Hyperlink"/>
          </w:rPr>
          <w:t>https://www.itu.int/ITU-T/aapinfo/files/AAPTutorial.pdf</w:t>
        </w:r>
      </w:hyperlink>
    </w:p>
    <w:p w:rsidR="00700AE6" w:rsidRDefault="000D4EC3">
      <w:r>
        <w:br w:type="page"/>
      </w:r>
      <w:r>
        <w:lastRenderedPageBreak/>
        <w:t>Annex 3</w:t>
      </w:r>
    </w:p>
    <w:p w:rsidR="00700AE6" w:rsidRDefault="000D4EC3">
      <w:pPr>
        <w:jc w:val="center"/>
        <w:rPr>
          <w:szCs w:val="22"/>
        </w:rPr>
      </w:pPr>
      <w:r>
        <w:rPr>
          <w:szCs w:val="22"/>
        </w:rPr>
        <w:t>(to TSB AAP-62)</w:t>
      </w:r>
    </w:p>
    <w:p w:rsidR="00700AE6" w:rsidRDefault="000D4EC3">
      <w:pPr>
        <w:pStyle w:val="Headingb"/>
        <w:jc w:val="center"/>
        <w:rPr>
          <w:szCs w:val="22"/>
        </w:rPr>
      </w:pPr>
      <w:r>
        <w:rPr>
          <w:szCs w:val="22"/>
        </w:rPr>
        <w:t>Reco</w:t>
      </w:r>
      <w:r>
        <w:rPr>
          <w:szCs w:val="22"/>
        </w:rPr>
        <w:t>mmendations under LC/AR – Comment submission form</w:t>
      </w:r>
    </w:p>
    <w:p w:rsidR="00700AE6" w:rsidRDefault="000D4EC3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700AE6">
        <w:tc>
          <w:tcPr>
            <w:tcW w:w="5000" w:type="pct"/>
            <w:gridSpan w:val="2"/>
            <w:shd w:val="clear" w:color="auto" w:fill="EFFAFF"/>
          </w:tcPr>
          <w:p w:rsidR="00700AE6" w:rsidRDefault="000D4EC3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700AE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00AE6" w:rsidRDefault="000D4EC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00AE6" w:rsidRDefault="00700AE6">
            <w:pPr>
              <w:pStyle w:val="Tabletext"/>
            </w:pPr>
          </w:p>
        </w:tc>
      </w:tr>
      <w:tr w:rsidR="00700AE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00AE6" w:rsidRDefault="000D4EC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00AE6" w:rsidRDefault="00700AE6">
            <w:pPr>
              <w:pStyle w:val="Tabletext"/>
            </w:pPr>
          </w:p>
        </w:tc>
      </w:tr>
      <w:tr w:rsidR="00700AE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00AE6" w:rsidRDefault="000D4EC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00AE6" w:rsidRDefault="00700AE6">
            <w:pPr>
              <w:pStyle w:val="Tabletext"/>
            </w:pPr>
          </w:p>
        </w:tc>
      </w:tr>
      <w:tr w:rsidR="00700AE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00AE6" w:rsidRDefault="000D4EC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00AE6" w:rsidRDefault="00700AE6">
            <w:pPr>
              <w:pStyle w:val="Tabletext"/>
            </w:pPr>
          </w:p>
        </w:tc>
      </w:tr>
      <w:tr w:rsidR="00700AE6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700AE6" w:rsidRDefault="000D4EC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00AE6" w:rsidRDefault="000D4EC3">
            <w:pPr>
              <w:pStyle w:val="Tabletext"/>
            </w:pPr>
            <w:r>
              <w:br/>
            </w:r>
            <w:r w:rsidR="00700AE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00AE6">
              <w:fldChar w:fldCharType="separate"/>
            </w:r>
            <w:r w:rsidR="00700AE6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700AE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00AE6">
              <w:fldChar w:fldCharType="separate"/>
            </w:r>
            <w:r w:rsidR="00700AE6">
              <w:fldChar w:fldCharType="end"/>
            </w:r>
            <w:r>
              <w:t xml:space="preserve"> Additional Review (AR)</w:t>
            </w:r>
          </w:p>
        </w:tc>
      </w:tr>
      <w:tr w:rsidR="00700AE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00AE6" w:rsidRDefault="000D4EC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00AE6" w:rsidRDefault="00700AE6">
            <w:pPr>
              <w:pStyle w:val="Tabletext"/>
            </w:pPr>
          </w:p>
        </w:tc>
      </w:tr>
      <w:tr w:rsidR="00700AE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00AE6" w:rsidRDefault="000D4EC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00AE6" w:rsidRDefault="00700AE6">
            <w:pPr>
              <w:pStyle w:val="Tabletext"/>
            </w:pPr>
          </w:p>
        </w:tc>
      </w:tr>
      <w:tr w:rsidR="00700AE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00AE6" w:rsidRDefault="000D4EC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00AE6" w:rsidRDefault="00700AE6">
            <w:pPr>
              <w:pStyle w:val="Tabletext"/>
            </w:pPr>
          </w:p>
        </w:tc>
      </w:tr>
      <w:tr w:rsidR="00700AE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00AE6" w:rsidRDefault="000D4EC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00AE6" w:rsidRDefault="00700AE6">
            <w:pPr>
              <w:pStyle w:val="Tabletext"/>
            </w:pPr>
          </w:p>
        </w:tc>
      </w:tr>
      <w:tr w:rsidR="00700AE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00AE6" w:rsidRDefault="000D4EC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00AE6" w:rsidRDefault="00700AE6">
            <w:pPr>
              <w:pStyle w:val="Tabletext"/>
            </w:pPr>
          </w:p>
        </w:tc>
      </w:tr>
      <w:tr w:rsidR="00700AE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00AE6" w:rsidRDefault="000D4EC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00AE6" w:rsidRDefault="00700AE6">
            <w:pPr>
              <w:pStyle w:val="Tabletext"/>
            </w:pPr>
          </w:p>
        </w:tc>
      </w:tr>
      <w:tr w:rsidR="00700AE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00AE6" w:rsidRDefault="000D4EC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00AE6" w:rsidRDefault="00700AE6">
            <w:pPr>
              <w:pStyle w:val="Tabletext"/>
            </w:pPr>
          </w:p>
        </w:tc>
      </w:tr>
      <w:tr w:rsidR="00700AE6">
        <w:tc>
          <w:tcPr>
            <w:tcW w:w="1623" w:type="pct"/>
            <w:shd w:val="clear" w:color="auto" w:fill="EFFAFF"/>
            <w:vAlign w:val="center"/>
          </w:tcPr>
          <w:p w:rsidR="00700AE6" w:rsidRDefault="000D4EC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00AE6" w:rsidRDefault="000D4EC3">
            <w:pPr>
              <w:pStyle w:val="Tabletext"/>
            </w:pPr>
            <w:r>
              <w:br/>
            </w:r>
            <w:r w:rsidR="00700AE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00AE6">
              <w:fldChar w:fldCharType="separate"/>
            </w:r>
            <w:r w:rsidR="00700AE6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700AE6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00AE6">
              <w:fldChar w:fldCharType="separate"/>
            </w:r>
            <w:r w:rsidR="00700AE6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700AE6">
        <w:tc>
          <w:tcPr>
            <w:tcW w:w="1623" w:type="pct"/>
            <w:shd w:val="clear" w:color="auto" w:fill="EFFAFF"/>
            <w:vAlign w:val="center"/>
          </w:tcPr>
          <w:p w:rsidR="00700AE6" w:rsidRDefault="000D4EC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700AE6" w:rsidRDefault="000D4EC3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700AE6" w:rsidRDefault="000D4EC3">
      <w:pPr>
        <w:rPr>
          <w:szCs w:val="22"/>
        </w:rPr>
      </w:pPr>
      <w:r>
        <w:tab/>
      </w:r>
      <w:r w:rsidR="00700AE6" w:rsidRPr="00700AE6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00AE6">
        <w:rPr>
          <w:szCs w:val="22"/>
        </w:rPr>
      </w:r>
      <w:r w:rsidR="00700AE6">
        <w:rPr>
          <w:szCs w:val="22"/>
        </w:rPr>
        <w:fldChar w:fldCharType="separate"/>
      </w:r>
      <w:r w:rsidR="00700AE6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700AE6" w:rsidRDefault="000D4EC3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700AE6" w:rsidRDefault="00700AE6">
      <w:pPr>
        <w:rPr>
          <w:i/>
          <w:iCs/>
          <w:szCs w:val="22"/>
        </w:rPr>
      </w:pPr>
    </w:p>
    <w:sectPr w:rsidR="00700AE6" w:rsidSect="00700AE6">
      <w:headerReference w:type="default" r:id="rId105"/>
      <w:footerReference w:type="default" r:id="rId10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AE6" w:rsidRDefault="000D4EC3">
      <w:r>
        <w:separator/>
      </w:r>
    </w:p>
  </w:endnote>
  <w:endnote w:type="continuationSeparator" w:id="0">
    <w:p w:rsidR="00700AE6" w:rsidRDefault="000D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AE6" w:rsidRDefault="000D4EC3">
    <w:pPr>
      <w:pStyle w:val="Footer"/>
    </w:pPr>
    <w:r>
      <w:rPr>
        <w:sz w:val="18"/>
        <w:szCs w:val="18"/>
        <w:lang w:val="en-US"/>
      </w:rPr>
      <w:t>TSB AAP-62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2019-07-16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700AE6">
      <w:tc>
        <w:tcPr>
          <w:tcW w:w="1985" w:type="dxa"/>
        </w:tcPr>
        <w:p w:rsidR="00700AE6" w:rsidRDefault="000D4EC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700AE6" w:rsidRDefault="000D4EC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700AE6" w:rsidRDefault="000D4EC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700AE6" w:rsidRDefault="000D4EC3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700AE6" w:rsidRPr="000D4EC3" w:rsidRDefault="000D4EC3">
          <w:pPr>
            <w:pStyle w:val="Tabletext"/>
            <w:jc w:val="right"/>
            <w:rPr>
              <w:sz w:val="20"/>
            </w:rPr>
          </w:pPr>
          <w:r w:rsidRPr="000D4EC3">
            <w:rPr>
              <w:sz w:val="20"/>
            </w:rPr>
            <w:t>Web page:</w:t>
          </w:r>
          <w:r w:rsidRPr="000D4EC3">
            <w:rPr>
              <w:sz w:val="20"/>
            </w:rPr>
            <w:br/>
          </w:r>
          <w:hyperlink r:id="rId2" w:history="1">
            <w:r w:rsidRPr="000D4EC3">
              <w:rPr>
                <w:rStyle w:val="Hyperlink"/>
                <w:sz w:val="20"/>
              </w:rPr>
              <w:t>www.itu.int</w:t>
            </w:r>
          </w:hyperlink>
        </w:p>
      </w:tc>
    </w:tr>
  </w:tbl>
  <w:p w:rsidR="00700AE6" w:rsidRDefault="00700AE6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AE6" w:rsidRDefault="000D4EC3">
    <w:pPr>
      <w:pStyle w:val="Footer"/>
    </w:pPr>
    <w:r>
      <w:rPr>
        <w:sz w:val="18"/>
        <w:szCs w:val="18"/>
        <w:lang w:val="en-US"/>
      </w:rPr>
      <w:t>TSB AAP-62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2019-07-16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AE6" w:rsidRDefault="000D4EC3">
    <w:pPr>
      <w:pStyle w:val="Footer"/>
    </w:pPr>
    <w:r>
      <w:rPr>
        <w:sz w:val="18"/>
        <w:szCs w:val="18"/>
        <w:lang w:val="en-US"/>
      </w:rPr>
      <w:t>TSB AAP-62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2019-07-16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AE6" w:rsidRDefault="000D4EC3">
      <w:r>
        <w:t>____________________</w:t>
      </w:r>
    </w:p>
  </w:footnote>
  <w:footnote w:type="continuationSeparator" w:id="0">
    <w:p w:rsidR="00700AE6" w:rsidRDefault="000D4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AE6" w:rsidRDefault="000D4EC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00AE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00AE6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700AE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AE6" w:rsidRDefault="000D4EC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00AE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00AE6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8</w:t>
    </w:r>
    <w:r w:rsidR="00700AE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AE6" w:rsidRDefault="000D4EC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00AE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00AE6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700AE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E6"/>
    <w:rsid w:val="000D4EC3"/>
    <w:rsid w:val="0070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  <w15:docId w15:val="{AD6035D1-5A48-4391-B822-801DCFE9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448" TargetMode="External"/><Relationship Id="rId47" Type="http://schemas.openxmlformats.org/officeDocument/2006/relationships/hyperlink" Target="https://www.itu.int/ITU-T/aap/dologin_aap.asp?id=T01020020FF0801MSWE.docx&amp;group=5" TargetMode="External"/><Relationship Id="rId63" Type="http://schemas.openxmlformats.org/officeDocument/2006/relationships/hyperlink" Target="https://www.itu.int/ITU-T/aap/dologin_aap.asp?id=T01020020FE0801MSWE.docx&amp;group=5" TargetMode="External"/><Relationship Id="rId68" Type="http://schemas.openxmlformats.org/officeDocument/2006/relationships/hyperlink" Target="http://www.itu.int/itu-t/aap/AAPRecDetails.aspx?AAPSeqNo=8443" TargetMode="External"/><Relationship Id="rId84" Type="http://schemas.openxmlformats.org/officeDocument/2006/relationships/hyperlink" Target="http://www.itu.int/itu-t/aap/AAPRecDetails.aspx?AAPSeqNo=8482" TargetMode="External"/><Relationship Id="rId89" Type="http://schemas.openxmlformats.org/officeDocument/2006/relationships/hyperlink" Target="https://www.itu.int/ITU-T/aap/dologin_aap.asp?id=T01020020E90801MSWE.docx&amp;group=16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11B0805MSWE.docx&amp;group=13" TargetMode="External"/><Relationship Id="rId92" Type="http://schemas.openxmlformats.org/officeDocument/2006/relationships/hyperlink" Target="http://www.itu.int/itu-t/aap/AAPRecDetails.aspx?AAPSeqNo=837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ITU-T/studygroups/com02" TargetMode="External"/><Relationship Id="rId29" Type="http://schemas.openxmlformats.org/officeDocument/2006/relationships/hyperlink" Target="mailto:tsbsg13@itu.int" TargetMode="External"/><Relationship Id="rId107" Type="http://schemas.openxmlformats.org/officeDocument/2006/relationships/fontTable" Target="fontTable.xml"/><Relationship Id="rId11" Type="http://schemas.openxmlformats.org/officeDocument/2006/relationships/footer" Target="footer1.xml"/><Relationship Id="rId24" Type="http://schemas.openxmlformats.org/officeDocument/2006/relationships/hyperlink" Target="https://www.itu.int/ITU-T/studygroups/com11" TargetMode="Externa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8450" TargetMode="External"/><Relationship Id="rId45" Type="http://schemas.openxmlformats.org/officeDocument/2006/relationships/hyperlink" Target="https://www.itu.int/ITU-T/aap/dologin_aap.asp?id=T01020021030801MSWE.docx&amp;group=5" TargetMode="External"/><Relationship Id="rId53" Type="http://schemas.openxmlformats.org/officeDocument/2006/relationships/hyperlink" Target="https://www.itu.int/ITU-T/aap/dologin_aap.asp?id=T01020021060801MSWE.docx&amp;group=5" TargetMode="External"/><Relationship Id="rId58" Type="http://schemas.openxmlformats.org/officeDocument/2006/relationships/hyperlink" Target="http://www.itu.int/itu-t/aap/AAPRecDetails.aspx?AAPSeqNo=8442" TargetMode="External"/><Relationship Id="rId66" Type="http://schemas.openxmlformats.org/officeDocument/2006/relationships/hyperlink" Target="http://www.itu.int/itu-t/aap/AAPRecDetails.aspx?AAPSeqNo=8444" TargetMode="External"/><Relationship Id="rId74" Type="http://schemas.openxmlformats.org/officeDocument/2006/relationships/hyperlink" Target="http://www.itu.int/itu-t/aap/AAPRecDetails.aspx?AAPSeqNo=8477" TargetMode="External"/><Relationship Id="rId79" Type="http://schemas.openxmlformats.org/officeDocument/2006/relationships/hyperlink" Target="https://www.itu.int/ITU-T/aap/dologin_aap.asp?id=T010200211F0801MSWE.docx&amp;group=13" TargetMode="External"/><Relationship Id="rId87" Type="http://schemas.openxmlformats.org/officeDocument/2006/relationships/hyperlink" Target="https://www.itu.int/ITU-T/aap/dologin_aap.asp?id=T01020021230801MSWE.docx&amp;group=13" TargetMode="External"/><Relationship Id="rId102" Type="http://schemas.openxmlformats.org/officeDocument/2006/relationships/image" Target="media/image5.gif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210C0801MSWE.docx&amp;group=5" TargetMode="External"/><Relationship Id="rId82" Type="http://schemas.openxmlformats.org/officeDocument/2006/relationships/hyperlink" Target="http://www.itu.int/itu-t/aap/AAPRecDetails.aspx?AAPSeqNo=8481" TargetMode="External"/><Relationship Id="rId90" Type="http://schemas.openxmlformats.org/officeDocument/2006/relationships/hyperlink" Target="http://www.itu.int/itu-t/aap/AAPRecDetails.aspx?AAPSeqNo=8423" TargetMode="External"/><Relationship Id="rId95" Type="http://schemas.openxmlformats.org/officeDocument/2006/relationships/hyperlink" Target="https://www.itu.int/ITU-T/aap/dologin_aap.asp?id=T01020020ED0801MSWE.docx&amp;group=20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1000801MSWE.docx&amp;group=5" TargetMode="External"/><Relationship Id="rId48" Type="http://schemas.openxmlformats.org/officeDocument/2006/relationships/hyperlink" Target="http://www.itu.int/itu-t/aap/AAPRecDetails.aspx?AAPSeqNo=8452" TargetMode="External"/><Relationship Id="rId56" Type="http://schemas.openxmlformats.org/officeDocument/2006/relationships/hyperlink" Target="http://www.itu.int/itu-t/aap/AAPRecDetails.aspx?AAPSeqNo=8441" TargetMode="External"/><Relationship Id="rId64" Type="http://schemas.openxmlformats.org/officeDocument/2006/relationships/hyperlink" Target="http://www.itu.int/itu-t/aap/AAPRecDetails.aspx?AAPSeqNo=8445" TargetMode="External"/><Relationship Id="rId69" Type="http://schemas.openxmlformats.org/officeDocument/2006/relationships/hyperlink" Target="https://www.itu.int/ITU-T/aap/dologin_aap.asp?id=T01020020FB0801MSWE.docx&amp;group=5" TargetMode="External"/><Relationship Id="rId77" Type="http://schemas.openxmlformats.org/officeDocument/2006/relationships/hyperlink" Target="https://www.itu.int/ITU-T/aap/dologin_aap.asp?id=T010200211E0801MSWE.docx&amp;group=13" TargetMode="External"/><Relationship Id="rId100" Type="http://schemas.openxmlformats.org/officeDocument/2006/relationships/image" Target="media/image3.gif"/><Relationship Id="rId105" Type="http://schemas.openxmlformats.org/officeDocument/2006/relationships/header" Target="header3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1050801MSWE.docx&amp;group=5" TargetMode="External"/><Relationship Id="rId72" Type="http://schemas.openxmlformats.org/officeDocument/2006/relationships/hyperlink" Target="http://www.itu.int/itu-t/aap/AAPRecDetails.aspx?AAPSeqNo=8476" TargetMode="External"/><Relationship Id="rId80" Type="http://schemas.openxmlformats.org/officeDocument/2006/relationships/hyperlink" Target="http://www.itu.int/itu-t/aap/AAPRecDetails.aspx?AAPSeqNo=8480" TargetMode="External"/><Relationship Id="rId85" Type="http://schemas.openxmlformats.org/officeDocument/2006/relationships/hyperlink" Target="https://www.itu.int/ITU-T/aap/dologin_aap.asp?id=T01020021220801MSWE.docx&amp;group=13" TargetMode="External"/><Relationship Id="rId93" Type="http://schemas.openxmlformats.org/officeDocument/2006/relationships/hyperlink" Target="https://www.itu.int/ITU-T/aap/dologin_aap.asp?id=T01020020B60801MSWE.docx&amp;group=20" TargetMode="External"/><Relationship Id="rId98" Type="http://schemas.openxmlformats.org/officeDocument/2006/relationships/hyperlink" Target="https://www.itu.int/ITU-T/aap/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449" TargetMode="External"/><Relationship Id="rId46" Type="http://schemas.openxmlformats.org/officeDocument/2006/relationships/hyperlink" Target="http://www.itu.int/itu-t/aap/AAPRecDetails.aspx?AAPSeqNo=8447" TargetMode="External"/><Relationship Id="rId59" Type="http://schemas.openxmlformats.org/officeDocument/2006/relationships/hyperlink" Target="https://www.itu.int/ITU-T/aap/dologin_aap.asp?id=T01020020FA0801MSWE.docx&amp;group=5" TargetMode="External"/><Relationship Id="rId67" Type="http://schemas.openxmlformats.org/officeDocument/2006/relationships/hyperlink" Target="https://www.itu.int/ITU-T/aap/dologin_aap.asp?id=T01020020FC0801MSWE.docx&amp;group=5" TargetMode="External"/><Relationship Id="rId103" Type="http://schemas.openxmlformats.org/officeDocument/2006/relationships/hyperlink" Target="https://www.itu.int/ITU-T/aapinfo/files/AAPTutorial.pdf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1020801MSWE.docx&amp;group=5" TargetMode="External"/><Relationship Id="rId54" Type="http://schemas.openxmlformats.org/officeDocument/2006/relationships/hyperlink" Target="http://www.itu.int/itu-t/aap/AAPRecDetails.aspx?AAPSeqNo=8455" TargetMode="External"/><Relationship Id="rId62" Type="http://schemas.openxmlformats.org/officeDocument/2006/relationships/hyperlink" Target="http://www.itu.int/itu-t/aap/AAPRecDetails.aspx?AAPSeqNo=8446" TargetMode="External"/><Relationship Id="rId70" Type="http://schemas.openxmlformats.org/officeDocument/2006/relationships/hyperlink" Target="http://www.itu.int/itu-t/aap/AAPRecDetails.aspx?AAPSeqNo=8475" TargetMode="External"/><Relationship Id="rId75" Type="http://schemas.openxmlformats.org/officeDocument/2006/relationships/hyperlink" Target="https://www.itu.int/ITU-T/aap/dologin_aap.asp?id=T010200211D0801MSWE.docx&amp;group=13" TargetMode="External"/><Relationship Id="rId83" Type="http://schemas.openxmlformats.org/officeDocument/2006/relationships/hyperlink" Target="https://www.itu.int/ITU-T/aap/dologin_aap.asp?id=T01020021210801MSWE.docx&amp;group=13" TargetMode="External"/><Relationship Id="rId88" Type="http://schemas.openxmlformats.org/officeDocument/2006/relationships/hyperlink" Target="http://www.itu.int/itu-t/aap/AAPRecDetails.aspx?AAPSeqNo=8425" TargetMode="External"/><Relationship Id="rId91" Type="http://schemas.openxmlformats.org/officeDocument/2006/relationships/hyperlink" Target="https://www.itu.int/ITU-T/aap/dologin_aap.asp?id=T01020020E70801MSWE.docx&amp;group=16" TargetMode="External"/><Relationship Id="rId9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1040801MSWE.docx&amp;group=5" TargetMode="External"/><Relationship Id="rId57" Type="http://schemas.openxmlformats.org/officeDocument/2006/relationships/hyperlink" Target="https://www.itu.int/ITU-T/aap/dologin_aap.asp?id=T01020020F90801MSWE.docx&amp;group=5" TargetMode="External"/><Relationship Id="rId106" Type="http://schemas.openxmlformats.org/officeDocument/2006/relationships/footer" Target="footer4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451" TargetMode="External"/><Relationship Id="rId52" Type="http://schemas.openxmlformats.org/officeDocument/2006/relationships/hyperlink" Target="http://www.itu.int/itu-t/aap/AAPRecDetails.aspx?AAPSeqNo=8454" TargetMode="External"/><Relationship Id="rId60" Type="http://schemas.openxmlformats.org/officeDocument/2006/relationships/hyperlink" Target="http://www.itu.int/itu-t/aap/AAPRecDetails.aspx?AAPSeqNo=8460" TargetMode="External"/><Relationship Id="rId65" Type="http://schemas.openxmlformats.org/officeDocument/2006/relationships/hyperlink" Target="https://www.itu.int/ITU-T/aap/dologin_aap.asp?id=T01020020FD0801MSWE.docx&amp;group=5" TargetMode="External"/><Relationship Id="rId73" Type="http://schemas.openxmlformats.org/officeDocument/2006/relationships/hyperlink" Target="https://www.itu.int/ITU-T/aap/dologin_aap.asp?id=T010200211C0801MSWE.docx&amp;group=13" TargetMode="External"/><Relationship Id="rId78" Type="http://schemas.openxmlformats.org/officeDocument/2006/relationships/hyperlink" Target="http://www.itu.int/itu-t/aap/AAPRecDetails.aspx?AAPSeqNo=8479" TargetMode="External"/><Relationship Id="rId81" Type="http://schemas.openxmlformats.org/officeDocument/2006/relationships/hyperlink" Target="https://www.itu.int/ITU-T/aap/dologin_aap.asp?id=T01020021200801MSWE.docx&amp;group=13" TargetMode="External"/><Relationship Id="rId86" Type="http://schemas.openxmlformats.org/officeDocument/2006/relationships/hyperlink" Target="http://www.itu.int/itu-t/aap/AAPRecDetails.aspx?AAPSeqNo=8483" TargetMode="External"/><Relationship Id="rId94" Type="http://schemas.openxmlformats.org/officeDocument/2006/relationships/hyperlink" Target="http://www.itu.int/itu-t/aap/AAPRecDetails.aspx?AAPSeqNo=8429" TargetMode="External"/><Relationship Id="rId99" Type="http://schemas.openxmlformats.org/officeDocument/2006/relationships/image" Target="media/image2.gif"/><Relationship Id="rId101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1010801MSWE.docx&amp;group=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453" TargetMode="External"/><Relationship Id="rId55" Type="http://schemas.openxmlformats.org/officeDocument/2006/relationships/hyperlink" Target="https://www.itu.int/ITU-T/aap/dologin_aap.asp?id=T01020021070801MSWE.docx&amp;group=5" TargetMode="External"/><Relationship Id="rId76" Type="http://schemas.openxmlformats.org/officeDocument/2006/relationships/hyperlink" Target="http://www.itu.int/itu-t/aap/AAPRecDetails.aspx?AAPSeqNo=8478" TargetMode="External"/><Relationship Id="rId97" Type="http://schemas.openxmlformats.org/officeDocument/2006/relationships/footer" Target="footer3.xml"/><Relationship Id="rId104" Type="http://schemas.openxmlformats.org/officeDocument/2006/relationships/hyperlink" Target="mailto:tsbsg....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2292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Lugo Colls</dc:creator>
  <cp:keywords/>
  <dc:description/>
  <cp:lastModifiedBy>Lis Lugo Colls</cp:lastModifiedBy>
  <cp:revision>2</cp:revision>
  <dcterms:created xsi:type="dcterms:W3CDTF">2019-07-15T13:07:00Z</dcterms:created>
  <dcterms:modified xsi:type="dcterms:W3CDTF">2019-07-15T13:07:00Z</dcterms:modified>
</cp:coreProperties>
</file>