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6500"/>
        <w:gridCol w:w="1429"/>
      </w:tblGrid>
      <w:tr w:rsidR="009A16EA">
        <w:trPr>
          <w:jc w:val="righ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6EA" w:rsidRDefault="009A16EA">
            <w:pPr>
              <w:jc w:val="center"/>
            </w:pPr>
            <w:bookmarkStart w:id="0" w:name="_GoBack"/>
            <w:bookmarkEnd w:id="0"/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6EA" w:rsidRDefault="005F106E">
            <w:pPr>
              <w:pageBreakBefore/>
              <w:tabs>
                <w:tab w:val="right" w:pos="8647"/>
              </w:tabs>
              <w:bidi/>
              <w:ind w:left="113"/>
            </w:pPr>
            <w:r>
              <w:rPr>
                <w:rFonts w:cs="Traditional Arabic" w:hint="cs"/>
                <w:sz w:val="64"/>
                <w:szCs w:val="64"/>
                <w:rtl/>
              </w:rPr>
              <w:t>الا تحــاد  الــدولي  للاتصــالات</w:t>
            </w:r>
          </w:p>
          <w:p w:rsidR="009A16EA" w:rsidRDefault="005F106E">
            <w:pPr>
              <w:pageBreakBefore/>
              <w:tabs>
                <w:tab w:val="right" w:pos="8647"/>
              </w:tabs>
              <w:bidi/>
              <w:ind w:left="170"/>
            </w:pPr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>مكتب تقييس الاتصالات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A16EA" w:rsidRDefault="00627DA9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42950" cy="752475"/>
                  <wp:effectExtent l="0" t="0" r="0" b="0"/>
                  <wp:docPr id="1" name="Picture 1" descr="ITU official logo_blu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 official logo_blu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6EA" w:rsidRDefault="009A16EA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9A16EA">
        <w:trPr>
          <w:cantSplit/>
          <w:trHeight w:val="340"/>
        </w:trPr>
        <w:tc>
          <w:tcPr>
            <w:tcW w:w="1533" w:type="dxa"/>
          </w:tcPr>
          <w:p w:rsidR="009A16EA" w:rsidRDefault="009A16EA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</w:rPr>
            </w:pPr>
          </w:p>
        </w:tc>
        <w:tc>
          <w:tcPr>
            <w:tcW w:w="3340" w:type="dxa"/>
          </w:tcPr>
          <w:p w:rsidR="009A16EA" w:rsidRDefault="009A16EA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9A16EA" w:rsidRDefault="005F106E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jc w:val="right"/>
              <w:rPr>
                <w:rFonts w:cs="Traditional Arabic"/>
                <w:sz w:val="21"/>
                <w:szCs w:val="22"/>
                <w:rtl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جنيف،</w:t>
            </w:r>
            <w:r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>1 يوليو 2019</w:t>
            </w:r>
          </w:p>
          <w:p w:rsidR="009A16EA" w:rsidRDefault="009A16EA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</w:p>
        </w:tc>
      </w:tr>
      <w:tr w:rsidR="009A16EA">
        <w:trPr>
          <w:cantSplit/>
          <w:trHeight w:val="2724"/>
        </w:trPr>
        <w:tc>
          <w:tcPr>
            <w:tcW w:w="1533" w:type="dxa"/>
            <w:tcBorders>
              <w:bottom w:val="nil"/>
            </w:tcBorders>
          </w:tcPr>
          <w:p w:rsidR="009A16EA" w:rsidRDefault="005F106E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المرجع:</w:t>
            </w:r>
          </w:p>
          <w:p w:rsidR="009A16EA" w:rsidRDefault="005F106E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  <w:lang w:bidi="ar-SY"/>
              </w:rPr>
            </w:pPr>
            <w:r>
              <w:rPr>
                <w:rFonts w:cs="Traditional Arabic"/>
                <w:sz w:val="21"/>
                <w:szCs w:val="28"/>
                <w:rtl/>
                <w:lang w:bidi="ar-SY"/>
              </w:rPr>
              <w:br/>
            </w:r>
          </w:p>
          <w:p w:rsidR="009A16EA" w:rsidRDefault="005F106E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cs="Traditional Arabic" w:hint="cs"/>
                <w:sz w:val="21"/>
                <w:szCs w:val="28"/>
                <w:rtl/>
              </w:rPr>
              <w:t>:</w:t>
            </w:r>
          </w:p>
          <w:p w:rsidR="009A16EA" w:rsidRDefault="005F106E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الفاكس:</w:t>
            </w:r>
          </w:p>
          <w:p w:rsidR="009A16EA" w:rsidRDefault="005F106E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  <w:tcBorders>
              <w:bottom w:val="nil"/>
            </w:tcBorders>
          </w:tcPr>
          <w:p w:rsidR="009A16EA" w:rsidRDefault="005F106E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b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sz w:val="21"/>
                <w:szCs w:val="28"/>
              </w:rPr>
              <w:t>TSB AAP-61</w:t>
            </w:r>
          </w:p>
          <w:p w:rsidR="009A16EA" w:rsidRDefault="005F106E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Cs/>
                <w:sz w:val="21"/>
                <w:szCs w:val="28"/>
              </w:rPr>
              <w:t>AAP/CL</w:t>
            </w:r>
            <w:r>
              <w:rPr>
                <w:rFonts w:cs="Traditional Arabic" w:hint="cs"/>
                <w:bCs/>
                <w:sz w:val="21"/>
                <w:szCs w:val="28"/>
                <w:rtl/>
              </w:rPr>
              <w:br/>
            </w:r>
          </w:p>
          <w:p w:rsidR="009A16EA" w:rsidRDefault="005F106E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+41 22 730 5860</w:t>
            </w:r>
          </w:p>
          <w:p w:rsidR="009A16EA" w:rsidRDefault="005F106E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+41 22 730 5853</w:t>
            </w:r>
          </w:p>
          <w:p w:rsidR="009A16EA" w:rsidRDefault="005F106E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</w:rPr>
            </w:pPr>
            <w:r>
              <w:rPr>
                <w:rFonts w:cs="Traditional Arabic"/>
                <w:sz w:val="21"/>
                <w:szCs w:val="28"/>
              </w:rPr>
              <w:t>tsbdir@itu.int</w:t>
            </w:r>
          </w:p>
        </w:tc>
        <w:tc>
          <w:tcPr>
            <w:tcW w:w="4760" w:type="dxa"/>
            <w:tcBorders>
              <w:bottom w:val="nil"/>
            </w:tcBorders>
          </w:tcPr>
          <w:p w:rsidR="009A16EA" w:rsidRDefault="005F106E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إدارات الدول الأعضاء في الاتحاد؛</w:t>
            </w:r>
          </w:p>
          <w:p w:rsidR="009A16EA" w:rsidRDefault="005F106E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أعضاء قطاع تقييس الاتصالات؛</w:t>
            </w:r>
          </w:p>
          <w:p w:rsidR="009A16EA" w:rsidRDefault="005F106E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إلى المنتسبين </w:t>
            </w:r>
            <w:r>
              <w:rPr>
                <w:rFonts w:cs="Traditional Arabic" w:hint="cs"/>
                <w:sz w:val="21"/>
                <w:szCs w:val="28"/>
                <w:rtl/>
              </w:rPr>
              <w:t>إلى</w:t>
            </w:r>
            <w:r>
              <w:rPr>
                <w:rFonts w:cs="Traditional Arabic"/>
                <w:sz w:val="21"/>
                <w:szCs w:val="28"/>
                <w:rtl/>
              </w:rPr>
              <w:t xml:space="preserve"> قطاع تقييس الاتصالات</w:t>
            </w:r>
          </w:p>
          <w:p w:rsidR="009A16EA" w:rsidRDefault="009A16EA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</w:p>
          <w:p w:rsidR="009A16EA" w:rsidRDefault="005F106E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b/>
                <w:bCs/>
                <w:sz w:val="21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9A16EA" w:rsidRDefault="005F106E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رؤساء لجان الدراسات في قطاع تقييس الاتصالات ونوابهم؛</w:t>
            </w:r>
          </w:p>
          <w:p w:rsidR="009A16EA" w:rsidRDefault="005F106E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cs="Traditional Arabic" w:hint="cs"/>
                <w:sz w:val="21"/>
                <w:szCs w:val="28"/>
                <w:rtl/>
              </w:rPr>
              <w:t>؛</w:t>
            </w:r>
          </w:p>
          <w:p w:rsidR="009A16EA" w:rsidRDefault="005F106E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الاتصالات الراديوية</w:t>
            </w:r>
          </w:p>
        </w:tc>
      </w:tr>
    </w:tbl>
    <w:p w:rsidR="009A16EA" w:rsidRDefault="009A16EA">
      <w:pPr>
        <w:bidi/>
        <w:spacing w:line="300" w:lineRule="exact"/>
        <w:rPr>
          <w:rFonts w:cs="Traditional Arabic"/>
          <w:szCs w:val="30"/>
          <w:rtl/>
        </w:rPr>
      </w:pPr>
    </w:p>
    <w:p w:rsidR="009A16EA" w:rsidRDefault="005F106E">
      <w:pPr>
        <w:bidi/>
        <w:spacing w:line="300" w:lineRule="exact"/>
        <w:ind w:left="926" w:hanging="926"/>
        <w:rPr>
          <w:rFonts w:cs="Traditional Arabic"/>
          <w:szCs w:val="30"/>
          <w:lang w:bidi="ar-EG"/>
        </w:rPr>
      </w:pPr>
      <w:r>
        <w:rPr>
          <w:rFonts w:cs="Traditional Arabic" w:hint="cs"/>
          <w:szCs w:val="30"/>
          <w:rtl/>
        </w:rPr>
        <w:t>الموضوع:</w:t>
      </w:r>
      <w:r>
        <w:rPr>
          <w:rFonts w:cs="Traditional Arabic"/>
          <w:szCs w:val="30"/>
          <w:rtl/>
        </w:rPr>
        <w:tab/>
      </w:r>
      <w:r>
        <w:rPr>
          <w:rFonts w:cs="Traditional Arabic" w:hint="cs"/>
          <w:b/>
          <w:bCs/>
          <w:szCs w:val="30"/>
          <w:rtl/>
        </w:rPr>
        <w:t xml:space="preserve">حالة التوصيات الخاضعة لعملية الموافقة البديلة </w:t>
      </w:r>
      <w:r>
        <w:rPr>
          <w:rFonts w:cs="Traditional Arabic"/>
          <w:b/>
          <w:bCs/>
          <w:szCs w:val="30"/>
          <w:lang w:bidi="ar-EG"/>
        </w:rPr>
        <w:t>(AAP)</w:t>
      </w:r>
    </w:p>
    <w:p w:rsidR="009A16EA" w:rsidRDefault="009A16EA">
      <w:pPr>
        <w:bidi/>
        <w:spacing w:line="300" w:lineRule="exact"/>
        <w:rPr>
          <w:rFonts w:cs="Traditional Arabic"/>
          <w:szCs w:val="30"/>
          <w:rtl/>
        </w:rPr>
      </w:pPr>
    </w:p>
    <w:p w:rsidR="009A16EA" w:rsidRDefault="005F106E">
      <w:pPr>
        <w:bidi/>
        <w:spacing w:line="300" w:lineRule="exac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حضرات السادة والسيدات،</w:t>
      </w:r>
    </w:p>
    <w:p w:rsidR="009A16EA" w:rsidRDefault="005F106E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تحية طيبة وبعد،</w:t>
      </w:r>
    </w:p>
    <w:p w:rsidR="009A16EA" w:rsidRDefault="005F106E">
      <w:pPr>
        <w:bidi/>
        <w:spacing w:line="300" w:lineRule="exac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تنطبق</w:t>
      </w:r>
      <w:r>
        <w:rPr>
          <w:rFonts w:cs="Traditional Arabic" w:hint="cs"/>
          <w:szCs w:val="30"/>
          <w:rtl/>
          <w:lang w:bidi="ar-EG"/>
        </w:rPr>
        <w:t xml:space="preserve"> عملية الموافقة البديلة </w:t>
      </w:r>
      <w:r>
        <w:rPr>
          <w:rFonts w:cs="Traditional Arabic"/>
          <w:szCs w:val="30"/>
          <w:lang w:bidi="ar-EG"/>
        </w:rPr>
        <w:t>(AAP)</w:t>
      </w:r>
      <w:r>
        <w:rPr>
          <w:rFonts w:cs="Traditional Arabic" w:hint="cs"/>
          <w:szCs w:val="30"/>
          <w:rtl/>
          <w:lang w:bidi="ar-EG"/>
        </w:rPr>
        <w:t xml:space="preserve"> المعرفة في التوصية </w:t>
      </w:r>
      <w:r>
        <w:rPr>
          <w:rFonts w:cs="Traditional Arabic"/>
          <w:szCs w:val="30"/>
          <w:lang w:bidi="ar-EG"/>
        </w:rPr>
        <w:t>ITU</w:t>
      </w:r>
      <w:r>
        <w:rPr>
          <w:rFonts w:cs="Traditional Arabic"/>
          <w:szCs w:val="30"/>
          <w:lang w:bidi="ar-EG"/>
        </w:rPr>
        <w:noBreakHyphen/>
        <w:t>T A.8</w:t>
      </w:r>
      <w:r>
        <w:rPr>
          <w:rFonts w:cs="Traditional Arabic" w:hint="cs"/>
          <w:szCs w:val="30"/>
          <w:rtl/>
        </w:rPr>
        <w:t xml:space="preserve"> على التوصيات التي لا تنطوي على بعد سياسي أو</w:t>
      </w:r>
      <w:r>
        <w:rPr>
          <w:rFonts w:cs="Traditional Arabic" w:hint="cs"/>
          <w:szCs w:val="30"/>
          <w:rtl/>
        </w:rPr>
        <w:t xml:space="preserve">تنظيمي ولا تتطلب بالتالي استشارة الدول الأعضاء رسمياً (انظر الرقم </w:t>
      </w:r>
      <w:r>
        <w:rPr>
          <w:rFonts w:cs="Traditional Arabic"/>
          <w:szCs w:val="30"/>
          <w:lang w:bidi="ar-EG"/>
        </w:rPr>
        <w:t>246B</w:t>
      </w:r>
      <w:r>
        <w:rPr>
          <w:rFonts w:cs="Traditional Arabic" w:hint="cs"/>
          <w:szCs w:val="30"/>
          <w:rtl/>
        </w:rPr>
        <w:t xml:space="preserve"> من اتفاقية الاتحاد).</w:t>
      </w:r>
    </w:p>
    <w:p w:rsidR="009A16EA" w:rsidRDefault="005F106E">
      <w:pPr>
        <w:bidi/>
        <w:spacing w:line="300" w:lineRule="exac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 xml:space="preserve">ويتضمن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  <w:lang w:bidi="ar-EG"/>
        </w:rPr>
        <w:t>1</w:t>
      </w:r>
      <w:r>
        <w:rPr>
          <w:rFonts w:cs="Traditional Arabic" w:hint="cs"/>
          <w:szCs w:val="30"/>
          <w:rtl/>
        </w:rPr>
        <w:t xml:space="preserve"> لائحة بالنصوص التي تغيرت حالتها مقارنة بما جاء في إعلانات عملية الموافقة البديلة السابقة.</w:t>
      </w:r>
    </w:p>
    <w:p w:rsidR="009A16EA" w:rsidRDefault="005F106E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إذا رغبتم في تقديم تعليق بشأن توصية ما خاضعة لعملية المواف</w:t>
      </w:r>
      <w:r>
        <w:rPr>
          <w:rFonts w:cs="Traditional Arabic" w:hint="cs"/>
          <w:szCs w:val="30"/>
          <w:rtl/>
        </w:rPr>
        <w:t xml:space="preserve">قة البديلة، فنرجو منكم استعمال استمارة التعليق على الخط المتوفّرة على موقع قطاع تقييس الاتصالات على صفحة عملية الموافقة البديلة </w:t>
      </w:r>
      <w:hyperlink r:id="rId8" w:history="1">
        <w:r>
          <w:rPr>
            <w:rStyle w:val="Hyperlink"/>
            <w:rFonts w:cs="Traditional Arabic"/>
            <w:bCs/>
            <w:szCs w:val="30"/>
          </w:rPr>
          <w:t>http://www.itu.int/ITU-T/aap</w:t>
        </w:r>
      </w:hyperlink>
      <w:r>
        <w:rPr>
          <w:rFonts w:cs="Traditional Arabic" w:hint="cs"/>
          <w:szCs w:val="30"/>
          <w:rtl/>
        </w:rPr>
        <w:t xml:space="preserve"> على المدخل الخاص بالتوصية المعنية (انظر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szCs w:val="30"/>
        </w:rPr>
        <w:t>(</w:t>
      </w:r>
      <w:r>
        <w:rPr>
          <w:rFonts w:cs="Traditional Arabic"/>
          <w:b/>
          <w:bCs/>
          <w:szCs w:val="30"/>
        </w:rPr>
        <w:t>2</w:t>
      </w:r>
      <w:r>
        <w:rPr>
          <w:rFonts w:cs="Traditional Arabic" w:hint="cs"/>
          <w:szCs w:val="30"/>
          <w:rtl/>
        </w:rPr>
        <w:t>. وب</w:t>
      </w:r>
      <w:r>
        <w:rPr>
          <w:rFonts w:cs="Traditional Arabic" w:hint="cs"/>
          <w:szCs w:val="30"/>
          <w:rtl/>
        </w:rPr>
        <w:t xml:space="preserve">ديلاً من ذلك، يمكنكم تقديم التعليقات باستكمال الاستمارة الواردة في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</w:rPr>
        <w:t>3</w:t>
      </w:r>
      <w:r>
        <w:rPr>
          <w:rFonts w:cs="Traditional Arabic" w:hint="cs"/>
          <w:szCs w:val="30"/>
          <w:rtl/>
          <w:lang w:bidi="ar-EG"/>
        </w:rPr>
        <w:t xml:space="preserve"> وإرسالها إلى أمانة لجنة الدراسات المعنية بالأمر.</w:t>
      </w:r>
    </w:p>
    <w:p w:rsidR="009A16EA" w:rsidRDefault="005F106E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وتجدر الإشارة إلى أنه يفضّل عدم إرسال تعليقات تقتصر على تأييد اعتماد النص قيد النظر.</w:t>
      </w:r>
    </w:p>
    <w:p w:rsidR="009A16EA" w:rsidRDefault="009A16EA">
      <w:pPr>
        <w:bidi/>
        <w:spacing w:line="300" w:lineRule="exact"/>
        <w:rPr>
          <w:rFonts w:cs="Traditional Arabic"/>
          <w:szCs w:val="30"/>
          <w:rtl/>
          <w:lang w:bidi="ar-EG"/>
        </w:rPr>
      </w:pPr>
    </w:p>
    <w:p w:rsidR="009A16EA" w:rsidRDefault="005F106E">
      <w:pPr>
        <w:bidi/>
        <w:spacing w:before="0" w:after="840"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وتفضلوا بقبول فائق الاحترام والتقدير.</w:t>
      </w:r>
    </w:p>
    <w:p w:rsidR="009A16EA" w:rsidRDefault="005F106E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/>
          <w:szCs w:val="30"/>
          <w:rtl/>
        </w:rPr>
        <w:t>تشيساب لي</w:t>
      </w:r>
      <w:r>
        <w:rPr>
          <w:rFonts w:cs="Traditional Arabic"/>
          <w:szCs w:val="30"/>
          <w:rtl/>
          <w:lang w:bidi="ar-EG"/>
        </w:rPr>
        <w:br/>
      </w:r>
      <w:r>
        <w:rPr>
          <w:rFonts w:cs="Traditional Arabic" w:hint="cs"/>
          <w:szCs w:val="30"/>
          <w:rtl/>
          <w:lang w:bidi="ar-EG"/>
        </w:rPr>
        <w:t>مدير مكتب تقييس الاتصالات</w:t>
      </w:r>
    </w:p>
    <w:p w:rsidR="009A16EA" w:rsidRDefault="009A16EA">
      <w:pPr>
        <w:bidi/>
        <w:spacing w:line="300" w:lineRule="exact"/>
        <w:rPr>
          <w:rFonts w:cs="Traditional Arabic"/>
          <w:szCs w:val="30"/>
          <w:rtl/>
          <w:lang w:bidi="ar-EG"/>
        </w:rPr>
      </w:pPr>
    </w:p>
    <w:p w:rsidR="009A16EA" w:rsidRDefault="005F106E">
      <w:pPr>
        <w:bidi/>
        <w:spacing w:line="300" w:lineRule="exact"/>
        <w:rPr>
          <w:rFonts w:cs="Traditional Arabic"/>
          <w:szCs w:val="30"/>
          <w:lang w:bidi="ar-EG"/>
        </w:rPr>
      </w:pPr>
      <w:r>
        <w:rPr>
          <w:rFonts w:cs="Traditional Arabic" w:hint="cs"/>
          <w:b/>
          <w:bCs/>
          <w:szCs w:val="30"/>
          <w:rtl/>
          <w:lang w:bidi="ar-EG"/>
        </w:rPr>
        <w:t xml:space="preserve">الملحقات: </w:t>
      </w:r>
      <w:r>
        <w:rPr>
          <w:rFonts w:cs="Traditional Arabic"/>
          <w:szCs w:val="30"/>
          <w:lang w:bidi="ar-EG"/>
        </w:rPr>
        <w:t>3</w:t>
      </w:r>
    </w:p>
    <w:p w:rsidR="009A16EA" w:rsidRDefault="009A16EA">
      <w:pPr>
        <w:spacing w:before="720"/>
        <w:rPr>
          <w:rFonts w:ascii="Times New Roman" w:hAnsi="Times New Roman"/>
        </w:rPr>
        <w:sectPr w:rsidR="009A16EA">
          <w:headerReference w:type="default" r:id="rId9"/>
          <w:footerReference w:type="default" r:id="rId10"/>
          <w:footerReference w:type="first" r:id="rId11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9A16EA" w:rsidRDefault="005F106E">
      <w:r>
        <w:lastRenderedPageBreak/>
        <w:t>Annex 1</w:t>
      </w:r>
    </w:p>
    <w:p w:rsidR="009A16EA" w:rsidRDefault="005F106E">
      <w:pPr>
        <w:jc w:val="center"/>
      </w:pPr>
      <w:r>
        <w:t>(to TSB AAP-61)</w:t>
      </w:r>
    </w:p>
    <w:p w:rsidR="009A16EA" w:rsidRDefault="009A16EA">
      <w:pPr>
        <w:rPr>
          <w:szCs w:val="22"/>
        </w:rPr>
      </w:pPr>
    </w:p>
    <w:p w:rsidR="009A16EA" w:rsidRDefault="005F106E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9A16EA" w:rsidRDefault="005F106E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9A16EA" w:rsidRDefault="005F106E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9A16EA" w:rsidRDefault="005F106E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9A16EA" w:rsidRDefault="005F106E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9A16EA" w:rsidRDefault="005F106E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9A16EA" w:rsidRDefault="005F106E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9A16EA" w:rsidRDefault="005F106E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9A16EA" w:rsidRDefault="005F106E">
      <w:pPr>
        <w:pStyle w:val="enumlev2"/>
        <w:rPr>
          <w:szCs w:val="22"/>
        </w:rPr>
      </w:pPr>
      <w:r>
        <w:rPr>
          <w:szCs w:val="22"/>
        </w:rPr>
        <w:t xml:space="preserve">AC = Approved after Additional </w:t>
      </w:r>
      <w:r>
        <w:rPr>
          <w:szCs w:val="22"/>
        </w:rPr>
        <w:t>Review of Comments</w:t>
      </w:r>
    </w:p>
    <w:p w:rsidR="009A16EA" w:rsidRDefault="005F106E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9A16EA" w:rsidRDefault="005F106E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9A16EA" w:rsidRDefault="005F106E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9A16EA" w:rsidRDefault="009A16EA">
      <w:pPr>
        <w:pStyle w:val="enumlev2"/>
        <w:rPr>
          <w:szCs w:val="22"/>
        </w:rPr>
      </w:pPr>
      <w:hyperlink r:id="rId12" w:history="1">
        <w:r w:rsidR="005F106E">
          <w:rPr>
            <w:rStyle w:val="Hyperlink"/>
            <w:szCs w:val="22"/>
          </w:rPr>
          <w:t>http://www.itu.int/ITU-T</w:t>
        </w:r>
      </w:hyperlink>
    </w:p>
    <w:p w:rsidR="009A16EA" w:rsidRDefault="005F106E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9A16EA" w:rsidRDefault="009A16EA">
      <w:pPr>
        <w:pStyle w:val="enumlev2"/>
        <w:rPr>
          <w:szCs w:val="22"/>
        </w:rPr>
      </w:pPr>
      <w:hyperlink r:id="rId13" w:history="1">
        <w:r w:rsidR="005F106E">
          <w:rPr>
            <w:rStyle w:val="Hyperlink"/>
            <w:szCs w:val="22"/>
          </w:rPr>
          <w:t>http://www.itu.int/ITU-T/aapinfo</w:t>
        </w:r>
      </w:hyperlink>
    </w:p>
    <w:p w:rsidR="009A16EA" w:rsidRDefault="005F106E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9A16EA" w:rsidRDefault="005F106E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9A16EA" w:rsidRDefault="009A16EA">
      <w:pPr>
        <w:pStyle w:val="enumlev2"/>
        <w:rPr>
          <w:szCs w:val="22"/>
        </w:rPr>
      </w:pPr>
      <w:hyperlink r:id="rId14" w:history="1">
        <w:r w:rsidR="005F106E">
          <w:rPr>
            <w:rStyle w:val="Hyperlink"/>
            <w:szCs w:val="22"/>
          </w:rPr>
          <w:t>http://www.itu.int/ITU-T/aap/</w:t>
        </w:r>
      </w:hyperlink>
    </w:p>
    <w:p w:rsidR="009A16EA" w:rsidRDefault="005F106E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9A16EA">
        <w:tc>
          <w:tcPr>
            <w:tcW w:w="987" w:type="dxa"/>
          </w:tcPr>
          <w:p w:rsidR="009A16EA" w:rsidRDefault="005F106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9A16EA" w:rsidRDefault="009A16EA">
            <w:pPr>
              <w:pStyle w:val="Tabletext"/>
              <w:rPr>
                <w:b/>
                <w:bCs/>
                <w:szCs w:val="22"/>
              </w:rPr>
            </w:pPr>
            <w:hyperlink r:id="rId15" w:history="1">
              <w:r w:rsidR="005F106E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9A16EA" w:rsidRDefault="009A16EA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5F106E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9A16EA">
        <w:tc>
          <w:tcPr>
            <w:tcW w:w="0" w:type="auto"/>
          </w:tcPr>
          <w:p w:rsidR="009A16EA" w:rsidRDefault="005F106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9A16EA" w:rsidRDefault="009A16EA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5F106E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9A16EA" w:rsidRDefault="009A16EA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5F106E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9A16EA">
        <w:tc>
          <w:tcPr>
            <w:tcW w:w="0" w:type="auto"/>
          </w:tcPr>
          <w:p w:rsidR="009A16EA" w:rsidRDefault="005F106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9A16EA" w:rsidRDefault="009A16EA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5F106E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9A16EA" w:rsidRDefault="009A16EA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5F106E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9A16EA">
        <w:tc>
          <w:tcPr>
            <w:tcW w:w="0" w:type="auto"/>
          </w:tcPr>
          <w:p w:rsidR="009A16EA" w:rsidRDefault="005F106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9A16EA" w:rsidRDefault="009A16EA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5F106E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9A16EA" w:rsidRDefault="009A16EA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5F106E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9A16EA">
        <w:tc>
          <w:tcPr>
            <w:tcW w:w="0" w:type="auto"/>
          </w:tcPr>
          <w:p w:rsidR="009A16EA" w:rsidRDefault="005F106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9A16EA" w:rsidRDefault="009A16EA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5F106E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9A16EA" w:rsidRDefault="009A16EA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5F106E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9A16EA">
        <w:tc>
          <w:tcPr>
            <w:tcW w:w="0" w:type="auto"/>
          </w:tcPr>
          <w:p w:rsidR="009A16EA" w:rsidRDefault="005F106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9A16EA" w:rsidRDefault="009A16EA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5F106E">
                <w:rPr>
                  <w:rStyle w:val="Hyperlink"/>
                  <w:szCs w:val="22"/>
                </w:rPr>
                <w:t>http://www.itu.int/ITU-T/studygroup</w:t>
              </w:r>
              <w:r w:rsidR="005F106E">
                <w:rPr>
                  <w:rStyle w:val="Hyperlink"/>
                  <w:szCs w:val="22"/>
                </w:rPr>
                <w:t>s/com12</w:t>
              </w:r>
            </w:hyperlink>
          </w:p>
        </w:tc>
        <w:tc>
          <w:tcPr>
            <w:tcW w:w="0" w:type="auto"/>
          </w:tcPr>
          <w:p w:rsidR="009A16EA" w:rsidRDefault="009A16EA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5F106E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9A16EA">
        <w:tc>
          <w:tcPr>
            <w:tcW w:w="0" w:type="auto"/>
          </w:tcPr>
          <w:p w:rsidR="009A16EA" w:rsidRDefault="005F106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9A16EA" w:rsidRDefault="009A16EA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5F106E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9A16EA" w:rsidRDefault="009A16EA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5F106E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9A16EA">
        <w:tc>
          <w:tcPr>
            <w:tcW w:w="0" w:type="auto"/>
          </w:tcPr>
          <w:p w:rsidR="009A16EA" w:rsidRDefault="005F106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9A16EA" w:rsidRDefault="009A16EA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5F106E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9A16EA" w:rsidRDefault="009A16EA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5F106E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9A16EA">
        <w:tc>
          <w:tcPr>
            <w:tcW w:w="0" w:type="auto"/>
          </w:tcPr>
          <w:p w:rsidR="009A16EA" w:rsidRDefault="005F106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9A16EA" w:rsidRDefault="009A16EA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5F106E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9A16EA" w:rsidRDefault="009A16EA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5F106E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9A16EA">
        <w:tc>
          <w:tcPr>
            <w:tcW w:w="0" w:type="auto"/>
          </w:tcPr>
          <w:p w:rsidR="009A16EA" w:rsidRDefault="005F106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9A16EA" w:rsidRDefault="009A16EA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5F106E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9A16EA" w:rsidRDefault="009A16EA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5F106E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  <w:tr w:rsidR="009A16EA">
        <w:tc>
          <w:tcPr>
            <w:tcW w:w="0" w:type="auto"/>
          </w:tcPr>
          <w:p w:rsidR="009A16EA" w:rsidRDefault="005F106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20</w:t>
            </w:r>
          </w:p>
        </w:tc>
        <w:tc>
          <w:tcPr>
            <w:tcW w:w="0" w:type="auto"/>
          </w:tcPr>
          <w:p w:rsidR="009A16EA" w:rsidRDefault="009A16EA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5F106E">
                <w:rPr>
                  <w:rStyle w:val="Hyperlink"/>
                  <w:szCs w:val="22"/>
                </w:rPr>
                <w:t>http://www.itu.int/ITU-T/studygroups/com20</w:t>
              </w:r>
            </w:hyperlink>
          </w:p>
        </w:tc>
        <w:tc>
          <w:tcPr>
            <w:tcW w:w="0" w:type="auto"/>
          </w:tcPr>
          <w:p w:rsidR="009A16EA" w:rsidRDefault="009A16EA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5F106E">
                <w:rPr>
                  <w:rStyle w:val="Hyperlink"/>
                  <w:szCs w:val="22"/>
                </w:rPr>
                <w:t>tsbsg20@itu.int</w:t>
              </w:r>
            </w:hyperlink>
          </w:p>
        </w:tc>
      </w:tr>
    </w:tbl>
    <w:p w:rsidR="009A16EA" w:rsidRDefault="009A16EA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9A16EA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9A16EA" w:rsidRDefault="005F106E">
      <w:pPr>
        <w:pageBreakBefore/>
      </w:pPr>
      <w:r>
        <w:lastRenderedPageBreak/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A16E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A16EA" w:rsidRDefault="005F106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A16EA" w:rsidRDefault="005F10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A16EA" w:rsidRDefault="005F10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Last </w:t>
            </w:r>
            <w:r>
              <w:rPr>
                <w:rFonts w:ascii="Times New Roman" w:hAnsi="Times New Roman"/>
                <w:b/>
                <w:bCs/>
                <w:sz w:val="20"/>
              </w:rPr>
              <w:t>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A16EA" w:rsidRDefault="005F10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A16EA" w:rsidRDefault="005F106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A16E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A16EA" w:rsidRDefault="009A16E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A16EA" w:rsidRDefault="009A16E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A16EA" w:rsidRDefault="005F106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A16EA" w:rsidRDefault="005F106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A16EA" w:rsidRDefault="005F10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A16EA" w:rsidRDefault="005F10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A16EA" w:rsidRDefault="005F106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A16EA" w:rsidRDefault="005F106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A16EA" w:rsidRDefault="005F106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A16EA" w:rsidRDefault="005F10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A16EA" w:rsidRDefault="009A16EA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9A16EA">
        <w:trPr>
          <w:cantSplit/>
        </w:trPr>
        <w:tc>
          <w:tcPr>
            <w:tcW w:w="2090" w:type="dxa"/>
          </w:tcPr>
          <w:p w:rsidR="009A16EA" w:rsidRDefault="009A16EA">
            <w:hyperlink r:id="rId37" w:history="1">
              <w:r w:rsidR="005F106E">
                <w:rPr>
                  <w:rStyle w:val="Hyperlink"/>
                  <w:sz w:val="20"/>
                </w:rPr>
                <w:t>J.207 (J.207rev)</w:t>
              </w:r>
            </w:hyperlink>
          </w:p>
        </w:tc>
        <w:tc>
          <w:tcPr>
            <w:tcW w:w="4000" w:type="dxa"/>
          </w:tcPr>
          <w:p w:rsidR="009A16EA" w:rsidRDefault="005F106E">
            <w:r>
              <w:t>Specification for integrated broadcast and broadband digital television application control framework (</w:t>
            </w:r>
            <w:hyperlink r:id="rId3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6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A16EA">
        <w:trPr>
          <w:cantSplit/>
        </w:trPr>
        <w:tc>
          <w:tcPr>
            <w:tcW w:w="2090" w:type="dxa"/>
          </w:tcPr>
          <w:p w:rsidR="009A16EA" w:rsidRDefault="009A16EA">
            <w:hyperlink r:id="rId39" w:history="1">
              <w:r w:rsidR="005F106E">
                <w:rPr>
                  <w:rStyle w:val="Hyperlink"/>
                  <w:sz w:val="20"/>
                </w:rPr>
                <w:t>J.216 (J.MHAv2)</w:t>
              </w:r>
            </w:hyperlink>
          </w:p>
        </w:tc>
        <w:tc>
          <w:tcPr>
            <w:tcW w:w="4000" w:type="dxa"/>
          </w:tcPr>
          <w:p w:rsidR="009A16EA" w:rsidRDefault="005F106E">
            <w:r>
              <w:t>Second-generation Modular Headend Architecture in systems for interactive cable television services - IP cable modems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6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A16EA">
        <w:trPr>
          <w:cantSplit/>
        </w:trPr>
        <w:tc>
          <w:tcPr>
            <w:tcW w:w="2090" w:type="dxa"/>
          </w:tcPr>
          <w:p w:rsidR="009A16EA" w:rsidRDefault="009A16EA">
            <w:hyperlink r:id="rId41" w:history="1">
              <w:r w:rsidR="005F106E">
                <w:rPr>
                  <w:rStyle w:val="Hyperlink"/>
                  <w:sz w:val="20"/>
                </w:rPr>
                <w:t>J.224 (J.5GDOCSIS)</w:t>
              </w:r>
            </w:hyperlink>
          </w:p>
        </w:tc>
        <w:tc>
          <w:tcPr>
            <w:tcW w:w="4000" w:type="dxa"/>
          </w:tcPr>
          <w:p w:rsidR="009A16EA" w:rsidRDefault="005F106E">
            <w:r>
              <w:t>Fifth-generation transmission systems for interactive cable telev</w:t>
            </w:r>
            <w:r>
              <w:t>ision services - IP cable modems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6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A16EA">
        <w:trPr>
          <w:cantSplit/>
        </w:trPr>
        <w:tc>
          <w:tcPr>
            <w:tcW w:w="2090" w:type="dxa"/>
          </w:tcPr>
          <w:p w:rsidR="009A16EA" w:rsidRDefault="009A16EA">
            <w:hyperlink r:id="rId43" w:history="1">
              <w:r w:rsidR="005F106E">
                <w:rPr>
                  <w:rStyle w:val="Hyperlink"/>
                  <w:sz w:val="20"/>
                </w:rPr>
                <w:t>J.288 (J.288-rev)</w:t>
              </w:r>
            </w:hyperlink>
          </w:p>
        </w:tc>
        <w:tc>
          <w:tcPr>
            <w:tcW w:w="4000" w:type="dxa"/>
          </w:tcPr>
          <w:p w:rsidR="009A16EA" w:rsidRDefault="005F106E">
            <w:r>
              <w:t>Encapsulation of type length value (TLV) packet for cable transmission systems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6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A16EA">
        <w:trPr>
          <w:cantSplit/>
        </w:trPr>
        <w:tc>
          <w:tcPr>
            <w:tcW w:w="2090" w:type="dxa"/>
          </w:tcPr>
          <w:p w:rsidR="009A16EA" w:rsidRDefault="009A16EA">
            <w:hyperlink r:id="rId45" w:history="1">
              <w:r w:rsidR="005F106E">
                <w:rPr>
                  <w:rStyle w:val="Hyperlink"/>
                  <w:sz w:val="20"/>
                </w:rPr>
                <w:t>J.1026 (J.oneway-dcas-part1)</w:t>
              </w:r>
            </w:hyperlink>
          </w:p>
        </w:tc>
        <w:tc>
          <w:tcPr>
            <w:tcW w:w="4000" w:type="dxa"/>
          </w:tcPr>
          <w:p w:rsidR="009A16EA" w:rsidRDefault="005F106E">
            <w:r>
              <w:t>Downloadable Conditional Access System for Unidirectional Network; Requirements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6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A16EA">
        <w:trPr>
          <w:cantSplit/>
        </w:trPr>
        <w:tc>
          <w:tcPr>
            <w:tcW w:w="2090" w:type="dxa"/>
          </w:tcPr>
          <w:p w:rsidR="009A16EA" w:rsidRDefault="009A16EA">
            <w:hyperlink r:id="rId47" w:history="1">
              <w:r w:rsidR="005F106E">
                <w:rPr>
                  <w:rStyle w:val="Hyperlink"/>
                  <w:sz w:val="20"/>
                </w:rPr>
                <w:t>J.1027 (J.oneway-dcas-part2)</w:t>
              </w:r>
            </w:hyperlink>
          </w:p>
        </w:tc>
        <w:tc>
          <w:tcPr>
            <w:tcW w:w="4000" w:type="dxa"/>
          </w:tcPr>
          <w:p w:rsidR="009A16EA" w:rsidRDefault="005F106E">
            <w:r>
              <w:t>Downloadable Conditional Access System for Unidirectional Network; System Archit</w:t>
            </w:r>
            <w:r>
              <w:t>ecture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6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A16EA">
        <w:trPr>
          <w:cantSplit/>
        </w:trPr>
        <w:tc>
          <w:tcPr>
            <w:tcW w:w="2090" w:type="dxa"/>
          </w:tcPr>
          <w:p w:rsidR="009A16EA" w:rsidRDefault="009A16EA">
            <w:hyperlink r:id="rId49" w:history="1">
              <w:r w:rsidR="005F106E">
                <w:rPr>
                  <w:rStyle w:val="Hyperlink"/>
                  <w:sz w:val="20"/>
                </w:rPr>
                <w:t>J.1028 (J.oneway-dcas-part3)</w:t>
              </w:r>
            </w:hyperlink>
          </w:p>
        </w:tc>
        <w:tc>
          <w:tcPr>
            <w:tcW w:w="4000" w:type="dxa"/>
          </w:tcPr>
          <w:p w:rsidR="009A16EA" w:rsidRDefault="005F106E">
            <w:r>
              <w:t>Downloadable Conditional Access System for Unidirectional Network; Terminal System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6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A16EA">
        <w:trPr>
          <w:cantSplit/>
        </w:trPr>
        <w:tc>
          <w:tcPr>
            <w:tcW w:w="2090" w:type="dxa"/>
          </w:tcPr>
          <w:p w:rsidR="009A16EA" w:rsidRDefault="009A16EA">
            <w:hyperlink r:id="rId51" w:history="1">
              <w:r w:rsidR="005F106E">
                <w:rPr>
                  <w:rStyle w:val="Hyperlink"/>
                  <w:sz w:val="20"/>
                </w:rPr>
                <w:t>J.1202 (J.stvos-spec-arch)</w:t>
              </w:r>
            </w:hyperlink>
          </w:p>
        </w:tc>
        <w:tc>
          <w:tcPr>
            <w:tcW w:w="4000" w:type="dxa"/>
          </w:tcPr>
          <w:p w:rsidR="009A16EA" w:rsidRDefault="005F106E">
            <w:r>
              <w:t>The Architecture of Smart TV Operating System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6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A16EA">
        <w:trPr>
          <w:cantSplit/>
        </w:trPr>
        <w:tc>
          <w:tcPr>
            <w:tcW w:w="2090" w:type="dxa"/>
          </w:tcPr>
          <w:p w:rsidR="009A16EA" w:rsidRDefault="009A16EA">
            <w:hyperlink r:id="rId53" w:history="1">
              <w:r w:rsidR="005F106E">
                <w:rPr>
                  <w:rStyle w:val="Hyperlink"/>
                  <w:sz w:val="20"/>
                </w:rPr>
                <w:t>J.1210 (J.ipvb-req)</w:t>
              </w:r>
            </w:hyperlink>
          </w:p>
        </w:tc>
        <w:tc>
          <w:tcPr>
            <w:tcW w:w="4000" w:type="dxa"/>
          </w:tcPr>
          <w:p w:rsidR="009A16EA" w:rsidRDefault="005F106E">
            <w:r>
              <w:t>Requirements of IP Video Broadcast (IPVB) for CATV Networks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6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A16EA">
        <w:trPr>
          <w:cantSplit/>
        </w:trPr>
        <w:tc>
          <w:tcPr>
            <w:tcW w:w="2090" w:type="dxa"/>
          </w:tcPr>
          <w:p w:rsidR="009A16EA" w:rsidRDefault="009A16EA">
            <w:hyperlink r:id="rId55" w:history="1">
              <w:r w:rsidR="005F106E">
                <w:rPr>
                  <w:rStyle w:val="Hyperlink"/>
                  <w:sz w:val="20"/>
                </w:rPr>
                <w:t>J.1600 (J.pcnp-fmw)</w:t>
              </w:r>
            </w:hyperlink>
          </w:p>
        </w:tc>
        <w:tc>
          <w:tcPr>
            <w:tcW w:w="4000" w:type="dxa"/>
          </w:tcPr>
          <w:p w:rsidR="009A16EA" w:rsidRDefault="005F106E">
            <w:r>
              <w:t>Premium Cable Network Platform (PCNP) - Framework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6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9A16EA" w:rsidRDefault="005F106E">
      <w:pPr>
        <w:pageBreakBefore/>
      </w:pPr>
      <w:r>
        <w:lastRenderedPageBreak/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A16E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A16EA" w:rsidRDefault="005F106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A16EA" w:rsidRDefault="005F10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A16EA" w:rsidRDefault="005F10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A16EA" w:rsidRDefault="005F10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A16EA" w:rsidRDefault="005F106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A16E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A16EA" w:rsidRDefault="009A16E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A16EA" w:rsidRDefault="009A16E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A16EA" w:rsidRDefault="005F106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A16EA" w:rsidRDefault="005F106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A16EA" w:rsidRDefault="005F10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A16EA" w:rsidRDefault="005F10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A16EA" w:rsidRDefault="005F106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A16EA" w:rsidRDefault="005F106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A16EA" w:rsidRDefault="005F106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A16EA" w:rsidRDefault="005F10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A16EA" w:rsidRDefault="009A16EA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9A16EA">
        <w:trPr>
          <w:cantSplit/>
        </w:trPr>
        <w:tc>
          <w:tcPr>
            <w:tcW w:w="2090" w:type="dxa"/>
          </w:tcPr>
          <w:p w:rsidR="009A16EA" w:rsidRDefault="009A16EA">
            <w:hyperlink r:id="rId57" w:history="1">
              <w:r w:rsidR="005F106E">
                <w:rPr>
                  <w:rStyle w:val="Hyperlink"/>
                  <w:sz w:val="20"/>
                </w:rPr>
                <w:t>Q.3741 (Q.SD-WAN)</w:t>
              </w:r>
            </w:hyperlink>
          </w:p>
        </w:tc>
        <w:tc>
          <w:tcPr>
            <w:tcW w:w="4000" w:type="dxa"/>
          </w:tcPr>
          <w:p w:rsidR="009A16EA" w:rsidRDefault="005F106E">
            <w:r>
              <w:t>Signalling Requirements for SD-WAN service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6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A16EA">
        <w:trPr>
          <w:cantSplit/>
        </w:trPr>
        <w:tc>
          <w:tcPr>
            <w:tcW w:w="2090" w:type="dxa"/>
          </w:tcPr>
          <w:p w:rsidR="009A16EA" w:rsidRDefault="009A16EA">
            <w:hyperlink r:id="rId59" w:history="1">
              <w:r w:rsidR="005F106E">
                <w:rPr>
                  <w:rStyle w:val="Hyperlink"/>
                  <w:sz w:val="20"/>
                </w:rPr>
                <w:t>Q.4043 (Q.vs-iop-reqts)</w:t>
              </w:r>
            </w:hyperlink>
          </w:p>
        </w:tc>
        <w:tc>
          <w:tcPr>
            <w:tcW w:w="4000" w:type="dxa"/>
          </w:tcPr>
          <w:p w:rsidR="009A16EA" w:rsidRDefault="005F106E">
            <w:r>
              <w:t>Interoperability testing requirements of virtual switch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6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A16EA">
        <w:trPr>
          <w:cantSplit/>
        </w:trPr>
        <w:tc>
          <w:tcPr>
            <w:tcW w:w="2090" w:type="dxa"/>
          </w:tcPr>
          <w:p w:rsidR="009A16EA" w:rsidRDefault="009A16EA">
            <w:hyperlink r:id="rId61" w:history="1">
              <w:r w:rsidR="005F106E">
                <w:rPr>
                  <w:rStyle w:val="Hyperlink"/>
                  <w:sz w:val="20"/>
                </w:rPr>
                <w:t>Q.5021 (Q.CE-APIMP)</w:t>
              </w:r>
            </w:hyperlink>
          </w:p>
        </w:tc>
        <w:tc>
          <w:tcPr>
            <w:tcW w:w="4000" w:type="dxa"/>
          </w:tcPr>
          <w:p w:rsidR="009A16EA" w:rsidRDefault="005F106E">
            <w:r>
              <w:t>Protocol for managing capability exposure APIs in IMT-2020 network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6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9A16EA" w:rsidRDefault="005F106E">
      <w:pPr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A16E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A16EA" w:rsidRDefault="005F106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A16EA" w:rsidRDefault="005F10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A16EA" w:rsidRDefault="005F10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A16EA" w:rsidRDefault="005F10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A16EA" w:rsidRDefault="005F106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A16E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A16EA" w:rsidRDefault="009A16E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A16EA" w:rsidRDefault="009A16E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A16EA" w:rsidRDefault="005F106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A16EA" w:rsidRDefault="005F106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A16EA" w:rsidRDefault="005F10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A16EA" w:rsidRDefault="005F10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A16EA" w:rsidRDefault="005F106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A16EA" w:rsidRDefault="005F106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A16EA" w:rsidRDefault="005F106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A16EA" w:rsidRDefault="005F10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A16EA" w:rsidRDefault="009A16EA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9A16EA">
        <w:trPr>
          <w:cantSplit/>
        </w:trPr>
        <w:tc>
          <w:tcPr>
            <w:tcW w:w="2090" w:type="dxa"/>
          </w:tcPr>
          <w:p w:rsidR="009A16EA" w:rsidRDefault="009A16EA">
            <w:hyperlink r:id="rId63" w:history="1">
              <w:r w:rsidR="005F106E">
                <w:rPr>
                  <w:rStyle w:val="Hyperlink"/>
                  <w:sz w:val="20"/>
                </w:rPr>
                <w:t>E.806 (E.MTSM)</w:t>
              </w:r>
            </w:hyperlink>
          </w:p>
        </w:tc>
        <w:tc>
          <w:tcPr>
            <w:tcW w:w="4000" w:type="dxa"/>
          </w:tcPr>
          <w:p w:rsidR="009A16EA" w:rsidRDefault="005F106E">
            <w:r>
              <w:t>Measurement campaigns, monitoring systems and sampling methodologies to monitor the QoS in mobile networks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2019-06-01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2019-06-28</w:t>
            </w:r>
          </w:p>
        </w:tc>
        <w:tc>
          <w:tcPr>
            <w:tcW w:w="88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6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EA">
        <w:trPr>
          <w:cantSplit/>
        </w:trPr>
        <w:tc>
          <w:tcPr>
            <w:tcW w:w="2090" w:type="dxa"/>
          </w:tcPr>
          <w:p w:rsidR="009A16EA" w:rsidRDefault="009A16EA">
            <w:hyperlink r:id="rId65" w:history="1">
              <w:r w:rsidR="005F106E">
                <w:rPr>
                  <w:rStyle w:val="Hyperlink"/>
                  <w:sz w:val="20"/>
                </w:rPr>
                <w:t>G.107.1</w:t>
              </w:r>
            </w:hyperlink>
          </w:p>
        </w:tc>
        <w:tc>
          <w:tcPr>
            <w:tcW w:w="4000" w:type="dxa"/>
          </w:tcPr>
          <w:p w:rsidR="009A16EA" w:rsidRDefault="005F106E">
            <w:r>
              <w:t>Wideband E-model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2019-06-01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2019-06-28</w:t>
            </w:r>
          </w:p>
        </w:tc>
        <w:tc>
          <w:tcPr>
            <w:tcW w:w="88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6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EA">
        <w:trPr>
          <w:cantSplit/>
        </w:trPr>
        <w:tc>
          <w:tcPr>
            <w:tcW w:w="2090" w:type="dxa"/>
          </w:tcPr>
          <w:p w:rsidR="009A16EA" w:rsidRDefault="009A16EA">
            <w:hyperlink r:id="rId67" w:history="1">
              <w:r w:rsidR="005F106E">
                <w:rPr>
                  <w:rStyle w:val="Hyperlink"/>
                  <w:sz w:val="20"/>
                </w:rPr>
                <w:t>G.107.2</w:t>
              </w:r>
            </w:hyperlink>
          </w:p>
        </w:tc>
        <w:tc>
          <w:tcPr>
            <w:tcW w:w="4000" w:type="dxa"/>
          </w:tcPr>
          <w:p w:rsidR="009A16EA" w:rsidRDefault="005F106E">
            <w:r>
              <w:t>Fullband E-model (</w:t>
            </w:r>
            <w:hyperlink r:id="rId6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2019-06-01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2019-06-28</w:t>
            </w:r>
          </w:p>
        </w:tc>
        <w:tc>
          <w:tcPr>
            <w:tcW w:w="88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6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EA">
        <w:trPr>
          <w:cantSplit/>
        </w:trPr>
        <w:tc>
          <w:tcPr>
            <w:tcW w:w="2090" w:type="dxa"/>
          </w:tcPr>
          <w:p w:rsidR="009A16EA" w:rsidRDefault="009A16EA">
            <w:hyperlink r:id="rId69" w:history="1">
              <w:r w:rsidR="005F106E">
                <w:rPr>
                  <w:rStyle w:val="Hyperlink"/>
                  <w:sz w:val="20"/>
                </w:rPr>
                <w:t>G.1028</w:t>
              </w:r>
            </w:hyperlink>
          </w:p>
        </w:tc>
        <w:tc>
          <w:tcPr>
            <w:tcW w:w="4000" w:type="dxa"/>
          </w:tcPr>
          <w:p w:rsidR="009A16EA" w:rsidRDefault="005F106E">
            <w:r>
              <w:t>End-to-end quality of service for voice over 4G mobile networks (</w:t>
            </w:r>
            <w:hyperlink r:id="rId7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2019-06-01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2019-06-28</w:t>
            </w:r>
          </w:p>
        </w:tc>
        <w:tc>
          <w:tcPr>
            <w:tcW w:w="88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6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EA">
        <w:trPr>
          <w:cantSplit/>
        </w:trPr>
        <w:tc>
          <w:tcPr>
            <w:tcW w:w="2090" w:type="dxa"/>
          </w:tcPr>
          <w:p w:rsidR="009A16EA" w:rsidRDefault="009A16EA">
            <w:hyperlink r:id="rId71" w:history="1">
              <w:r w:rsidR="005F106E">
                <w:rPr>
                  <w:rStyle w:val="Hyperlink"/>
                  <w:sz w:val="20"/>
                </w:rPr>
                <w:t>G.1028.2 (G.CSFB)</w:t>
              </w:r>
            </w:hyperlink>
          </w:p>
        </w:tc>
        <w:tc>
          <w:tcPr>
            <w:tcW w:w="4000" w:type="dxa"/>
          </w:tcPr>
          <w:p w:rsidR="009A16EA" w:rsidRDefault="005F106E">
            <w:r>
              <w:t>Assessment of the LTE circuit switched fall back - impact on voice QoS (</w:t>
            </w:r>
            <w:hyperlink r:id="rId7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2019-06-01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2019-06-28</w:t>
            </w:r>
          </w:p>
        </w:tc>
        <w:tc>
          <w:tcPr>
            <w:tcW w:w="88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6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EA">
        <w:trPr>
          <w:cantSplit/>
        </w:trPr>
        <w:tc>
          <w:tcPr>
            <w:tcW w:w="2090" w:type="dxa"/>
          </w:tcPr>
          <w:p w:rsidR="009A16EA" w:rsidRDefault="009A16EA">
            <w:hyperlink r:id="rId73" w:history="1">
              <w:r w:rsidR="005F106E">
                <w:rPr>
                  <w:rStyle w:val="Hyperlink"/>
                  <w:sz w:val="20"/>
                </w:rPr>
                <w:t>P.10/G.100 (2017) Amd. 1</w:t>
              </w:r>
            </w:hyperlink>
          </w:p>
        </w:tc>
        <w:tc>
          <w:tcPr>
            <w:tcW w:w="4000" w:type="dxa"/>
          </w:tcPr>
          <w:p w:rsidR="009A16EA" w:rsidRDefault="005F106E">
            <w:r>
              <w:t>Vocabulary for performance, quality of service and quality of experience - Amendment 1: New definitio</w:t>
            </w:r>
            <w:r>
              <w:t>ns for inclusion in Recommendation ITU-T P.10/G.100 (</w:t>
            </w:r>
            <w:hyperlink r:id="rId7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2019-06-01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2019-06-28</w:t>
            </w:r>
          </w:p>
        </w:tc>
        <w:tc>
          <w:tcPr>
            <w:tcW w:w="88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6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EA">
        <w:trPr>
          <w:cantSplit/>
        </w:trPr>
        <w:tc>
          <w:tcPr>
            <w:tcW w:w="2090" w:type="dxa"/>
          </w:tcPr>
          <w:p w:rsidR="009A16EA" w:rsidRDefault="009A16EA">
            <w:hyperlink r:id="rId75" w:history="1">
              <w:r w:rsidR="005F106E">
                <w:rPr>
                  <w:rStyle w:val="Hyperlink"/>
                  <w:sz w:val="20"/>
                </w:rPr>
                <w:t>P.64</w:t>
              </w:r>
            </w:hyperlink>
          </w:p>
        </w:tc>
        <w:tc>
          <w:tcPr>
            <w:tcW w:w="4000" w:type="dxa"/>
          </w:tcPr>
          <w:p w:rsidR="009A16EA" w:rsidRDefault="005F106E">
            <w:r>
              <w:t>Determination of sensitivity/frequency characteristics of local telephone systems (</w:t>
            </w:r>
            <w:hyperlink r:id="rId7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2019-06-01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2019-06-28</w:t>
            </w:r>
          </w:p>
        </w:tc>
        <w:tc>
          <w:tcPr>
            <w:tcW w:w="88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6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EA">
        <w:trPr>
          <w:cantSplit/>
        </w:trPr>
        <w:tc>
          <w:tcPr>
            <w:tcW w:w="2090" w:type="dxa"/>
          </w:tcPr>
          <w:p w:rsidR="009A16EA" w:rsidRDefault="009A16EA">
            <w:hyperlink r:id="rId77" w:history="1">
              <w:r w:rsidR="005F106E">
                <w:rPr>
                  <w:rStyle w:val="Hyperlink"/>
                  <w:sz w:val="20"/>
                </w:rPr>
                <w:t>P.700 (P.Loudness)</w:t>
              </w:r>
            </w:hyperlink>
          </w:p>
        </w:tc>
        <w:tc>
          <w:tcPr>
            <w:tcW w:w="4000" w:type="dxa"/>
          </w:tcPr>
          <w:p w:rsidR="009A16EA" w:rsidRDefault="005F106E">
            <w:r>
              <w:t>Calculation of loudness for speech communication (</w:t>
            </w:r>
            <w:hyperlink r:id="rId7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2019-06-01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2019-06-28</w:t>
            </w:r>
          </w:p>
        </w:tc>
        <w:tc>
          <w:tcPr>
            <w:tcW w:w="88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6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EA">
        <w:trPr>
          <w:cantSplit/>
        </w:trPr>
        <w:tc>
          <w:tcPr>
            <w:tcW w:w="2090" w:type="dxa"/>
          </w:tcPr>
          <w:p w:rsidR="009A16EA" w:rsidRDefault="009A16EA">
            <w:hyperlink r:id="rId79" w:history="1">
              <w:r w:rsidR="005F106E">
                <w:rPr>
                  <w:rStyle w:val="Hyperlink"/>
                  <w:sz w:val="20"/>
                </w:rPr>
                <w:t>P.863.1</w:t>
              </w:r>
            </w:hyperlink>
          </w:p>
        </w:tc>
        <w:tc>
          <w:tcPr>
            <w:tcW w:w="4000" w:type="dxa"/>
          </w:tcPr>
          <w:p w:rsidR="009A16EA" w:rsidRDefault="005F106E">
            <w:r>
              <w:t>Application guide for Recommen</w:t>
            </w:r>
            <w:r>
              <w:t>dation ITU-T P.863 (</w:t>
            </w:r>
            <w:hyperlink r:id="rId8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2019-06-01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2019-06-28</w:t>
            </w:r>
          </w:p>
        </w:tc>
        <w:tc>
          <w:tcPr>
            <w:tcW w:w="88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6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EA">
        <w:trPr>
          <w:cantSplit/>
        </w:trPr>
        <w:tc>
          <w:tcPr>
            <w:tcW w:w="2090" w:type="dxa"/>
          </w:tcPr>
          <w:p w:rsidR="009A16EA" w:rsidRDefault="009A16EA">
            <w:hyperlink r:id="rId81" w:history="1">
              <w:r w:rsidR="005F106E">
                <w:rPr>
                  <w:rStyle w:val="Hyperlink"/>
                  <w:sz w:val="20"/>
                </w:rPr>
                <w:t>P.1201.2 Cor.2</w:t>
              </w:r>
            </w:hyperlink>
          </w:p>
        </w:tc>
        <w:tc>
          <w:tcPr>
            <w:tcW w:w="4000" w:type="dxa"/>
          </w:tcPr>
          <w:p w:rsidR="009A16EA" w:rsidRDefault="005F106E">
            <w:r>
              <w:t>Parametric non-intrusive assessment of audiovisual media streaming quality - Higher resolution application area - Corrigendum 2 (</w:t>
            </w:r>
            <w:hyperlink r:id="rId8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2019-06-01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2019-06-</w:t>
            </w:r>
            <w:r>
              <w:rPr>
                <w:sz w:val="20"/>
              </w:rPr>
              <w:t>28</w:t>
            </w:r>
          </w:p>
        </w:tc>
        <w:tc>
          <w:tcPr>
            <w:tcW w:w="88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6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A16EA">
        <w:trPr>
          <w:cantSplit/>
        </w:trPr>
        <w:tc>
          <w:tcPr>
            <w:tcW w:w="2090" w:type="dxa"/>
          </w:tcPr>
          <w:p w:rsidR="009A16EA" w:rsidRDefault="009A16EA">
            <w:hyperlink r:id="rId83" w:history="1">
              <w:r w:rsidR="005F106E">
                <w:rPr>
                  <w:rStyle w:val="Hyperlink"/>
                  <w:sz w:val="20"/>
                </w:rPr>
                <w:t>Y.1540</w:t>
              </w:r>
            </w:hyperlink>
          </w:p>
        </w:tc>
        <w:tc>
          <w:tcPr>
            <w:tcW w:w="4000" w:type="dxa"/>
          </w:tcPr>
          <w:p w:rsidR="009A16EA" w:rsidRDefault="005F106E">
            <w:r>
              <w:t>Internet protocol data communication service - IP packet transfer and availability performance parameters (</w:t>
            </w:r>
            <w:hyperlink r:id="rId8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2019-06-01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2019-06-28</w:t>
            </w:r>
          </w:p>
        </w:tc>
        <w:tc>
          <w:tcPr>
            <w:tcW w:w="88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6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9A16EA" w:rsidRDefault="005F106E">
      <w:pPr>
        <w:pageBreakBefore/>
      </w:pPr>
      <w:r>
        <w:lastRenderedPageBreak/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A16E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A16EA" w:rsidRDefault="005F106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A16EA" w:rsidRDefault="005F10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A16EA" w:rsidRDefault="005F10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A16EA" w:rsidRDefault="005F10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A16EA" w:rsidRDefault="005F106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A16E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A16EA" w:rsidRDefault="009A16E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A16EA" w:rsidRDefault="009A16E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A16EA" w:rsidRDefault="005F106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A16EA" w:rsidRDefault="005F106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A16EA" w:rsidRDefault="005F10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A16EA" w:rsidRDefault="005F10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A16EA" w:rsidRDefault="005F106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A16EA" w:rsidRDefault="005F106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A16EA" w:rsidRDefault="005F106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A16EA" w:rsidRDefault="005F10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A16EA" w:rsidRDefault="009A16EA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9A16EA">
        <w:trPr>
          <w:cantSplit/>
        </w:trPr>
        <w:tc>
          <w:tcPr>
            <w:tcW w:w="2090" w:type="dxa"/>
          </w:tcPr>
          <w:p w:rsidR="009A16EA" w:rsidRDefault="009A16EA">
            <w:hyperlink r:id="rId85" w:history="1">
              <w:r w:rsidR="005F106E">
                <w:rPr>
                  <w:rStyle w:val="Hyperlink"/>
                  <w:sz w:val="20"/>
                </w:rPr>
                <w:t>Y.3172 (Y.IMT2020-ML-Arch)</w:t>
              </w:r>
            </w:hyperlink>
          </w:p>
        </w:tc>
        <w:tc>
          <w:tcPr>
            <w:tcW w:w="4000" w:type="dxa"/>
          </w:tcPr>
          <w:p w:rsidR="009A16EA" w:rsidRDefault="005F106E">
            <w:r>
              <w:t>Architectural framework for machine learning in future networks including IMT-2020 (</w:t>
            </w:r>
            <w:hyperlink r:id="rId8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2019-04-01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2019-04-28</w:t>
            </w:r>
          </w:p>
        </w:tc>
        <w:tc>
          <w:tcPr>
            <w:tcW w:w="88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2019-06-01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2019-06-21</w:t>
            </w:r>
          </w:p>
        </w:tc>
        <w:tc>
          <w:tcPr>
            <w:tcW w:w="88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6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9A16EA" w:rsidRDefault="005F106E">
      <w:pPr>
        <w:pageBreakBefore/>
      </w:pPr>
      <w:r>
        <w:lastRenderedPageBreak/>
        <w:t>Situat</w:t>
      </w:r>
      <w:r>
        <w:t>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A16E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A16EA" w:rsidRDefault="005F106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A16EA" w:rsidRDefault="005F10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A16EA" w:rsidRDefault="005F10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A16EA" w:rsidRDefault="005F10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A16EA" w:rsidRDefault="005F106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A16E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A16EA" w:rsidRDefault="009A16E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A16EA" w:rsidRDefault="009A16E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A16EA" w:rsidRDefault="005F106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A16EA" w:rsidRDefault="005F106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A16EA" w:rsidRDefault="005F10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A16EA" w:rsidRDefault="005F10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A16EA" w:rsidRDefault="005F106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A16EA" w:rsidRDefault="005F106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A16EA" w:rsidRDefault="005F106E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A16EA" w:rsidRDefault="005F10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A16EA" w:rsidRDefault="009A16EA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9A16EA">
        <w:trPr>
          <w:cantSplit/>
        </w:trPr>
        <w:tc>
          <w:tcPr>
            <w:tcW w:w="2090" w:type="dxa"/>
          </w:tcPr>
          <w:p w:rsidR="009A16EA" w:rsidRDefault="009A16EA">
            <w:hyperlink r:id="rId87" w:history="1">
              <w:r w:rsidR="005F106E">
                <w:rPr>
                  <w:rStyle w:val="Hyperlink"/>
                  <w:sz w:val="20"/>
                </w:rPr>
                <w:t>H.265 (V6)</w:t>
              </w:r>
            </w:hyperlink>
          </w:p>
        </w:tc>
        <w:tc>
          <w:tcPr>
            <w:tcW w:w="4000" w:type="dxa"/>
          </w:tcPr>
          <w:p w:rsidR="009A16EA" w:rsidRDefault="005F106E">
            <w:r>
              <w:t>High efficiency video coding (</w:t>
            </w:r>
            <w:hyperlink r:id="rId8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2019-06-01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2019-06-28</w:t>
            </w:r>
          </w:p>
        </w:tc>
        <w:tc>
          <w:tcPr>
            <w:tcW w:w="88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6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A16EA">
        <w:trPr>
          <w:cantSplit/>
        </w:trPr>
        <w:tc>
          <w:tcPr>
            <w:tcW w:w="2090" w:type="dxa"/>
          </w:tcPr>
          <w:p w:rsidR="009A16EA" w:rsidRDefault="009A16EA">
            <w:hyperlink r:id="rId89" w:history="1">
              <w:r w:rsidR="005F106E">
                <w:rPr>
                  <w:rStyle w:val="Hyperlink"/>
                  <w:sz w:val="20"/>
                </w:rPr>
                <w:t>H.871 (F.WAAD)</w:t>
              </w:r>
            </w:hyperlink>
          </w:p>
        </w:tc>
        <w:tc>
          <w:tcPr>
            <w:tcW w:w="4000" w:type="dxa"/>
          </w:tcPr>
          <w:p w:rsidR="009A16EA" w:rsidRDefault="005F106E">
            <w:r>
              <w:t>Safe listening guidelines for personal sound amplifiers (</w:t>
            </w:r>
            <w:hyperlink r:id="rId90" w:history="1">
              <w:r>
                <w:rPr>
                  <w:rStyle w:val="Hyperlink"/>
                  <w:sz w:val="20"/>
                </w:rPr>
                <w:t>Sum</w:t>
              </w:r>
              <w:r>
                <w:rPr>
                  <w:rStyle w:val="Hyperlink"/>
                  <w:sz w:val="20"/>
                </w:rPr>
                <w:t>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6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A16EA">
        <w:trPr>
          <w:cantSplit/>
        </w:trPr>
        <w:tc>
          <w:tcPr>
            <w:tcW w:w="2090" w:type="dxa"/>
          </w:tcPr>
          <w:p w:rsidR="009A16EA" w:rsidRDefault="009A16EA">
            <w:hyperlink r:id="rId91" w:history="1">
              <w:r w:rsidR="005F106E">
                <w:rPr>
                  <w:rStyle w:val="Hyperlink"/>
                  <w:sz w:val="20"/>
                </w:rPr>
                <w:t>T.832 (V4)</w:t>
              </w:r>
            </w:hyperlink>
          </w:p>
        </w:tc>
        <w:tc>
          <w:tcPr>
            <w:tcW w:w="4000" w:type="dxa"/>
          </w:tcPr>
          <w:p w:rsidR="009A16EA" w:rsidRDefault="005F106E">
            <w:r>
              <w:t>Information technology - JPEG XR image coding system - Image coding specification (</w:t>
            </w:r>
            <w:hyperlink r:id="rId9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2019-06-01</w:t>
            </w:r>
          </w:p>
        </w:tc>
        <w:tc>
          <w:tcPr>
            <w:tcW w:w="115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2019-06-28</w:t>
            </w:r>
          </w:p>
        </w:tc>
        <w:tc>
          <w:tcPr>
            <w:tcW w:w="88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115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80" w:type="dxa"/>
          </w:tcPr>
          <w:p w:rsidR="009A16EA" w:rsidRDefault="009A16EA">
            <w:pPr>
              <w:jc w:val="center"/>
            </w:pPr>
          </w:p>
        </w:tc>
        <w:tc>
          <w:tcPr>
            <w:tcW w:w="860" w:type="dxa"/>
          </w:tcPr>
          <w:p w:rsidR="009A16EA" w:rsidRDefault="005F106E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9A16EA" w:rsidRDefault="009A16EA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9A16EA">
          <w:headerReference w:type="default" r:id="rId93"/>
          <w:footerReference w:type="default" r:id="rId94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9A16EA" w:rsidRDefault="005F106E">
      <w:r>
        <w:lastRenderedPageBreak/>
        <w:t>Annex 2</w:t>
      </w:r>
    </w:p>
    <w:p w:rsidR="009A16EA" w:rsidRDefault="005F106E">
      <w:pPr>
        <w:jc w:val="center"/>
        <w:rPr>
          <w:szCs w:val="22"/>
        </w:rPr>
      </w:pPr>
      <w:r>
        <w:rPr>
          <w:szCs w:val="22"/>
        </w:rPr>
        <w:t>(to TSB AAP-61)</w:t>
      </w:r>
    </w:p>
    <w:p w:rsidR="009A16EA" w:rsidRDefault="005F106E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9A16EA" w:rsidRDefault="005F106E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9A16EA" w:rsidRDefault="005F106E">
      <w:r>
        <w:t>1)</w:t>
      </w:r>
      <w:r>
        <w:tab/>
        <w:t xml:space="preserve">Go to AAP search Web page at </w:t>
      </w:r>
      <w:hyperlink r:id="rId95" w:history="1">
        <w:r>
          <w:rPr>
            <w:rStyle w:val="Hyperlink"/>
            <w:szCs w:val="22"/>
          </w:rPr>
          <w:t>http://www.itu.int/ITU-T/aap/</w:t>
        </w:r>
      </w:hyperlink>
    </w:p>
    <w:p w:rsidR="009A16EA" w:rsidRDefault="00627DA9">
      <w:pPr>
        <w:jc w:val="center"/>
      </w:pPr>
      <w:r>
        <w:rPr>
          <w:noProof/>
          <w:lang w:val="en-US"/>
        </w:rPr>
        <w:drawing>
          <wp:inline distT="0" distB="0" distL="0" distR="0">
            <wp:extent cx="3267075" cy="2162175"/>
            <wp:effectExtent l="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EA" w:rsidRDefault="005F106E">
      <w:r>
        <w:t>2)</w:t>
      </w:r>
      <w:r>
        <w:tab/>
        <w:t>Select your Recommendation</w:t>
      </w:r>
    </w:p>
    <w:p w:rsidR="009A16EA" w:rsidRDefault="00627DA9">
      <w:pPr>
        <w:jc w:val="center"/>
        <w:rPr>
          <w:sz w:val="24"/>
        </w:rPr>
      </w:pPr>
      <w:r w:rsidRPr="009A16EA">
        <w:rPr>
          <w:noProof/>
          <w:sz w:val="24"/>
          <w:lang w:val="en-US"/>
        </w:rPr>
        <w:drawing>
          <wp:inline distT="0" distB="0" distL="0" distR="0">
            <wp:extent cx="5400675" cy="3219450"/>
            <wp:effectExtent l="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EA" w:rsidRDefault="005F106E">
      <w:pPr>
        <w:keepNext/>
      </w:pPr>
      <w:r>
        <w:lastRenderedPageBreak/>
        <w:t>3)</w:t>
      </w:r>
      <w:r>
        <w:tab/>
        <w:t>Click the "Submit Comment" button</w:t>
      </w:r>
    </w:p>
    <w:p w:rsidR="009A16EA" w:rsidRDefault="00627DA9">
      <w:pPr>
        <w:jc w:val="center"/>
      </w:pPr>
      <w:r>
        <w:rPr>
          <w:noProof/>
          <w:lang w:val="en-US"/>
        </w:rPr>
        <w:drawing>
          <wp:inline distT="0" distB="0" distL="0" distR="0">
            <wp:extent cx="5448300" cy="3181350"/>
            <wp:effectExtent l="0" t="0" r="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EA" w:rsidRDefault="005F106E">
      <w:r>
        <w:t>4)</w:t>
      </w:r>
      <w:r>
        <w:tab/>
        <w:t>Complete th</w:t>
      </w:r>
      <w:r>
        <w:t>e on-line form and click on "Submit"</w:t>
      </w:r>
    </w:p>
    <w:p w:rsidR="009A16EA" w:rsidRDefault="00627DA9">
      <w:pPr>
        <w:jc w:val="center"/>
      </w:pPr>
      <w:r>
        <w:rPr>
          <w:noProof/>
          <w:lang w:val="en-US"/>
        </w:rPr>
        <w:drawing>
          <wp:inline distT="0" distB="0" distL="0" distR="0">
            <wp:extent cx="505777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EA" w:rsidRDefault="005F106E">
      <w:r>
        <w:t>For more information, read the AAP tutorial on:</w:t>
      </w:r>
      <w:r>
        <w:tab/>
      </w:r>
      <w:r>
        <w:br/>
      </w:r>
      <w:hyperlink r:id="rId100" w:history="1">
        <w:r>
          <w:rPr>
            <w:rStyle w:val="Hyperlink"/>
          </w:rPr>
          <w:t>http://www.itu.int/ITU-T/aapinfo/files/AAPTutorial.pdf</w:t>
        </w:r>
      </w:hyperlink>
    </w:p>
    <w:p w:rsidR="009A16EA" w:rsidRDefault="005F106E">
      <w:r>
        <w:br w:type="page"/>
      </w:r>
      <w:r>
        <w:lastRenderedPageBreak/>
        <w:t>Annex 3</w:t>
      </w:r>
    </w:p>
    <w:p w:rsidR="009A16EA" w:rsidRDefault="005F106E">
      <w:pPr>
        <w:jc w:val="center"/>
        <w:rPr>
          <w:szCs w:val="22"/>
        </w:rPr>
      </w:pPr>
      <w:r>
        <w:rPr>
          <w:szCs w:val="22"/>
        </w:rPr>
        <w:t>(to TSB AAP-61)</w:t>
      </w:r>
    </w:p>
    <w:p w:rsidR="009A16EA" w:rsidRDefault="005F106E">
      <w:pPr>
        <w:pStyle w:val="Headingb"/>
        <w:jc w:val="center"/>
        <w:rPr>
          <w:szCs w:val="22"/>
        </w:rPr>
      </w:pPr>
      <w:r>
        <w:rPr>
          <w:szCs w:val="22"/>
        </w:rPr>
        <w:t>Recommendations u</w:t>
      </w:r>
      <w:r>
        <w:rPr>
          <w:szCs w:val="22"/>
        </w:rPr>
        <w:t>nder LC/AR – Comment submission form</w:t>
      </w:r>
    </w:p>
    <w:p w:rsidR="009A16EA" w:rsidRDefault="005F106E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9A16EA">
        <w:tc>
          <w:tcPr>
            <w:tcW w:w="5000" w:type="pct"/>
            <w:gridSpan w:val="2"/>
            <w:shd w:val="clear" w:color="auto" w:fill="EFFAFF"/>
          </w:tcPr>
          <w:p w:rsidR="009A16EA" w:rsidRDefault="005F106E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9A16E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A16EA" w:rsidRDefault="005F106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9A16EA" w:rsidRDefault="009A16EA">
            <w:pPr>
              <w:pStyle w:val="Tabletext"/>
            </w:pPr>
          </w:p>
        </w:tc>
      </w:tr>
      <w:tr w:rsidR="009A16E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A16EA" w:rsidRDefault="005F106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A16EA" w:rsidRDefault="009A16EA">
            <w:pPr>
              <w:pStyle w:val="Tabletext"/>
            </w:pPr>
          </w:p>
        </w:tc>
      </w:tr>
      <w:tr w:rsidR="009A16E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A16EA" w:rsidRDefault="005F106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A16EA" w:rsidRDefault="009A16EA">
            <w:pPr>
              <w:pStyle w:val="Tabletext"/>
            </w:pPr>
          </w:p>
        </w:tc>
      </w:tr>
      <w:tr w:rsidR="009A16EA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9A16EA" w:rsidRDefault="005F106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9A16EA" w:rsidRDefault="005F106E">
            <w:pPr>
              <w:pStyle w:val="Tabletext"/>
            </w:pPr>
            <w:r>
              <w:br/>
            </w:r>
            <w:r w:rsidR="009A16E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A16EA">
              <w:fldChar w:fldCharType="separate"/>
            </w:r>
            <w:r w:rsidR="009A16EA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9A16E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A16EA">
              <w:fldChar w:fldCharType="separate"/>
            </w:r>
            <w:r w:rsidR="009A16EA">
              <w:fldChar w:fldCharType="end"/>
            </w:r>
            <w:r>
              <w:t xml:space="preserve"> Additional Review (AR)</w:t>
            </w:r>
          </w:p>
        </w:tc>
      </w:tr>
      <w:tr w:rsidR="009A16E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A16EA" w:rsidRDefault="005F106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9A16EA" w:rsidRDefault="009A16EA">
            <w:pPr>
              <w:pStyle w:val="Tabletext"/>
            </w:pPr>
          </w:p>
        </w:tc>
      </w:tr>
      <w:tr w:rsidR="009A16E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A16EA" w:rsidRDefault="005F106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A16EA" w:rsidRDefault="009A16EA">
            <w:pPr>
              <w:pStyle w:val="Tabletext"/>
            </w:pPr>
          </w:p>
        </w:tc>
      </w:tr>
      <w:tr w:rsidR="009A16E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A16EA" w:rsidRDefault="005F106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A16EA" w:rsidRDefault="009A16EA">
            <w:pPr>
              <w:pStyle w:val="Tabletext"/>
            </w:pPr>
          </w:p>
        </w:tc>
      </w:tr>
      <w:tr w:rsidR="009A16E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A16EA" w:rsidRDefault="005F106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A16EA" w:rsidRDefault="009A16EA">
            <w:pPr>
              <w:pStyle w:val="Tabletext"/>
            </w:pPr>
          </w:p>
        </w:tc>
      </w:tr>
      <w:tr w:rsidR="009A16E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A16EA" w:rsidRDefault="005F106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A16EA" w:rsidRDefault="009A16EA">
            <w:pPr>
              <w:pStyle w:val="Tabletext"/>
            </w:pPr>
          </w:p>
        </w:tc>
      </w:tr>
      <w:tr w:rsidR="009A16E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A16EA" w:rsidRDefault="005F106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A16EA" w:rsidRDefault="009A16EA">
            <w:pPr>
              <w:pStyle w:val="Tabletext"/>
            </w:pPr>
          </w:p>
        </w:tc>
      </w:tr>
      <w:tr w:rsidR="009A16E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A16EA" w:rsidRDefault="005F106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A16EA" w:rsidRDefault="009A16EA">
            <w:pPr>
              <w:pStyle w:val="Tabletext"/>
            </w:pPr>
          </w:p>
        </w:tc>
      </w:tr>
      <w:tr w:rsidR="009A16EA">
        <w:tc>
          <w:tcPr>
            <w:tcW w:w="1623" w:type="pct"/>
            <w:shd w:val="clear" w:color="auto" w:fill="EFFAFF"/>
            <w:vAlign w:val="center"/>
          </w:tcPr>
          <w:p w:rsidR="009A16EA" w:rsidRDefault="005F106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9A16EA" w:rsidRDefault="005F106E">
            <w:pPr>
              <w:pStyle w:val="Tabletext"/>
            </w:pPr>
            <w:r>
              <w:br/>
            </w:r>
            <w:r w:rsidR="009A16E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A16EA">
              <w:fldChar w:fldCharType="separate"/>
            </w:r>
            <w:r w:rsidR="009A16EA">
              <w:fldChar w:fldCharType="end"/>
            </w:r>
            <w:r>
              <w:t xml:space="preserve"> We do not support this t</w:t>
            </w:r>
            <w:r>
              <w:t>ext. Reasons are given in the attachment.</w:t>
            </w:r>
            <w:r>
              <w:br/>
            </w:r>
            <w:r>
              <w:br/>
            </w:r>
            <w:r w:rsidR="009A16E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A16EA">
              <w:fldChar w:fldCharType="separate"/>
            </w:r>
            <w:r w:rsidR="009A16EA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9A16EA">
        <w:tc>
          <w:tcPr>
            <w:tcW w:w="1623" w:type="pct"/>
            <w:shd w:val="clear" w:color="auto" w:fill="EFFAFF"/>
            <w:vAlign w:val="center"/>
          </w:tcPr>
          <w:p w:rsidR="009A16EA" w:rsidRDefault="005F106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9A16EA" w:rsidRDefault="005F106E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9A16EA" w:rsidRDefault="005F106E">
      <w:pPr>
        <w:rPr>
          <w:szCs w:val="22"/>
        </w:rPr>
      </w:pPr>
      <w:r>
        <w:tab/>
      </w:r>
      <w:r w:rsidR="009A16EA" w:rsidRPr="009A16EA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A16EA">
        <w:rPr>
          <w:szCs w:val="22"/>
        </w:rPr>
      </w:r>
      <w:r w:rsidR="009A16EA">
        <w:rPr>
          <w:szCs w:val="22"/>
        </w:rPr>
        <w:fldChar w:fldCharType="separate"/>
      </w:r>
      <w:r w:rsidR="009A16EA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9A16EA" w:rsidRDefault="005F106E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01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9A16EA" w:rsidRDefault="009A16EA">
      <w:pPr>
        <w:rPr>
          <w:i/>
          <w:iCs/>
          <w:szCs w:val="22"/>
        </w:rPr>
      </w:pPr>
    </w:p>
    <w:sectPr w:rsidR="009A16EA" w:rsidSect="009A16EA">
      <w:headerReference w:type="default" r:id="rId102"/>
      <w:footerReference w:type="default" r:id="rId103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06E" w:rsidRDefault="005F106E">
      <w:r>
        <w:separator/>
      </w:r>
    </w:p>
  </w:endnote>
  <w:endnote w:type="continuationSeparator" w:id="0">
    <w:p w:rsidR="005F106E" w:rsidRDefault="005F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EA" w:rsidRDefault="005F106E">
    <w:pPr>
      <w:pStyle w:val="Footer"/>
    </w:pPr>
    <w:r>
      <w:rPr>
        <w:sz w:val="18"/>
        <w:szCs w:val="18"/>
        <w:lang w:val="en-US"/>
      </w:rPr>
      <w:t>TSB AAP-61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2019-07-01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9A16EA">
      <w:tc>
        <w:tcPr>
          <w:tcW w:w="1985" w:type="dxa"/>
        </w:tcPr>
        <w:p w:rsidR="009A16EA" w:rsidRDefault="005F106E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9A16EA" w:rsidRDefault="005F106E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9A16EA" w:rsidRDefault="005F106E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9A16EA" w:rsidRDefault="005F106E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9A16EA" w:rsidRDefault="005F106E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9A16EA" w:rsidRDefault="009A16EA">
    <w:pPr>
      <w:pStyle w:val="Table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EA" w:rsidRDefault="005F106E">
    <w:pPr>
      <w:pStyle w:val="Footer"/>
    </w:pPr>
    <w:r>
      <w:rPr>
        <w:sz w:val="18"/>
        <w:szCs w:val="18"/>
        <w:lang w:val="en-US"/>
      </w:rPr>
      <w:t>TSB AAP-61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2019-07-01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EA" w:rsidRDefault="005F106E">
    <w:pPr>
      <w:pStyle w:val="Footer"/>
    </w:pPr>
    <w:r>
      <w:rPr>
        <w:sz w:val="18"/>
        <w:szCs w:val="18"/>
        <w:lang w:val="en-US"/>
      </w:rPr>
      <w:t>TSB AAP-61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2019-07-01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06E" w:rsidRDefault="005F106E">
      <w:r>
        <w:t>____________________</w:t>
      </w:r>
    </w:p>
  </w:footnote>
  <w:footnote w:type="continuationSeparator" w:id="0">
    <w:p w:rsidR="005F106E" w:rsidRDefault="005F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EA" w:rsidRDefault="005F106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A16E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A16EA">
      <w:rPr>
        <w:rStyle w:val="PageNumber"/>
        <w:szCs w:val="18"/>
      </w:rPr>
      <w:fldChar w:fldCharType="separate"/>
    </w:r>
    <w:r w:rsidR="00627DA9">
      <w:rPr>
        <w:rStyle w:val="PageNumber"/>
        <w:noProof/>
        <w:szCs w:val="18"/>
      </w:rPr>
      <w:t>2</w:t>
    </w:r>
    <w:r w:rsidR="009A16E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EA" w:rsidRDefault="005F106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A16E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A16EA">
      <w:rPr>
        <w:rStyle w:val="PageNumber"/>
        <w:szCs w:val="18"/>
      </w:rPr>
      <w:fldChar w:fldCharType="separate"/>
    </w:r>
    <w:r w:rsidR="00627DA9">
      <w:rPr>
        <w:rStyle w:val="PageNumber"/>
        <w:noProof/>
        <w:szCs w:val="18"/>
      </w:rPr>
      <w:t>9</w:t>
    </w:r>
    <w:r w:rsidR="009A16E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EA" w:rsidRDefault="005F106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A16E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A16EA">
      <w:rPr>
        <w:rStyle w:val="PageNumber"/>
        <w:szCs w:val="18"/>
      </w:rPr>
      <w:fldChar w:fldCharType="separate"/>
    </w:r>
    <w:r w:rsidR="00627DA9">
      <w:rPr>
        <w:rStyle w:val="PageNumber"/>
        <w:noProof/>
        <w:szCs w:val="18"/>
      </w:rPr>
      <w:t>13</w:t>
    </w:r>
    <w:r w:rsidR="009A16E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EA"/>
    <w:rsid w:val="005F106E"/>
    <w:rsid w:val="00627DA9"/>
    <w:rsid w:val="009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C490D0-A9AD-4698-A089-BE312C07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2@itu.int" TargetMode="External"/><Relationship Id="rId21" Type="http://schemas.openxmlformats.org/officeDocument/2006/relationships/hyperlink" Target="http://www.itu.int/ITU-T/studygroups/com09" TargetMode="External"/><Relationship Id="rId42" Type="http://schemas.openxmlformats.org/officeDocument/2006/relationships/hyperlink" Target="https://www.itu.int/ITU-T/aap/dologin_aap.asp?id=T010200210E0801MSWE.docx&amp;group=9" TargetMode="External"/><Relationship Id="rId47" Type="http://schemas.openxmlformats.org/officeDocument/2006/relationships/hyperlink" Target="http://www.itu.int/itu-t/aap/AAPRecDetails.aspx?AAPSeqNo=8464" TargetMode="External"/><Relationship Id="rId63" Type="http://schemas.openxmlformats.org/officeDocument/2006/relationships/hyperlink" Target="http://www.itu.int/itu-t/aap/AAPRecDetails.aspx?AAPSeqNo=8430" TargetMode="External"/><Relationship Id="rId68" Type="http://schemas.openxmlformats.org/officeDocument/2006/relationships/hyperlink" Target="https://www.itu.int/ITU-T/aap/dologin_aap.asp?id=T01020020F00801MSWE.docx&amp;group=12" TargetMode="External"/><Relationship Id="rId84" Type="http://schemas.openxmlformats.org/officeDocument/2006/relationships/hyperlink" Target="https://www.itu.int/ITU-T/aap/dologin_aap.asp?id=T01020020F70801MSWE.docx&amp;group=12" TargetMode="External"/><Relationship Id="rId89" Type="http://schemas.openxmlformats.org/officeDocument/2006/relationships/hyperlink" Target="http://www.itu.int/itu-t/aap/AAPRecDetails.aspx?AAPSeqNo=8471" TargetMode="External"/><Relationship Id="rId16" Type="http://schemas.openxmlformats.org/officeDocument/2006/relationships/hyperlink" Target="mailto:tsbsg2@itu.int" TargetMode="External"/><Relationship Id="rId11" Type="http://schemas.openxmlformats.org/officeDocument/2006/relationships/footer" Target="footer2.xml"/><Relationship Id="rId32" Type="http://schemas.openxmlformats.org/officeDocument/2006/relationships/hyperlink" Target="mailto:tsbsg16@itu.int" TargetMode="External"/><Relationship Id="rId37" Type="http://schemas.openxmlformats.org/officeDocument/2006/relationships/hyperlink" Target="http://www.itu.int/itu-t/aap/AAPRecDetails.aspx?AAPSeqNo=8466" TargetMode="External"/><Relationship Id="rId53" Type="http://schemas.openxmlformats.org/officeDocument/2006/relationships/hyperlink" Target="http://www.itu.int/itu-t/aap/AAPRecDetails.aspx?AAPSeqNo=8468" TargetMode="External"/><Relationship Id="rId58" Type="http://schemas.openxmlformats.org/officeDocument/2006/relationships/hyperlink" Target="https://www.itu.int/ITU-T/aap/dologin_aap.asp?id=T01020021180801MSWE.docx&amp;group=11" TargetMode="External"/><Relationship Id="rId74" Type="http://schemas.openxmlformats.org/officeDocument/2006/relationships/hyperlink" Target="https://www.itu.int/ITU-T/aap/dologin_aap.asp?id=T01020020F30802MSWE.docx&amp;group=12" TargetMode="External"/><Relationship Id="rId79" Type="http://schemas.openxmlformats.org/officeDocument/2006/relationships/hyperlink" Target="http://www.itu.int/itu-t/aap/AAPRecDetails.aspx?AAPSeqNo=8436" TargetMode="External"/><Relationship Id="rId102" Type="http://schemas.openxmlformats.org/officeDocument/2006/relationships/header" Target="header3.xml"/><Relationship Id="rId5" Type="http://schemas.openxmlformats.org/officeDocument/2006/relationships/footnotes" Target="footnotes.xml"/><Relationship Id="rId90" Type="http://schemas.openxmlformats.org/officeDocument/2006/relationships/hyperlink" Target="https://www.itu.int/ITU-T/aap/dologin_aap.asp?id=T01020021170801MSWE.docx&amp;group=16" TargetMode="External"/><Relationship Id="rId95" Type="http://schemas.openxmlformats.org/officeDocument/2006/relationships/hyperlink" Target="http://www.itu.int/ITU-T/aap/" TargetMode="External"/><Relationship Id="rId22" Type="http://schemas.openxmlformats.org/officeDocument/2006/relationships/hyperlink" Target="mailto:tsbsg9@itu.int" TargetMode="External"/><Relationship Id="rId27" Type="http://schemas.openxmlformats.org/officeDocument/2006/relationships/hyperlink" Target="http://www.itu.int/ITU-T/studygroups/com13" TargetMode="External"/><Relationship Id="rId43" Type="http://schemas.openxmlformats.org/officeDocument/2006/relationships/hyperlink" Target="http://www.itu.int/itu-t/aap/AAPRecDetails.aspx?AAPSeqNo=8461" TargetMode="External"/><Relationship Id="rId48" Type="http://schemas.openxmlformats.org/officeDocument/2006/relationships/hyperlink" Target="https://www.itu.int/ITU-T/aap/dologin_aap.asp?id=T01020021100801MSWE.docx&amp;group=9" TargetMode="External"/><Relationship Id="rId64" Type="http://schemas.openxmlformats.org/officeDocument/2006/relationships/hyperlink" Target="https://www.itu.int/ITU-T/aap/dologin_aap.asp?id=T01020020EE0801MSWE.docx&amp;group=12" TargetMode="External"/><Relationship Id="rId69" Type="http://schemas.openxmlformats.org/officeDocument/2006/relationships/hyperlink" Target="http://www.itu.int/itu-t/aap/AAPRecDetails.aspx?AAPSeqNo=8433" TargetMode="External"/><Relationship Id="rId80" Type="http://schemas.openxmlformats.org/officeDocument/2006/relationships/hyperlink" Target="https://www.itu.int/ITU-T/aap/dologin_aap.asp?id=T01020020F40801MSWE.docx&amp;group=12" TargetMode="External"/><Relationship Id="rId85" Type="http://schemas.openxmlformats.org/officeDocument/2006/relationships/hyperlink" Target="http://www.itu.int/itu-t/aap/AAPRecDetails.aspx?AAPSeqNo=8390" TargetMode="External"/><Relationship Id="rId12" Type="http://schemas.openxmlformats.org/officeDocument/2006/relationships/hyperlink" Target="http://www.itu.int/ITU-T/" TargetMode="External"/><Relationship Id="rId17" Type="http://schemas.openxmlformats.org/officeDocument/2006/relationships/hyperlink" Target="http://www.itu.int/ITU-T/studygroups/com03" TargetMode="External"/><Relationship Id="rId33" Type="http://schemas.openxmlformats.org/officeDocument/2006/relationships/hyperlink" Target="http://www.itu.int/ITU-T/studygroups/com17" TargetMode="External"/><Relationship Id="rId38" Type="http://schemas.openxmlformats.org/officeDocument/2006/relationships/hyperlink" Target="https://www.itu.int/ITU-T/aap/dologin_aap.asp?id=T01020021120801MSWE.docx&amp;group=9" TargetMode="External"/><Relationship Id="rId59" Type="http://schemas.openxmlformats.org/officeDocument/2006/relationships/hyperlink" Target="http://www.itu.int/itu-t/aap/AAPRecDetails.aspx?AAPSeqNo=8473" TargetMode="External"/><Relationship Id="rId103" Type="http://schemas.openxmlformats.org/officeDocument/2006/relationships/footer" Target="footer4.xml"/><Relationship Id="rId20" Type="http://schemas.openxmlformats.org/officeDocument/2006/relationships/hyperlink" Target="mailto:tsbsg5@itu.int" TargetMode="External"/><Relationship Id="rId41" Type="http://schemas.openxmlformats.org/officeDocument/2006/relationships/hyperlink" Target="http://www.itu.int/itu-t/aap/AAPRecDetails.aspx?AAPSeqNo=8462" TargetMode="External"/><Relationship Id="rId54" Type="http://schemas.openxmlformats.org/officeDocument/2006/relationships/hyperlink" Target="https://www.itu.int/ITU-T/aap/dologin_aap.asp?id=T01020021140801MSWE.docx&amp;group=9" TargetMode="External"/><Relationship Id="rId62" Type="http://schemas.openxmlformats.org/officeDocument/2006/relationships/hyperlink" Target="https://www.itu.int/ITU-T/aap/dologin_aap.asp?id=T010200211A0801MSWE.docx&amp;group=11" TargetMode="External"/><Relationship Id="rId70" Type="http://schemas.openxmlformats.org/officeDocument/2006/relationships/hyperlink" Target="https://www.itu.int/ITU-T/aap/dologin_aap.asp?id=T01020020F10801MSWE.docx&amp;group=12" TargetMode="External"/><Relationship Id="rId75" Type="http://schemas.openxmlformats.org/officeDocument/2006/relationships/hyperlink" Target="http://www.itu.int/itu-t/aap/AAPRecDetails.aspx?AAPSeqNo=8437" TargetMode="External"/><Relationship Id="rId83" Type="http://schemas.openxmlformats.org/officeDocument/2006/relationships/hyperlink" Target="http://www.itu.int/itu-t/aap/AAPRecDetails.aspx?AAPSeqNo=8439" TargetMode="External"/><Relationship Id="rId88" Type="http://schemas.openxmlformats.org/officeDocument/2006/relationships/hyperlink" Target="https://www.itu.int/ITU-T/aap/dologin_aap.asp?id=T01020020E90801MSWE.docx&amp;group=16" TargetMode="External"/><Relationship Id="rId91" Type="http://schemas.openxmlformats.org/officeDocument/2006/relationships/hyperlink" Target="http://www.itu.int/itu-t/aap/AAPRecDetails.aspx?AAPSeqNo=8423" TargetMode="External"/><Relationship Id="rId96" Type="http://schemas.openxmlformats.org/officeDocument/2006/relationships/image" Target="media/image2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studygroups/com02" TargetMode="External"/><Relationship Id="rId23" Type="http://schemas.openxmlformats.org/officeDocument/2006/relationships/hyperlink" Target="http://www.itu.int/ITU-T/studygroups/com11" TargetMode="External"/><Relationship Id="rId28" Type="http://schemas.openxmlformats.org/officeDocument/2006/relationships/hyperlink" Target="mailto:tsbsg13@itu.int" TargetMode="External"/><Relationship Id="rId36" Type="http://schemas.openxmlformats.org/officeDocument/2006/relationships/hyperlink" Target="mailto:tsbsg20@itu.int" TargetMode="External"/><Relationship Id="rId49" Type="http://schemas.openxmlformats.org/officeDocument/2006/relationships/hyperlink" Target="http://www.itu.int/itu-t/aap/AAPRecDetails.aspx?AAPSeqNo=8465" TargetMode="External"/><Relationship Id="rId57" Type="http://schemas.openxmlformats.org/officeDocument/2006/relationships/hyperlink" Target="http://www.itu.int/itu-t/aap/AAPRecDetails.aspx?AAPSeqNo=8472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itu.int/ITU-T/studygroups/com16" TargetMode="External"/><Relationship Id="rId44" Type="http://schemas.openxmlformats.org/officeDocument/2006/relationships/hyperlink" Target="https://www.itu.int/ITU-T/aap/dologin_aap.asp?id=T010200210D0801MSWE.docx&amp;group=9" TargetMode="External"/><Relationship Id="rId52" Type="http://schemas.openxmlformats.org/officeDocument/2006/relationships/hyperlink" Target="https://www.itu.int/ITU-T/aap/dologin_aap.asp?id=T01020021130801MSWE.docx&amp;group=9" TargetMode="External"/><Relationship Id="rId60" Type="http://schemas.openxmlformats.org/officeDocument/2006/relationships/hyperlink" Target="https://www.itu.int/ITU-T/aap/dologin_aap.asp?id=T01020021190801MSWE.docx&amp;group=11" TargetMode="External"/><Relationship Id="rId65" Type="http://schemas.openxmlformats.org/officeDocument/2006/relationships/hyperlink" Target="http://www.itu.int/itu-t/aap/AAPRecDetails.aspx?AAPSeqNo=8431" TargetMode="External"/><Relationship Id="rId73" Type="http://schemas.openxmlformats.org/officeDocument/2006/relationships/hyperlink" Target="http://www.itu.int/itu-t/aap/AAPRecDetails.aspx?AAPSeqNo=8435" TargetMode="External"/><Relationship Id="rId78" Type="http://schemas.openxmlformats.org/officeDocument/2006/relationships/hyperlink" Target="https://www.itu.int/ITU-T/aap/dologin_aap.asp?id=T01020020F60801MSWE.docx&amp;group=12" TargetMode="External"/><Relationship Id="rId81" Type="http://schemas.openxmlformats.org/officeDocument/2006/relationships/hyperlink" Target="http://www.itu.int/itu-t/aap/AAPRecDetails.aspx?AAPSeqNo=8440" TargetMode="External"/><Relationship Id="rId86" Type="http://schemas.openxmlformats.org/officeDocument/2006/relationships/hyperlink" Target="https://www.itu.int/ITU-T/aap/dologin_aap.asp?id=T01020020C60801MSWE.docx&amp;group=13" TargetMode="External"/><Relationship Id="rId94" Type="http://schemas.openxmlformats.org/officeDocument/2006/relationships/footer" Target="footer3.xml"/><Relationship Id="rId99" Type="http://schemas.openxmlformats.org/officeDocument/2006/relationships/image" Target="media/image5.gif"/><Relationship Id="rId101" Type="http://schemas.openxmlformats.org/officeDocument/2006/relationships/hyperlink" Target="mailto:tsbsg....@itu.in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yperlink" Target="http://www.itu.int/ITU-T/aapinfo/" TargetMode="External"/><Relationship Id="rId18" Type="http://schemas.openxmlformats.org/officeDocument/2006/relationships/hyperlink" Target="mailto:tsbsg3@itu.int" TargetMode="External"/><Relationship Id="rId39" Type="http://schemas.openxmlformats.org/officeDocument/2006/relationships/hyperlink" Target="http://www.itu.int/itu-t/aap/AAPRecDetails.aspx?AAPSeqNo=8463" TargetMode="External"/><Relationship Id="rId34" Type="http://schemas.openxmlformats.org/officeDocument/2006/relationships/hyperlink" Target="mailto:tsbsg17@itu.int" TargetMode="External"/><Relationship Id="rId50" Type="http://schemas.openxmlformats.org/officeDocument/2006/relationships/hyperlink" Target="https://www.itu.int/ITU-T/aap/dologin_aap.asp?id=T01020021110801MSWE.docx&amp;group=9" TargetMode="External"/><Relationship Id="rId55" Type="http://schemas.openxmlformats.org/officeDocument/2006/relationships/hyperlink" Target="http://www.itu.int/itu-t/aap/AAPRecDetails.aspx?AAPSeqNo=8469" TargetMode="External"/><Relationship Id="rId76" Type="http://schemas.openxmlformats.org/officeDocument/2006/relationships/hyperlink" Target="https://www.itu.int/ITU-T/aap/dologin_aap.asp?id=T01020020F50801MSWE.doc&amp;group=12" TargetMode="External"/><Relationship Id="rId97" Type="http://schemas.openxmlformats.org/officeDocument/2006/relationships/image" Target="media/image3.gif"/><Relationship Id="rId104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AAPRecDetails.aspx?AAPSeqNo=8434" TargetMode="External"/><Relationship Id="rId92" Type="http://schemas.openxmlformats.org/officeDocument/2006/relationships/hyperlink" Target="https://www.itu.int/ITU-T/aap/dologin_aap.asp?id=T01020020E70801MSWE.docx&amp;group=16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u.int/ITU-T/studygroups/com15" TargetMode="External"/><Relationship Id="rId24" Type="http://schemas.openxmlformats.org/officeDocument/2006/relationships/hyperlink" Target="mailto:tsbsg11@itu.int" TargetMode="External"/><Relationship Id="rId40" Type="http://schemas.openxmlformats.org/officeDocument/2006/relationships/hyperlink" Target="https://www.itu.int/ITU-T/aap/dologin_aap.asp?id=T010200210F0801MSWE.docx&amp;group=9" TargetMode="External"/><Relationship Id="rId45" Type="http://schemas.openxmlformats.org/officeDocument/2006/relationships/hyperlink" Target="http://www.itu.int/itu-t/aap/AAPRecDetails.aspx?AAPSeqNo=8470" TargetMode="External"/><Relationship Id="rId66" Type="http://schemas.openxmlformats.org/officeDocument/2006/relationships/hyperlink" Target="https://www.itu.int/ITU-T/aap/dologin_aap.asp?id=T01020020EF0801MSWE.docx&amp;group=12" TargetMode="External"/><Relationship Id="rId87" Type="http://schemas.openxmlformats.org/officeDocument/2006/relationships/hyperlink" Target="http://www.itu.int/itu-t/aap/AAPRecDetails.aspx?AAPSeqNo=8425" TargetMode="External"/><Relationship Id="rId61" Type="http://schemas.openxmlformats.org/officeDocument/2006/relationships/hyperlink" Target="http://www.itu.int/itu-t/aap/AAPRecDetails.aspx?AAPSeqNo=8474" TargetMode="External"/><Relationship Id="rId82" Type="http://schemas.openxmlformats.org/officeDocument/2006/relationships/hyperlink" Target="https://www.itu.int/ITU-T/aap/dologin_aap.asp?id=T01020020F80801MSWE.docx&amp;group=12" TargetMode="External"/><Relationship Id="rId19" Type="http://schemas.openxmlformats.org/officeDocument/2006/relationships/hyperlink" Target="http://www.itu.int/ITU-T/studygroups/com05" TargetMode="External"/><Relationship Id="rId14" Type="http://schemas.openxmlformats.org/officeDocument/2006/relationships/hyperlink" Target="http://www.itu.int/ITU-T/aap/" TargetMode="External"/><Relationship Id="rId30" Type="http://schemas.openxmlformats.org/officeDocument/2006/relationships/hyperlink" Target="mailto:tsbsg15@itu.int" TargetMode="External"/><Relationship Id="rId35" Type="http://schemas.openxmlformats.org/officeDocument/2006/relationships/hyperlink" Target="http://www.itu.int/ITU-T/studygroups/com20" TargetMode="External"/><Relationship Id="rId56" Type="http://schemas.openxmlformats.org/officeDocument/2006/relationships/hyperlink" Target="https://www.itu.int/ITU-T/aap/dologin_aap.asp?id=T01020021150801MSWE.docx&amp;group=9" TargetMode="External"/><Relationship Id="rId77" Type="http://schemas.openxmlformats.org/officeDocument/2006/relationships/hyperlink" Target="http://www.itu.int/itu-t/aap/AAPRecDetails.aspx?AAPSeqNo=8438" TargetMode="External"/><Relationship Id="rId100" Type="http://schemas.openxmlformats.org/officeDocument/2006/relationships/hyperlink" Target="http://www.itu.int/ITU-T/aapinfo/files/AAPTutorial.pdf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itu.int/ITU-T/aap/" TargetMode="External"/><Relationship Id="rId51" Type="http://schemas.openxmlformats.org/officeDocument/2006/relationships/hyperlink" Target="http://www.itu.int/itu-t/aap/AAPRecDetails.aspx?AAPSeqNo=8467" TargetMode="External"/><Relationship Id="rId72" Type="http://schemas.openxmlformats.org/officeDocument/2006/relationships/hyperlink" Target="https://www.itu.int/ITU-T/aap/dologin_aap.asp?id=T01020020F20801MSWE.docx&amp;group=12" TargetMode="External"/><Relationship Id="rId93" Type="http://schemas.openxmlformats.org/officeDocument/2006/relationships/header" Target="header2.xml"/><Relationship Id="rId98" Type="http://schemas.openxmlformats.org/officeDocument/2006/relationships/image" Target="media/image4.gif"/><Relationship Id="rId3" Type="http://schemas.openxmlformats.org/officeDocument/2006/relationships/settings" Target="settings.xml"/><Relationship Id="rId25" Type="http://schemas.openxmlformats.org/officeDocument/2006/relationships/hyperlink" Target="http://www.itu.int/ITU-T/studygroups/com12" TargetMode="External"/><Relationship Id="rId46" Type="http://schemas.openxmlformats.org/officeDocument/2006/relationships/hyperlink" Target="https://www.itu.int/ITU-T/aap/dologin_aap.asp?id=T01020021160801MSWE.docx&amp;group=9" TargetMode="External"/><Relationship Id="rId67" Type="http://schemas.openxmlformats.org/officeDocument/2006/relationships/hyperlink" Target="http://www.itu.int/itu-t/aap/AAPRecDetails.aspx?AAPSeqNo=8432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 (RC)</dc:creator>
  <cp:keywords/>
  <dc:description/>
  <cp:lastModifiedBy>TSB (RC)</cp:lastModifiedBy>
  <cp:revision>2</cp:revision>
  <dcterms:created xsi:type="dcterms:W3CDTF">2019-06-29T06:05:00Z</dcterms:created>
  <dcterms:modified xsi:type="dcterms:W3CDTF">2019-06-29T06:05:00Z</dcterms:modified>
</cp:coreProperties>
</file>