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BC458A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8A" w:rsidRDefault="00BC458A">
            <w:pPr>
              <w:jc w:val="center"/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8A" w:rsidRDefault="0076628D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BC458A" w:rsidRDefault="0076628D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C458A" w:rsidRDefault="00F01B65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2315" cy="75057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58A" w:rsidRDefault="00BC458A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C458A">
        <w:trPr>
          <w:cantSplit/>
          <w:trHeight w:val="340"/>
        </w:trPr>
        <w:tc>
          <w:tcPr>
            <w:tcW w:w="1533" w:type="dxa"/>
          </w:tcPr>
          <w:p w:rsidR="00BC458A" w:rsidRDefault="00BC458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BC458A" w:rsidRDefault="00BC458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BC458A" w:rsidRDefault="0076628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proofErr w:type="spellStart"/>
            <w:r>
              <w:rPr>
                <w:rFonts w:cs="Traditional Arabic"/>
                <w:sz w:val="21"/>
                <w:szCs w:val="22"/>
                <w:lang w:bidi="ar-EG"/>
              </w:rPr>
              <w:t>ديسمبر</w:t>
            </w:r>
            <w:proofErr w:type="spellEnd"/>
            <w:r>
              <w:rPr>
                <w:rFonts w:cs="Traditional Arabic"/>
                <w:sz w:val="21"/>
                <w:szCs w:val="22"/>
                <w:lang w:bidi="ar-EG"/>
              </w:rPr>
              <w:t xml:space="preserve"> 2018</w:t>
            </w:r>
          </w:p>
          <w:p w:rsidR="00BC458A" w:rsidRDefault="00BC458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BC458A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BC458A" w:rsidRDefault="0076628D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BC458A" w:rsidRDefault="0076628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BC458A" w:rsidRDefault="0076628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BC458A" w:rsidRDefault="0076628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BC458A" w:rsidRDefault="0076628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BC458A" w:rsidRDefault="0076628D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AAP-48</w:t>
            </w:r>
          </w:p>
          <w:p w:rsidR="00BC458A" w:rsidRDefault="0076628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BC458A" w:rsidRDefault="0076628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BC458A" w:rsidRDefault="0076628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BC458A" w:rsidRDefault="0076628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BC458A" w:rsidRDefault="00BC458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BC458A" w:rsidRDefault="0076628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BC458A" w:rsidRDefault="00BC458A">
      <w:pPr>
        <w:bidi/>
        <w:spacing w:line="300" w:lineRule="exact"/>
        <w:rPr>
          <w:rFonts w:cs="Traditional Arabic"/>
          <w:szCs w:val="30"/>
          <w:rtl/>
        </w:rPr>
      </w:pPr>
    </w:p>
    <w:p w:rsidR="00BC458A" w:rsidRDefault="0076628D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BC458A" w:rsidRDefault="00BC458A">
      <w:pPr>
        <w:bidi/>
        <w:spacing w:line="300" w:lineRule="exact"/>
        <w:rPr>
          <w:rFonts w:cs="Traditional Arabic"/>
          <w:szCs w:val="30"/>
          <w:rtl/>
        </w:rPr>
      </w:pPr>
    </w:p>
    <w:p w:rsidR="00BC458A" w:rsidRDefault="0076628D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BC458A" w:rsidRDefault="0076628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BC458A" w:rsidRDefault="0076628D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BC458A" w:rsidRDefault="0076628D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BC458A" w:rsidRDefault="0076628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r w:rsidR="00BC458A" w:rsidRPr="00BC458A">
        <w:rPr>
          <w:rStyle w:val="Hyperlink"/>
          <w:rFonts w:cs="Traditional Arabic"/>
          <w:bCs/>
          <w:szCs w:val="30"/>
        </w:rPr>
        <w:fldChar w:fldCharType="begin"/>
      </w:r>
      <w:r w:rsidR="00BC458A" w:rsidRPr="00BC458A">
        <w:rPr>
          <w:rStyle w:val="Hyperlink"/>
          <w:rFonts w:cs="Traditional Arabic"/>
          <w:bCs/>
          <w:szCs w:val="30"/>
        </w:rPr>
        <w:instrText xml:space="preserve"> HYPERLINK "http://www.itu.int/ITU-T/aap/" </w:instrText>
      </w:r>
      <w:r w:rsidR="00BC458A" w:rsidRPr="00BC458A">
        <w:rPr>
          <w:rStyle w:val="Hyperlink"/>
          <w:rFonts w:cs="Traditional Arabic"/>
          <w:bCs/>
          <w:szCs w:val="30"/>
        </w:rPr>
        <w:fldChar w:fldCharType="separate"/>
      </w:r>
      <w:r>
        <w:rPr>
          <w:rStyle w:val="Hyperlink"/>
          <w:rFonts w:cs="Traditional Arabic"/>
          <w:bCs/>
          <w:szCs w:val="30"/>
        </w:rPr>
        <w:t>http://www.itu.int/ITU-T/aap</w:t>
      </w:r>
      <w:r w:rsidR="00BC458A" w:rsidRPr="00BC458A">
        <w:rPr>
          <w:rStyle w:val="Hyperlink"/>
          <w:rFonts w:cs="Traditional Arabic"/>
          <w:bCs/>
          <w:szCs w:val="30"/>
        </w:rPr>
        <w:fldChar w:fldCharType="end"/>
      </w:r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BC458A" w:rsidRDefault="0076628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76628D" w:rsidRPr="0076628D" w:rsidRDefault="0076628D" w:rsidP="0076628D">
      <w:pPr>
        <w:bidi/>
        <w:spacing w:line="300" w:lineRule="exact"/>
        <w:rPr>
          <w:rFonts w:cs="Traditional Arabic"/>
          <w:szCs w:val="30"/>
          <w:lang w:bidi="ar-EG"/>
        </w:rPr>
      </w:pPr>
      <w:r w:rsidRPr="0076628D">
        <w:rPr>
          <w:rFonts w:cs="Traditional Arabic"/>
          <w:szCs w:val="30"/>
          <w:rtl/>
          <w:lang w:bidi="ar-EG"/>
        </w:rPr>
        <w:t>لن تنشر أي إعلانات بخصوص عملية الموافقة البديلة يوم 1 يناير 2019 لأن الاتحاد سيكون مغلقاً. وبالتالي، سيتم تمديد الموعد النهائي لتقديم التعليقات على بعض النصوص فيما يخص عملية الموافقة البديلة.</w:t>
      </w:r>
    </w:p>
    <w:p w:rsidR="0076628D" w:rsidRDefault="0076628D" w:rsidP="0076628D">
      <w:pPr>
        <w:bidi/>
        <w:spacing w:line="300" w:lineRule="exact"/>
        <w:rPr>
          <w:rFonts w:cs="Traditional Arabic"/>
          <w:szCs w:val="30"/>
          <w:rtl/>
          <w:lang w:bidi="ar-EG"/>
        </w:rPr>
      </w:pPr>
      <w:bookmarkStart w:id="0" w:name="_GoBack"/>
      <w:bookmarkEnd w:id="0"/>
    </w:p>
    <w:p w:rsidR="00BC458A" w:rsidRDefault="0076628D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BC458A" w:rsidRDefault="0076628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BC458A" w:rsidRDefault="00BC458A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BC458A" w:rsidRDefault="0076628D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lastRenderedPageBreak/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BC458A" w:rsidRDefault="00BC458A">
      <w:pPr>
        <w:spacing w:before="720"/>
        <w:rPr>
          <w:rFonts w:ascii="Times New Roman" w:hAnsi="Times New Roman"/>
        </w:rPr>
        <w:sectPr w:rsidR="00BC458A">
          <w:headerReference w:type="default" r:id="rId8"/>
          <w:footerReference w:type="default" r:id="rId9"/>
          <w:footerReference w:type="first" r:id="rId10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C458A" w:rsidRDefault="0076628D">
      <w:r>
        <w:lastRenderedPageBreak/>
        <w:t xml:space="preserve">Annex </w:t>
      </w:r>
      <w:proofErr w:type="gramStart"/>
      <w:r>
        <w:t>1</w:t>
      </w:r>
      <w:proofErr w:type="gramEnd"/>
    </w:p>
    <w:p w:rsidR="00BC458A" w:rsidRDefault="0076628D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AAP-48)</w:t>
      </w:r>
    </w:p>
    <w:p w:rsidR="00BC458A" w:rsidRDefault="00BC458A">
      <w:pPr>
        <w:rPr>
          <w:szCs w:val="22"/>
        </w:rPr>
      </w:pPr>
    </w:p>
    <w:p w:rsidR="00BC458A" w:rsidRDefault="0076628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C458A" w:rsidRPr="009B6177" w:rsidRDefault="0076628D">
      <w:pPr>
        <w:pStyle w:val="Headingb"/>
        <w:rPr>
          <w:szCs w:val="22"/>
          <w:lang w:val="fr-FR"/>
        </w:rPr>
      </w:pPr>
      <w:r w:rsidRPr="009B6177">
        <w:rPr>
          <w:szCs w:val="22"/>
          <w:lang w:val="fr-FR"/>
        </w:rPr>
        <w:t xml:space="preserve">ITU-T </w:t>
      </w:r>
      <w:proofErr w:type="spellStart"/>
      <w:r w:rsidRPr="009B6177">
        <w:rPr>
          <w:szCs w:val="22"/>
          <w:lang w:val="fr-FR"/>
        </w:rPr>
        <w:t>website</w:t>
      </w:r>
      <w:proofErr w:type="spellEnd"/>
      <w:r w:rsidRPr="009B6177">
        <w:rPr>
          <w:szCs w:val="22"/>
          <w:lang w:val="fr-FR"/>
        </w:rPr>
        <w:t xml:space="preserve"> entry page:</w:t>
      </w:r>
    </w:p>
    <w:p w:rsidR="00BC458A" w:rsidRPr="009B6177" w:rsidRDefault="00BC458A">
      <w:pPr>
        <w:pStyle w:val="enumlev2"/>
        <w:rPr>
          <w:szCs w:val="22"/>
          <w:lang w:val="fr-FR"/>
        </w:rPr>
      </w:pPr>
      <w:hyperlink r:id="rId11" w:history="1">
        <w:r w:rsidR="0076628D" w:rsidRPr="009B6177">
          <w:rPr>
            <w:rStyle w:val="Hyperlink"/>
            <w:szCs w:val="22"/>
            <w:lang w:val="fr-FR"/>
          </w:rPr>
          <w:t>http://www.itu.int/ITU-T</w:t>
        </w:r>
      </w:hyperlink>
    </w:p>
    <w:p w:rsidR="00BC458A" w:rsidRDefault="0076628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C458A" w:rsidRDefault="00BC458A">
      <w:pPr>
        <w:pStyle w:val="enumlev2"/>
        <w:rPr>
          <w:szCs w:val="22"/>
        </w:rPr>
      </w:pPr>
      <w:hyperlink r:id="rId12" w:history="1">
        <w:r w:rsidR="0076628D">
          <w:rPr>
            <w:rStyle w:val="Hyperlink"/>
            <w:szCs w:val="22"/>
          </w:rPr>
          <w:t>http://www.itu.int/ITU-T/aapinfo</w:t>
        </w:r>
      </w:hyperlink>
    </w:p>
    <w:p w:rsidR="00BC458A" w:rsidRDefault="0076628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BC458A" w:rsidRDefault="0076628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C458A" w:rsidRDefault="00BC458A">
      <w:pPr>
        <w:pStyle w:val="enumlev2"/>
        <w:rPr>
          <w:szCs w:val="22"/>
        </w:rPr>
      </w:pPr>
      <w:hyperlink r:id="rId13" w:history="1">
        <w:r w:rsidR="0076628D">
          <w:rPr>
            <w:rStyle w:val="Hyperlink"/>
            <w:szCs w:val="22"/>
          </w:rPr>
          <w:t>http://www.itu.int/ITU-T/aap/</w:t>
        </w:r>
      </w:hyperlink>
    </w:p>
    <w:p w:rsidR="00BC458A" w:rsidRDefault="0076628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BC458A">
        <w:tc>
          <w:tcPr>
            <w:tcW w:w="987" w:type="dxa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14" w:history="1">
              <w:r w:rsidR="0076628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76628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76628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6628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6628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6628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6628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6628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6628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6628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6628D">
                <w:rPr>
                  <w:rStyle w:val="Hyperlink"/>
                  <w:szCs w:val="22"/>
                </w:rPr>
                <w:t>http://www.itu.int/ITU-T/studygroup</w:t>
              </w:r>
              <w:r w:rsidR="0076628D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6628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6628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6628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6628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6628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6628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6628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6628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6628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BC458A">
        <w:tc>
          <w:tcPr>
            <w:tcW w:w="0" w:type="auto"/>
          </w:tcPr>
          <w:p w:rsidR="00BC458A" w:rsidRDefault="007662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6628D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BC458A" w:rsidRDefault="00BC458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6628D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BC458A" w:rsidRDefault="00BC458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BC458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C458A" w:rsidRDefault="0076628D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C458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C458A" w:rsidRDefault="007662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C458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C458A" w:rsidRDefault="00BC458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C458A" w:rsidRDefault="00BC458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C458A" w:rsidRDefault="00BC458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36" w:history="1">
              <w:r w:rsidR="0076628D">
                <w:rPr>
                  <w:rStyle w:val="Hyperlink"/>
                  <w:sz w:val="20"/>
                </w:rPr>
                <w:t>G.651.1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Characteristics of a 50/125 µm multimode graded index optical fibre cable for the optical access network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38" w:history="1">
              <w:r w:rsidR="0076628D">
                <w:rPr>
                  <w:rStyle w:val="Hyperlink"/>
                  <w:sz w:val="20"/>
                </w:rPr>
                <w:t>G.672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Characteristics of multi-degree reconfigurable optical add/drop multiplexers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40" w:history="1">
              <w:r w:rsidR="0076628D">
                <w:rPr>
                  <w:rStyle w:val="Hyperlink"/>
                  <w:sz w:val="20"/>
                </w:rPr>
                <w:t>G.698.2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Amplified multichannel DWDM applications with single channel optical interfaces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42" w:history="1">
              <w:r w:rsidR="0076628D">
                <w:rPr>
                  <w:rStyle w:val="Hyperlink"/>
                  <w:sz w:val="20"/>
                </w:rPr>
                <w:t>G.698.4 Cor.1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Multichannel bi-directional DWDM applications with port agnostic single-channel optical interfaces - Corrigendum 1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44" w:history="1">
              <w:r w:rsidR="0076628D">
                <w:rPr>
                  <w:rStyle w:val="Hyperlink"/>
                  <w:sz w:val="20"/>
                </w:rPr>
                <w:t>G.709.1/Y.1331.1 (2018)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Flexible OTN short-reach interface - Amendment 1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46" w:history="1">
              <w:r w:rsidR="0076628D">
                <w:rPr>
                  <w:rStyle w:val="Hyperlink"/>
                  <w:sz w:val="20"/>
                </w:rPr>
                <w:t>G.709.3/Y.1331.3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Flexible OTN long-reach interfaces: Amendment 1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48" w:history="1">
              <w:r w:rsidR="0076628D">
                <w:rPr>
                  <w:rStyle w:val="Hyperlink"/>
                  <w:sz w:val="20"/>
                </w:rPr>
                <w:t>G.709/Y.1331 (2016) Amd.3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Interfaces for the optical transport network (OTN): Amendment 3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50" w:history="1">
              <w:r w:rsidR="0076628D">
                <w:rPr>
                  <w:rStyle w:val="Hyperlink"/>
                  <w:sz w:val="20"/>
                </w:rPr>
                <w:t>G.988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ONU management and control interface (OMCI) specification: Amendment 1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52" w:history="1">
              <w:r w:rsidR="0076628D">
                <w:rPr>
                  <w:rStyle w:val="Hyperlink"/>
                  <w:sz w:val="20"/>
                </w:rPr>
                <w:t>G.989.2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40-Gigabit-capable passive optical networks 2 (NG-PON2): Physical media dependent (PMD) layer specification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54" w:history="1">
              <w:r w:rsidR="0076628D">
                <w:rPr>
                  <w:rStyle w:val="Hyperlink"/>
                  <w:sz w:val="20"/>
                </w:rPr>
                <w:t>G.989.3 (2015) Amd.2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40-Gigabit-capable passive optical networks (NG-PON2): Transmission convergence layer specification - Amendment 2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56" w:history="1">
              <w:r w:rsidR="0076628D">
                <w:rPr>
                  <w:rStyle w:val="Hyperlink"/>
                  <w:sz w:val="20"/>
                </w:rPr>
                <w:t>G.993.2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Very high speed digital subscriber line transceivers 2 (VDSL2) (</w:t>
            </w:r>
            <w:hyperlink r:id="rId57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58" w:history="1">
              <w:r w:rsidR="0076628D">
                <w:rPr>
                  <w:rStyle w:val="Hyperlink"/>
                  <w:sz w:val="20"/>
                </w:rPr>
                <w:t>G.993.5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Self-FEXT cancellation (vectoring) for use with VDSL2 transceivers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60" w:history="1">
              <w:r w:rsidR="0076628D">
                <w:rPr>
                  <w:rStyle w:val="Hyperlink"/>
                  <w:sz w:val="20"/>
                </w:rPr>
                <w:t>G.994.1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Handshake procedures for digital subscriber line transceivers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62" w:history="1">
              <w:r w:rsidR="0076628D">
                <w:rPr>
                  <w:rStyle w:val="Hyperlink"/>
                  <w:sz w:val="20"/>
                </w:rPr>
                <w:t>G.996.2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Single-ended line testing for digital subscriber lines (DSL)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64" w:history="1">
              <w:r w:rsidR="0076628D">
                <w:rPr>
                  <w:rStyle w:val="Hyperlink"/>
                  <w:sz w:val="20"/>
                </w:rPr>
                <w:t>G.997.1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Physical layer management for digital subscriber line transceivers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66" w:history="1">
              <w:r w:rsidR="0076628D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 xml:space="preserve">Physical layer management for </w:t>
            </w:r>
            <w:proofErr w:type="spellStart"/>
            <w:r>
              <w:t>G.fast</w:t>
            </w:r>
            <w:proofErr w:type="spellEnd"/>
            <w:r>
              <w:t xml:space="preserve"> transceivers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68" w:history="1">
              <w:r w:rsidR="0076628D">
                <w:rPr>
                  <w:rStyle w:val="Hyperlink"/>
                  <w:sz w:val="20"/>
                </w:rPr>
                <w:t>G.998.2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Ethernet-based multi-pair bonding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70" w:history="1">
              <w:r w:rsidR="0076628D">
                <w:rPr>
                  <w:rStyle w:val="Hyperlink"/>
                  <w:sz w:val="20"/>
                </w:rPr>
                <w:t>G.998.4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Improved impulse noise protection for digital subscriber line (DSL) transceivers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72" w:history="1">
              <w:r w:rsidR="0076628D">
                <w:rPr>
                  <w:rStyle w:val="Hyperlink"/>
                  <w:sz w:val="20"/>
                </w:rPr>
                <w:t>G.999.1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Interface between the link layer and the physical layer for digital subscriber line (DSL) transceivers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74" w:history="1">
              <w:r w:rsidR="0076628D">
                <w:rPr>
                  <w:rStyle w:val="Hyperlink"/>
                  <w:sz w:val="20"/>
                </w:rPr>
                <w:t>G.7721 (</w:t>
              </w:r>
              <w:proofErr w:type="spellStart"/>
              <w:r w:rsidR="0076628D">
                <w:rPr>
                  <w:rStyle w:val="Hyperlink"/>
                  <w:sz w:val="20"/>
                </w:rPr>
                <w:t>G.sync-mgmt</w:t>
              </w:r>
              <w:proofErr w:type="spellEnd"/>
              <w:r w:rsidR="0076628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Management Requirement and Information Model for Synchronization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76" w:history="1">
              <w:r w:rsidR="0076628D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Ethernet service characteristics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78" w:history="1">
              <w:r w:rsidR="0076628D">
                <w:rPr>
                  <w:rStyle w:val="Hyperlink"/>
                  <w:sz w:val="20"/>
                </w:rPr>
                <w:t>G.8013/Y.1731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Operation, administration and maintenance (OAM) functions and mechanisms for Ethernet-based networks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80" w:history="1">
              <w:r w:rsidR="0076628D">
                <w:rPr>
                  <w:rStyle w:val="Hyperlink"/>
                  <w:sz w:val="20"/>
                </w:rPr>
                <w:t>G.8023 (2018) Cor.1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 xml:space="preserve">Characteristics of equipment functional blocks supporting Ethernet physical layer and </w:t>
            </w:r>
            <w:proofErr w:type="spellStart"/>
            <w:r>
              <w:t>FlexE</w:t>
            </w:r>
            <w:proofErr w:type="spellEnd"/>
            <w:r>
              <w:t xml:space="preserve"> interfaces - Corrigendum 1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82" w:history="1">
              <w:r w:rsidR="0076628D">
                <w:rPr>
                  <w:rStyle w:val="Hyperlink"/>
                  <w:sz w:val="20"/>
                </w:rPr>
                <w:t>G.8121.1/Y.1381.1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Characteristics of MPLS-TP equipment functional blocks sup</w:t>
            </w:r>
            <w:r>
              <w:t>porting ITU-T G.8113.1/Y.1372.1 OAM mechanisms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84" w:history="1">
              <w:r w:rsidR="0076628D">
                <w:rPr>
                  <w:rStyle w:val="Hyperlink"/>
                  <w:sz w:val="20"/>
                </w:rPr>
                <w:t>G.8121.2/Y.1381.2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Characteristics of MPLS-TP equipment functional blocks supporting ITU-T G.8113.2/Y.1372.2 OAM mechanisms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86" w:history="1">
              <w:r w:rsidR="0076628D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Characteristics of MPLS-TP equipment functional blocks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88" w:history="1">
              <w:r w:rsidR="0076628D">
                <w:rPr>
                  <w:rStyle w:val="Hyperlink"/>
                  <w:sz w:val="20"/>
                </w:rPr>
                <w:t>G.8131 Amd.3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Linear protection switchi</w:t>
            </w:r>
            <w:r>
              <w:t>ng for MPLS transport profile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90" w:history="1">
              <w:r w:rsidR="0076628D">
                <w:rPr>
                  <w:rStyle w:val="Hyperlink"/>
                  <w:sz w:val="20"/>
                </w:rPr>
                <w:t>G.8151/Y.1374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Management aspects of the MPLS-TP network element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92" w:history="1">
              <w:r w:rsidR="0076628D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The control of jitter and wander within the optical transport network (OTN)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94" w:history="1">
              <w:r w:rsidR="0076628D">
                <w:rPr>
                  <w:rStyle w:val="Hyperlink"/>
                  <w:sz w:val="20"/>
                </w:rPr>
                <w:t>G.8260 (2015) Amd.2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Definitions and te</w:t>
            </w:r>
            <w:r>
              <w:t>rminology for synchronization in packet networks: Amendment 2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96" w:history="1">
              <w:r w:rsidR="0076628D">
                <w:rPr>
                  <w:rStyle w:val="Hyperlink"/>
                  <w:sz w:val="20"/>
                </w:rPr>
                <w:t>G.8262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Timing characteristics of synchronous equipment slave clock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</w:t>
            </w:r>
            <w:r>
              <w:rPr>
                <w:sz w:val="20"/>
              </w:rPr>
              <w:t>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98" w:history="1">
              <w:r w:rsidR="0076628D">
                <w:rPr>
                  <w:rStyle w:val="Hyperlink"/>
                  <w:sz w:val="20"/>
                </w:rPr>
                <w:t>G.8262.1/Y.1362.1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Timing characteristics of an enhanced synchronous equipment slave clock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2018-12-01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2019-01-11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00" w:history="1">
              <w:r w:rsidR="0076628D">
                <w:rPr>
                  <w:rStyle w:val="Hyperlink"/>
                  <w:sz w:val="20"/>
                </w:rPr>
                <w:t>G.8271 Amd.2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Time and phase synchronizat</w:t>
            </w:r>
            <w:r>
              <w:t>ion aspects of telecommunication networks - Amendment 2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02" w:history="1">
              <w:r w:rsidR="0076628D">
                <w:rPr>
                  <w:rStyle w:val="Hyperlink"/>
                  <w:sz w:val="20"/>
                </w:rPr>
                <w:t>G.8271.2 Amd.2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Network limits for time synchronization in packet networks with partial timing support from the network - Amendment 2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04" w:history="1">
              <w:r w:rsidR="0076628D">
                <w:rPr>
                  <w:rStyle w:val="Hyperlink"/>
                  <w:sz w:val="20"/>
                </w:rPr>
                <w:t>G.8272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Timing characteristics of primary reference time clocks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06" w:history="1">
              <w:r w:rsidR="0076628D">
                <w:rPr>
                  <w:rStyle w:val="Hyperlink"/>
                  <w:sz w:val="20"/>
                </w:rPr>
                <w:t>G.8273.2/Y.1368.2 Amd.2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Timing charact</w:t>
            </w:r>
            <w:r>
              <w:t>eristics of telecom boundary clocks and telecom time slave clocks- Amendment 2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2018-12-01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2019-01-11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08" w:history="1">
              <w:r w:rsidR="0076628D">
                <w:rPr>
                  <w:rStyle w:val="Hyperlink"/>
                  <w:sz w:val="20"/>
                </w:rPr>
                <w:t>G.8273.3/Y.1368.3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Timing characteristics of telecom transparent clocks - Amendment 1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10" w:history="1">
              <w:r w:rsidR="0076628D">
                <w:rPr>
                  <w:rStyle w:val="Hyperlink"/>
                  <w:sz w:val="20"/>
                </w:rPr>
                <w:t>G.8275/Y.1369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Architecture and requirements for packet-based time and phase delivery - Amendment 1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12" w:history="1">
              <w:r w:rsidR="0076628D">
                <w:rPr>
                  <w:rStyle w:val="Hyperlink"/>
                  <w:sz w:val="20"/>
                </w:rPr>
                <w:t>G.9701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Fast access to subscriber terminals (</w:t>
            </w:r>
            <w:proofErr w:type="spellStart"/>
            <w:r>
              <w:t>G.fast</w:t>
            </w:r>
            <w:proofErr w:type="spellEnd"/>
            <w:r>
              <w:t>) - Physical layer specification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14" w:history="1">
              <w:r w:rsidR="0076628D">
                <w:rPr>
                  <w:rStyle w:val="Hyperlink"/>
                  <w:sz w:val="20"/>
                </w:rPr>
                <w:t>G.9803 (</w:t>
              </w:r>
              <w:proofErr w:type="spellStart"/>
              <w:r w:rsidR="0076628D">
                <w:rPr>
                  <w:rStyle w:val="Hyperlink"/>
                  <w:sz w:val="20"/>
                </w:rPr>
                <w:t>G.RoF</w:t>
              </w:r>
              <w:proofErr w:type="spellEnd"/>
              <w:r w:rsidR="0076628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 xml:space="preserve">Radio over </w:t>
            </w:r>
            <w:proofErr w:type="spellStart"/>
            <w:r>
              <w:t>Fiber</w:t>
            </w:r>
            <w:proofErr w:type="spellEnd"/>
            <w:r>
              <w:t xml:space="preserve"> systems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16" w:history="1">
              <w:r w:rsidR="0076628D">
                <w:rPr>
                  <w:rStyle w:val="Hyperlink"/>
                  <w:sz w:val="20"/>
                </w:rPr>
                <w:t>G.9807.2 (2017) Amd.1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10 Gigabit-capable symmetrical passive optical networks (XG(S)-PON): Reach extension - Amendment 1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18" w:history="1">
              <w:r w:rsidR="0076628D">
                <w:rPr>
                  <w:rStyle w:val="Hyperlink"/>
                  <w:sz w:val="20"/>
                </w:rPr>
                <w:t>G.9960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Unified high-speed wireline-based home networking transceivers - System architect</w:t>
            </w:r>
            <w:r>
              <w:t>ure and physical layer specification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20" w:history="1">
              <w:r w:rsidR="0076628D">
                <w:rPr>
                  <w:rStyle w:val="Hyperlink"/>
                  <w:sz w:val="20"/>
                </w:rPr>
                <w:t>G.9961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Unified high-speed wire-line based home networking transceivers - Data link layer specification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22" w:history="1">
              <w:r w:rsidR="0076628D">
                <w:rPr>
                  <w:rStyle w:val="Hyperlink"/>
                  <w:sz w:val="20"/>
                </w:rPr>
                <w:t>G.9962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Unified high-speed wire-line based home networking transceivers - Management specification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24" w:history="1">
              <w:r w:rsidR="0076628D">
                <w:rPr>
                  <w:rStyle w:val="Hyperlink"/>
                  <w:sz w:val="20"/>
                </w:rPr>
                <w:t>G.9963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Unified high-speed wireline-bas</w:t>
            </w:r>
            <w:r>
              <w:t>ed home networking transceivers - Multiple input/multiple output specification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26" w:history="1">
              <w:r w:rsidR="0076628D">
                <w:rPr>
                  <w:rStyle w:val="Hyperlink"/>
                  <w:sz w:val="20"/>
                </w:rPr>
                <w:t>G.9978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Secure admission in G.hn network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28" w:history="1">
              <w:r w:rsidR="0076628D">
                <w:rPr>
                  <w:rStyle w:val="Hyperlink"/>
                  <w:sz w:val="20"/>
                </w:rPr>
                <w:t>G.9979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Implementation of the generic mechanism in the IEEE 1905.1a-2014 Standard to include applicable ITU-T Recommendations (</w:t>
            </w:r>
            <w:hyperlink r:id="rId12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30" w:history="1">
              <w:r w:rsidR="0076628D">
                <w:rPr>
                  <w:rStyle w:val="Hyperlink"/>
                  <w:sz w:val="20"/>
                </w:rPr>
                <w:t>G.9991 (</w:t>
              </w:r>
              <w:proofErr w:type="spellStart"/>
              <w:r w:rsidR="0076628D">
                <w:rPr>
                  <w:rStyle w:val="Hyperlink"/>
                  <w:sz w:val="20"/>
                </w:rPr>
                <w:t>G.vlc</w:t>
              </w:r>
              <w:proofErr w:type="spellEnd"/>
              <w:r w:rsidR="0076628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High speed indoor visible light communication transceiver - System architecture, physical layer and data link layer specification (</w:t>
            </w:r>
            <w:hyperlink r:id="rId13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32" w:history="1">
              <w:r w:rsidR="0076628D">
                <w:rPr>
                  <w:rStyle w:val="Hyperlink"/>
                  <w:sz w:val="20"/>
                </w:rPr>
                <w:t>G.9992 (</w:t>
              </w:r>
              <w:proofErr w:type="spellStart"/>
              <w:r w:rsidR="0076628D">
                <w:rPr>
                  <w:rStyle w:val="Hyperlink"/>
                  <w:sz w:val="20"/>
                </w:rPr>
                <w:t>G.occ</w:t>
              </w:r>
              <w:proofErr w:type="spellEnd"/>
              <w:r w:rsidR="0076628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Indoor optical camera communication transceivers - System architecture, physical layer and data link layer specification (</w:t>
            </w:r>
            <w:hyperlink r:id="rId13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34" w:history="1">
              <w:r w:rsidR="0076628D">
                <w:rPr>
                  <w:rStyle w:val="Hyperlink"/>
                  <w:sz w:val="20"/>
                </w:rPr>
                <w:t>L.109 (L.60)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Construction of optical/metallic hybrid cables (</w:t>
            </w:r>
            <w:hyperlink r:id="rId13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36" w:history="1">
              <w:r w:rsidR="0076628D">
                <w:rPr>
                  <w:rStyle w:val="Hyperlink"/>
                  <w:sz w:val="20"/>
                </w:rPr>
                <w:t>L.163 (</w:t>
              </w:r>
              <w:proofErr w:type="spellStart"/>
              <w:r w:rsidR="0076628D">
                <w:rPr>
                  <w:rStyle w:val="Hyperlink"/>
                  <w:sz w:val="20"/>
                </w:rPr>
                <w:t>L.cci</w:t>
              </w:r>
              <w:proofErr w:type="spellEnd"/>
              <w:r w:rsidR="0076628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Criteria for optical cable installation with minimal existing infrastructure (</w:t>
            </w:r>
            <w:hyperlink r:id="rId1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38" w:history="1">
              <w:r w:rsidR="0076628D">
                <w:rPr>
                  <w:rStyle w:val="Hyperlink"/>
                  <w:sz w:val="20"/>
                </w:rPr>
                <w:t>L.314 (L.85)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Optical fibre identification for the maintenance of optical access networks (</w:t>
            </w:r>
            <w:hyperlink r:id="rId1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C458A" w:rsidRDefault="0076628D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C458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C458A" w:rsidRDefault="007662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C458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C458A" w:rsidRDefault="00BC458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C458A" w:rsidRDefault="00BC458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C458A" w:rsidRDefault="007662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C458A" w:rsidRDefault="00BC458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40" w:history="1">
              <w:r w:rsidR="0076628D">
                <w:rPr>
                  <w:rStyle w:val="Hyperlink"/>
                  <w:sz w:val="20"/>
                </w:rPr>
                <w:t>H.782 (V2)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Digital signage: Metadata (</w:t>
            </w:r>
            <w:hyperlink r:id="rId1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C458A">
        <w:trPr>
          <w:cantSplit/>
        </w:trPr>
        <w:tc>
          <w:tcPr>
            <w:tcW w:w="2090" w:type="dxa"/>
          </w:tcPr>
          <w:p w:rsidR="00BC458A" w:rsidRDefault="00BC458A">
            <w:hyperlink r:id="rId142" w:history="1">
              <w:r w:rsidR="0076628D">
                <w:rPr>
                  <w:rStyle w:val="Hyperlink"/>
                  <w:sz w:val="20"/>
                </w:rPr>
                <w:t>H.784 (H.DS-DCI)</w:t>
              </w:r>
            </w:hyperlink>
          </w:p>
        </w:tc>
        <w:tc>
          <w:tcPr>
            <w:tcW w:w="4000" w:type="dxa"/>
          </w:tcPr>
          <w:p w:rsidR="00BC458A" w:rsidRDefault="0076628D">
            <w:r>
              <w:t>Digital signage: Display device control interface (</w:t>
            </w:r>
            <w:hyperlink r:id="rId1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115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80" w:type="dxa"/>
          </w:tcPr>
          <w:p w:rsidR="00BC458A" w:rsidRDefault="00BC458A">
            <w:pPr>
              <w:jc w:val="center"/>
            </w:pPr>
          </w:p>
        </w:tc>
        <w:tc>
          <w:tcPr>
            <w:tcW w:w="860" w:type="dxa"/>
          </w:tcPr>
          <w:p w:rsidR="00BC458A" w:rsidRDefault="007662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B6177" w:rsidRDefault="009B6177"/>
    <w:p w:rsidR="009B6177" w:rsidRDefault="009B6177"/>
    <w:p w:rsidR="009B6177" w:rsidRDefault="009B6177"/>
    <w:p w:rsidR="009B6177" w:rsidRDefault="009B6177"/>
    <w:p w:rsidR="009B6177" w:rsidRDefault="009B6177" w:rsidP="009B6177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6177" w:rsidTr="009D57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6177" w:rsidRDefault="009B6177" w:rsidP="009D570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6177" w:rsidRDefault="009B6177" w:rsidP="009D570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6177" w:rsidRDefault="009B6177" w:rsidP="009D570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6177" w:rsidRDefault="009B6177" w:rsidP="009D570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6177" w:rsidRDefault="009B6177" w:rsidP="009D57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6177" w:rsidTr="009D57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6177" w:rsidRDefault="009B6177" w:rsidP="009D57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6177" w:rsidRDefault="009B6177" w:rsidP="009D57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6177" w:rsidRDefault="009B6177" w:rsidP="009D570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6177" w:rsidRDefault="009B6177" w:rsidP="009D570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6177" w:rsidRDefault="009B6177" w:rsidP="009D570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6177" w:rsidRDefault="009B6177" w:rsidP="009D570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6177" w:rsidRDefault="009B6177" w:rsidP="009D570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6177" w:rsidRDefault="009B6177" w:rsidP="009D570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6177" w:rsidRDefault="009B6177" w:rsidP="009D570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6177" w:rsidRDefault="009B6177" w:rsidP="009D570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6177" w:rsidRDefault="009B6177" w:rsidP="009D570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B6177" w:rsidTr="009D570F">
        <w:trPr>
          <w:cantSplit/>
        </w:trPr>
        <w:tc>
          <w:tcPr>
            <w:tcW w:w="2090" w:type="dxa"/>
          </w:tcPr>
          <w:p w:rsidR="009B6177" w:rsidRDefault="009B6177" w:rsidP="009D570F">
            <w:hyperlink r:id="rId144" w:history="1">
              <w:r>
                <w:rPr>
                  <w:rStyle w:val="Hyperlink"/>
                  <w:sz w:val="20"/>
                </w:rPr>
                <w:t>X.676 (</w:t>
              </w:r>
              <w:proofErr w:type="spellStart"/>
              <w:r>
                <w:rPr>
                  <w:rStyle w:val="Hyperlink"/>
                  <w:sz w:val="20"/>
                </w:rPr>
                <w:t>X.orf-gs</w:t>
              </w:r>
              <w:proofErr w:type="spellEnd"/>
              <w:r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9B6177" w:rsidRDefault="009B6177" w:rsidP="009D570F">
            <w:r>
              <w:t xml:space="preserve">Object identifier-based resolution framework for </w:t>
            </w:r>
            <w:proofErr w:type="spellStart"/>
            <w:r>
              <w:t>IoT</w:t>
            </w:r>
            <w:proofErr w:type="spellEnd"/>
            <w:r>
              <w:t xml:space="preserve"> grouped services (</w:t>
            </w:r>
            <w:hyperlink r:id="rId1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  <w:r>
              <w:t>A</w:t>
            </w: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60" w:type="dxa"/>
          </w:tcPr>
          <w:p w:rsidR="009B6177" w:rsidRDefault="009B6177" w:rsidP="009D570F">
            <w:pPr>
              <w:jc w:val="center"/>
            </w:pPr>
            <w:r>
              <w:t>A</w:t>
            </w:r>
          </w:p>
        </w:tc>
      </w:tr>
      <w:tr w:rsidR="009B6177" w:rsidTr="009D570F">
        <w:trPr>
          <w:cantSplit/>
        </w:trPr>
        <w:tc>
          <w:tcPr>
            <w:tcW w:w="2090" w:type="dxa"/>
          </w:tcPr>
          <w:p w:rsidR="009B6177" w:rsidRDefault="009B6177" w:rsidP="009D570F">
            <w:hyperlink r:id="rId146" w:history="1">
              <w:r>
                <w:rPr>
                  <w:rStyle w:val="Hyperlink"/>
                  <w:sz w:val="20"/>
                </w:rPr>
                <w:t>X.1277 (</w:t>
              </w:r>
              <w:proofErr w:type="spellStart"/>
              <w:r>
                <w:rPr>
                  <w:rStyle w:val="Hyperlink"/>
                  <w:sz w:val="20"/>
                </w:rPr>
                <w:t>X.uaf</w:t>
              </w:r>
              <w:proofErr w:type="spellEnd"/>
              <w:r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9B6177" w:rsidRDefault="009B6177" w:rsidP="009D570F">
            <w:r>
              <w:t>FIDO Universal Authentication Framework (UAF) (</w:t>
            </w:r>
            <w:hyperlink r:id="rId1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  <w:r>
              <w:t>A</w:t>
            </w: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60" w:type="dxa"/>
          </w:tcPr>
          <w:p w:rsidR="009B6177" w:rsidRDefault="009B6177" w:rsidP="009D570F">
            <w:pPr>
              <w:jc w:val="center"/>
            </w:pPr>
            <w:r>
              <w:t>A</w:t>
            </w:r>
          </w:p>
        </w:tc>
      </w:tr>
      <w:tr w:rsidR="009B6177" w:rsidTr="009D570F">
        <w:trPr>
          <w:cantSplit/>
        </w:trPr>
        <w:tc>
          <w:tcPr>
            <w:tcW w:w="2090" w:type="dxa"/>
          </w:tcPr>
          <w:p w:rsidR="009B6177" w:rsidRDefault="009B6177" w:rsidP="009D570F">
            <w:hyperlink r:id="rId148" w:history="1">
              <w:r>
                <w:rPr>
                  <w:rStyle w:val="Hyperlink"/>
                  <w:sz w:val="20"/>
                </w:rPr>
                <w:t>X.1278 (</w:t>
              </w:r>
              <w:proofErr w:type="spellStart"/>
              <w:r>
                <w:rPr>
                  <w:rStyle w:val="Hyperlink"/>
                  <w:sz w:val="20"/>
                </w:rPr>
                <w:t>X.ctap</w:t>
              </w:r>
              <w:proofErr w:type="spellEnd"/>
              <w:r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9B6177" w:rsidRDefault="009B6177" w:rsidP="009D570F">
            <w:r>
              <w:t>Client To Authenticator Protocol/Universal 2-factor framework (</w:t>
            </w:r>
            <w:hyperlink r:id="rId1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  <w:r>
              <w:t>A</w:t>
            </w: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115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80" w:type="dxa"/>
          </w:tcPr>
          <w:p w:rsidR="009B6177" w:rsidRDefault="009B6177" w:rsidP="009D570F">
            <w:pPr>
              <w:jc w:val="center"/>
            </w:pPr>
          </w:p>
        </w:tc>
        <w:tc>
          <w:tcPr>
            <w:tcW w:w="860" w:type="dxa"/>
          </w:tcPr>
          <w:p w:rsidR="009B6177" w:rsidRDefault="009B6177" w:rsidP="009D570F">
            <w:pPr>
              <w:jc w:val="center"/>
            </w:pPr>
            <w:r>
              <w:t>A</w:t>
            </w:r>
          </w:p>
        </w:tc>
      </w:tr>
    </w:tbl>
    <w:p w:rsidR="00BC458A" w:rsidRDefault="00BC458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BC458A">
          <w:headerReference w:type="default" r:id="rId150"/>
          <w:footerReference w:type="default" r:id="rId15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C458A" w:rsidRDefault="0076628D">
      <w:r>
        <w:lastRenderedPageBreak/>
        <w:t xml:space="preserve">Annex </w:t>
      </w:r>
      <w:proofErr w:type="gramStart"/>
      <w:r>
        <w:t>2</w:t>
      </w:r>
      <w:proofErr w:type="gramEnd"/>
    </w:p>
    <w:p w:rsidR="00BC458A" w:rsidRDefault="0076628D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AAP-48)</w:t>
      </w:r>
    </w:p>
    <w:p w:rsidR="00BC458A" w:rsidRDefault="0076628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C458A" w:rsidRDefault="0076628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C458A" w:rsidRDefault="0076628D">
      <w:r>
        <w:t>1)</w:t>
      </w:r>
      <w:r>
        <w:tab/>
        <w:t xml:space="preserve">Go to AAP search Web page at </w:t>
      </w:r>
      <w:hyperlink r:id="rId152" w:history="1">
        <w:r>
          <w:rPr>
            <w:rStyle w:val="Hyperlink"/>
            <w:szCs w:val="22"/>
          </w:rPr>
          <w:t>http://www.itu.int/ITU-T/aap/</w:t>
        </w:r>
      </w:hyperlink>
    </w:p>
    <w:p w:rsidR="00BC458A" w:rsidRDefault="00F01B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7075" cy="216471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8A" w:rsidRDefault="0076628D">
      <w:r>
        <w:t>2)</w:t>
      </w:r>
      <w:r>
        <w:tab/>
        <w:t>Select your Recommendation</w:t>
      </w:r>
    </w:p>
    <w:p w:rsidR="00BC458A" w:rsidRDefault="00F01B65">
      <w:pPr>
        <w:jc w:val="center"/>
        <w:rPr>
          <w:sz w:val="24"/>
        </w:rPr>
      </w:pPr>
      <w:r w:rsidRPr="00BC458A">
        <w:rPr>
          <w:noProof/>
          <w:sz w:val="24"/>
          <w:lang w:eastAsia="en-GB"/>
        </w:rPr>
        <w:drawing>
          <wp:inline distT="0" distB="0" distL="0" distR="0">
            <wp:extent cx="5400675" cy="3220085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8A" w:rsidRDefault="0076628D">
      <w:pPr>
        <w:keepNext/>
      </w:pPr>
      <w:r>
        <w:lastRenderedPageBreak/>
        <w:t>3)</w:t>
      </w:r>
      <w:r>
        <w:tab/>
        <w:t>Click the "Submit Comment" button</w:t>
      </w:r>
    </w:p>
    <w:p w:rsidR="00BC458A" w:rsidRDefault="00F01B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7030" cy="3180715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8A" w:rsidRDefault="0076628D">
      <w:r>
        <w:t>4)</w:t>
      </w:r>
      <w:r>
        <w:tab/>
        <w:t>Complete the on-line form and click on "Submit"</w:t>
      </w:r>
    </w:p>
    <w:p w:rsidR="00BC458A" w:rsidRDefault="00F01B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650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8A" w:rsidRDefault="0076628D">
      <w:r>
        <w:t>For more information, read the AAP tutorial on:</w:t>
      </w:r>
      <w:r>
        <w:tab/>
      </w:r>
      <w:r>
        <w:br/>
      </w:r>
      <w:hyperlink r:id="rId157" w:history="1">
        <w:r>
          <w:rPr>
            <w:rStyle w:val="Hyperlink"/>
          </w:rPr>
          <w:t>http://www.itu.int/ITU-T/aapinfo/files/AAPTutorial.pdf</w:t>
        </w:r>
      </w:hyperlink>
    </w:p>
    <w:p w:rsidR="00BC458A" w:rsidRDefault="0076628D">
      <w:r>
        <w:br w:type="page"/>
      </w:r>
      <w:r>
        <w:lastRenderedPageBreak/>
        <w:t xml:space="preserve">Annex </w:t>
      </w:r>
      <w:proofErr w:type="gramStart"/>
      <w:r>
        <w:t>3</w:t>
      </w:r>
      <w:proofErr w:type="gramEnd"/>
    </w:p>
    <w:p w:rsidR="00BC458A" w:rsidRDefault="0076628D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AAP-48)</w:t>
      </w:r>
    </w:p>
    <w:p w:rsidR="00BC458A" w:rsidRDefault="0076628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C458A" w:rsidRDefault="0076628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 xml:space="preserve">(Separate form for each Recommendation </w:t>
      </w:r>
      <w:proofErr w:type="gramStart"/>
      <w:r>
        <w:rPr>
          <w:i/>
          <w:iCs/>
          <w:szCs w:val="22"/>
        </w:rPr>
        <w:t>being commented</w:t>
      </w:r>
      <w:proofErr w:type="gramEnd"/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10"/>
      </w:tblGrid>
      <w:tr w:rsidR="00BC458A">
        <w:tc>
          <w:tcPr>
            <w:tcW w:w="5000" w:type="pct"/>
            <w:gridSpan w:val="2"/>
            <w:shd w:val="clear" w:color="auto" w:fill="EFFAFF"/>
          </w:tcPr>
          <w:p w:rsidR="00BC458A" w:rsidRDefault="0076628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C458A" w:rsidRDefault="0076628D">
            <w:pPr>
              <w:pStyle w:val="Tabletext"/>
            </w:pPr>
            <w:r>
              <w:br/>
            </w:r>
            <w:r w:rsidR="00BC45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458A">
              <w:fldChar w:fldCharType="separate"/>
            </w:r>
            <w:r w:rsidR="00BC458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C458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458A">
              <w:fldChar w:fldCharType="separate"/>
            </w:r>
            <w:r w:rsidR="00BC458A">
              <w:fldChar w:fldCharType="end"/>
            </w:r>
            <w:r>
              <w:t xml:space="preserve"> Additional Review (AR)</w:t>
            </w: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C458A" w:rsidRDefault="00BC458A">
            <w:pPr>
              <w:pStyle w:val="Tabletext"/>
            </w:pPr>
          </w:p>
        </w:tc>
      </w:tr>
      <w:tr w:rsidR="00BC458A">
        <w:tc>
          <w:tcPr>
            <w:tcW w:w="1623" w:type="pct"/>
            <w:shd w:val="clear" w:color="auto" w:fill="EFFAFF"/>
            <w:vAlign w:val="center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C458A" w:rsidRDefault="0076628D">
            <w:pPr>
              <w:pStyle w:val="Tabletext"/>
            </w:pPr>
            <w:r>
              <w:br/>
            </w:r>
            <w:r w:rsidR="00BC45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458A">
              <w:fldChar w:fldCharType="separate"/>
            </w:r>
            <w:r w:rsidR="00BC458A">
              <w:fldChar w:fldCharType="end"/>
            </w:r>
            <w:r>
              <w:t xml:space="preserve"> We do not support this text. Reasons </w:t>
            </w:r>
            <w:proofErr w:type="gramStart"/>
            <w:r>
              <w:t>are given</w:t>
            </w:r>
            <w:proofErr w:type="gramEnd"/>
            <w:r>
              <w:t xml:space="preserve"> in the attachment.</w:t>
            </w:r>
            <w:r>
              <w:br/>
            </w:r>
            <w:r>
              <w:br/>
            </w:r>
            <w:r w:rsidR="00BC458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458A">
              <w:fldChar w:fldCharType="separate"/>
            </w:r>
            <w:r w:rsidR="00BC458A">
              <w:fldChar w:fldCharType="end"/>
            </w:r>
            <w:r>
              <w:t xml:space="preserve"> We support this text on the condition that it </w:t>
            </w:r>
            <w:proofErr w:type="gramStart"/>
            <w:r>
              <w:t>be modif</w:t>
            </w:r>
            <w:r>
              <w:t>ied</w:t>
            </w:r>
            <w:proofErr w:type="gramEnd"/>
            <w:r>
              <w:t xml:space="preserve"> as per revision shown in the attachment.</w:t>
            </w:r>
          </w:p>
        </w:tc>
      </w:tr>
      <w:tr w:rsidR="00BC458A">
        <w:tc>
          <w:tcPr>
            <w:tcW w:w="1623" w:type="pct"/>
            <w:shd w:val="clear" w:color="auto" w:fill="EFFAFF"/>
            <w:vAlign w:val="center"/>
          </w:tcPr>
          <w:p w:rsidR="00BC458A" w:rsidRDefault="007662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C458A" w:rsidRDefault="0076628D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C458A" w:rsidRDefault="0076628D">
      <w:pPr>
        <w:rPr>
          <w:szCs w:val="22"/>
        </w:rPr>
      </w:pPr>
      <w:r>
        <w:tab/>
      </w:r>
      <w:r w:rsidR="00BC458A" w:rsidRPr="00BC458A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C458A">
        <w:rPr>
          <w:szCs w:val="22"/>
        </w:rPr>
      </w:r>
      <w:r w:rsidR="00BC458A">
        <w:rPr>
          <w:szCs w:val="22"/>
        </w:rPr>
        <w:fldChar w:fldCharType="separate"/>
      </w:r>
      <w:r w:rsidR="00BC458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 xml:space="preserve">Comments </w:t>
      </w:r>
      <w:proofErr w:type="gramStart"/>
      <w:r>
        <w:rPr>
          <w:szCs w:val="22"/>
        </w:rPr>
        <w:t>are given</w:t>
      </w:r>
      <w:proofErr w:type="gramEnd"/>
      <w:r>
        <w:rPr>
          <w:szCs w:val="22"/>
        </w:rPr>
        <w:t xml:space="preserve"> in the Observation field, no attachment needed</w:t>
      </w:r>
    </w:p>
    <w:p w:rsidR="00BC458A" w:rsidRDefault="0076628D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5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</w:t>
      </w:r>
      <w:proofErr w:type="gramStart"/>
      <w:r>
        <w:rPr>
          <w:i/>
          <w:iCs/>
          <w:szCs w:val="22"/>
        </w:rPr>
        <w:t>]</w:t>
      </w:r>
      <w:proofErr w:type="gramEnd"/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 xml:space="preserve">Revision marks </w:t>
      </w:r>
      <w:proofErr w:type="gramStart"/>
      <w:r>
        <w:rPr>
          <w:i/>
          <w:iCs/>
          <w:szCs w:val="22"/>
        </w:rPr>
        <w:t>must be shown</w:t>
      </w:r>
      <w:proofErr w:type="gramEnd"/>
      <w:r>
        <w:rPr>
          <w:i/>
          <w:iCs/>
          <w:szCs w:val="22"/>
        </w:rPr>
        <w:t xml:space="preserve"> relative to the text posted by TSB.</w:t>
      </w:r>
    </w:p>
    <w:p w:rsidR="00BC458A" w:rsidRDefault="00BC458A">
      <w:pPr>
        <w:rPr>
          <w:i/>
          <w:iCs/>
          <w:szCs w:val="22"/>
        </w:rPr>
      </w:pPr>
    </w:p>
    <w:sectPr w:rsidR="00BC458A" w:rsidSect="00BC458A">
      <w:headerReference w:type="default" r:id="rId159"/>
      <w:footerReference w:type="default" r:id="rId16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8A" w:rsidRDefault="0076628D">
      <w:r>
        <w:separator/>
      </w:r>
    </w:p>
  </w:endnote>
  <w:endnote w:type="continuationSeparator" w:id="0">
    <w:p w:rsidR="00BC458A" w:rsidRDefault="007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A" w:rsidRDefault="0076628D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2018-12-01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C458A">
      <w:tc>
        <w:tcPr>
          <w:tcW w:w="1985" w:type="dxa"/>
        </w:tcPr>
        <w:p w:rsidR="00BC458A" w:rsidRDefault="0076628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C458A" w:rsidRDefault="0076628D">
          <w:pPr>
            <w:pStyle w:val="Tabletex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C458A" w:rsidRDefault="0076628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C458A" w:rsidRDefault="0076628D">
          <w:pPr>
            <w:pStyle w:val="Tabletex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BC458A" w:rsidRPr="009B6177" w:rsidRDefault="0076628D">
          <w:pPr>
            <w:pStyle w:val="Tabletext"/>
            <w:jc w:val="right"/>
            <w:rPr>
              <w:sz w:val="20"/>
            </w:rPr>
          </w:pPr>
          <w:r w:rsidRPr="009B6177">
            <w:rPr>
              <w:sz w:val="20"/>
            </w:rPr>
            <w:t>Web page:</w:t>
          </w:r>
          <w:r w:rsidRPr="009B6177">
            <w:rPr>
              <w:sz w:val="20"/>
            </w:rPr>
            <w:br/>
          </w:r>
          <w:hyperlink r:id="rId2" w:history="1">
            <w:r w:rsidRPr="009B6177">
              <w:rPr>
                <w:rStyle w:val="Hyperlink"/>
                <w:sz w:val="20"/>
              </w:rPr>
              <w:t>www.itu.int</w:t>
            </w:r>
          </w:hyperlink>
        </w:p>
      </w:tc>
    </w:tr>
  </w:tbl>
  <w:p w:rsidR="00BC458A" w:rsidRDefault="00BC458A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A" w:rsidRDefault="0076628D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2018-12-01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A" w:rsidRDefault="0076628D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2018-12-01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8A" w:rsidRDefault="0076628D">
      <w:r>
        <w:t>____________________</w:t>
      </w:r>
    </w:p>
  </w:footnote>
  <w:footnote w:type="continuationSeparator" w:id="0">
    <w:p w:rsidR="00BC458A" w:rsidRDefault="0076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A" w:rsidRDefault="0076628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C458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C458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BC458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A" w:rsidRDefault="0076628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C458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C458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BC458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A" w:rsidRDefault="0076628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C458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C458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15</w:t>
    </w:r>
    <w:r w:rsidR="00BC458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A"/>
    <w:rsid w:val="0076628D"/>
    <w:rsid w:val="009B6177"/>
    <w:rsid w:val="00BC458A"/>
    <w:rsid w:val="00F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4:docId w14:val="45A84B03"/>
  <w15:docId w15:val="{8818C120-29EE-4A9B-A9C8-2840B34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ITU-T/aap/dologin_aap.asp?id=T01020020580801MSWE.docx&amp;group=15" TargetMode="External"/><Relationship Id="rId21" Type="http://schemas.openxmlformats.org/officeDocument/2006/relationships/hyperlink" Target="mailto:tsbsg9@itu.int" TargetMode="External"/><Relationship Id="rId42" Type="http://schemas.openxmlformats.org/officeDocument/2006/relationships/hyperlink" Target="http://www.itu.int/itu-t/aap/AAPRecDetails.aspx?AAPSeqNo=8287" TargetMode="External"/><Relationship Id="rId63" Type="http://schemas.openxmlformats.org/officeDocument/2006/relationships/hyperlink" Target="https://www.itu.int/ITU-T/aap/dologin_aap.asp?id=T01020020500801MSWE.docx&amp;group=15" TargetMode="External"/><Relationship Id="rId84" Type="http://schemas.openxmlformats.org/officeDocument/2006/relationships/hyperlink" Target="http://www.itu.int/itu-t/aap/AAPRecDetails.aspx?AAPSeqNo=8310" TargetMode="External"/><Relationship Id="rId138" Type="http://schemas.openxmlformats.org/officeDocument/2006/relationships/hyperlink" Target="http://www.itu.int/itu-t/aap/AAPRecDetails.aspx?AAPSeqNo=8297" TargetMode="External"/><Relationship Id="rId159" Type="http://schemas.openxmlformats.org/officeDocument/2006/relationships/header" Target="header3.xml"/><Relationship Id="rId107" Type="http://schemas.openxmlformats.org/officeDocument/2006/relationships/hyperlink" Target="https://www.itu.int/ITU-T/aap/dologin_aap.asp?id=T01020020980801MSWE.docx&amp;group=15" TargetMode="External"/><Relationship Id="rId11" Type="http://schemas.openxmlformats.org/officeDocument/2006/relationships/hyperlink" Target="http://www.itu.int/ITU-T/" TargetMode="External"/><Relationship Id="rId32" Type="http://schemas.openxmlformats.org/officeDocument/2006/relationships/hyperlink" Target="http://www.itu.int/ITU-T/studygroups/com17" TargetMode="External"/><Relationship Id="rId53" Type="http://schemas.openxmlformats.org/officeDocument/2006/relationships/hyperlink" Target="https://www.itu.int/ITU-T/aap/dologin_aap.asp?id=T010200204B0801MSWE.docx&amp;group=15" TargetMode="External"/><Relationship Id="rId74" Type="http://schemas.openxmlformats.org/officeDocument/2006/relationships/hyperlink" Target="http://www.itu.int/itu-t/aap/AAPRecDetails.aspx?AAPSeqNo=8298" TargetMode="External"/><Relationship Id="rId128" Type="http://schemas.openxmlformats.org/officeDocument/2006/relationships/hyperlink" Target="http://www.itu.int/itu-t/aap/AAPRecDetails.aspx?AAPSeqNo=8286" TargetMode="External"/><Relationship Id="rId149" Type="http://schemas.openxmlformats.org/officeDocument/2006/relationships/hyperlink" Target="https://www.itu.int/ITU-T/aap/dologin_aap.asp?id=T01020020330801MSWE.docx&amp;group=1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tu.int/ITU-T/aap/dologin_aap.asp?id=T010200207C0801MSWE.docx&amp;group=15" TargetMode="External"/><Relationship Id="rId160" Type="http://schemas.openxmlformats.org/officeDocument/2006/relationships/footer" Target="footer4.xml"/><Relationship Id="rId22" Type="http://schemas.openxmlformats.org/officeDocument/2006/relationships/hyperlink" Target="http://www.itu.int/ITU-T/studygroups/com11" TargetMode="External"/><Relationship Id="rId43" Type="http://schemas.openxmlformats.org/officeDocument/2006/relationships/hyperlink" Target="https://www.itu.int/ITU-T/aap/dologin_aap.asp?id=T010200205F0801MSWE.docx&amp;group=15" TargetMode="External"/><Relationship Id="rId64" Type="http://schemas.openxmlformats.org/officeDocument/2006/relationships/hyperlink" Target="http://www.itu.int/itu-t/aap/AAPRecDetails.aspx?AAPSeqNo=8273" TargetMode="External"/><Relationship Id="rId118" Type="http://schemas.openxmlformats.org/officeDocument/2006/relationships/hyperlink" Target="http://www.itu.int/itu-t/aap/AAPRecDetails.aspx?AAPSeqNo=8282" TargetMode="External"/><Relationship Id="rId139" Type="http://schemas.openxmlformats.org/officeDocument/2006/relationships/hyperlink" Target="https://www.itu.int/ITU-T/aap/dologin_aap.asp?id=T01020020690801MSWE.docx&amp;group=15" TargetMode="External"/><Relationship Id="rId85" Type="http://schemas.openxmlformats.org/officeDocument/2006/relationships/hyperlink" Target="https://www.itu.int/ITU-T/aap/dologin_aap.asp?id=T01020020760801MSWE.docx&amp;group=15" TargetMode="External"/><Relationship Id="rId150" Type="http://schemas.openxmlformats.org/officeDocument/2006/relationships/header" Target="header2.xml"/><Relationship Id="rId12" Type="http://schemas.openxmlformats.org/officeDocument/2006/relationships/hyperlink" Target="http://www.itu.int/ITU-T/aapinfo/" TargetMode="External"/><Relationship Id="rId17" Type="http://schemas.openxmlformats.org/officeDocument/2006/relationships/hyperlink" Target="mailto:tsbsg3@itu.int" TargetMode="External"/><Relationship Id="rId33" Type="http://schemas.openxmlformats.org/officeDocument/2006/relationships/hyperlink" Target="mailto:tsbsg17@itu.int" TargetMode="External"/><Relationship Id="rId38" Type="http://schemas.openxmlformats.org/officeDocument/2006/relationships/hyperlink" Target="http://www.itu.int/itu-t/aap/AAPRecDetails.aspx?AAPSeqNo=8291" TargetMode="External"/><Relationship Id="rId59" Type="http://schemas.openxmlformats.org/officeDocument/2006/relationships/hyperlink" Target="https://www.itu.int/ITU-T/aap/dologin_aap.asp?id=T010200204E0801MSWE.docx&amp;group=15" TargetMode="External"/><Relationship Id="rId103" Type="http://schemas.openxmlformats.org/officeDocument/2006/relationships/hyperlink" Target="https://www.itu.int/ITU-T/aap/dologin_aap.asp?id=T01020020700801MSWE.docx&amp;group=15" TargetMode="External"/><Relationship Id="rId108" Type="http://schemas.openxmlformats.org/officeDocument/2006/relationships/hyperlink" Target="http://www.itu.int/itu-t/aap/AAPRecDetails.aspx?AAPSeqNo=8301" TargetMode="External"/><Relationship Id="rId124" Type="http://schemas.openxmlformats.org/officeDocument/2006/relationships/hyperlink" Target="http://www.itu.int/itu-t/aap/AAPRecDetails.aspx?AAPSeqNo=8285" TargetMode="External"/><Relationship Id="rId129" Type="http://schemas.openxmlformats.org/officeDocument/2006/relationships/hyperlink" Target="https://www.itu.int/ITU-T/aap/dologin_aap.asp?id=T010200205E0801MSWE.docx&amp;group=15" TargetMode="External"/><Relationship Id="rId54" Type="http://schemas.openxmlformats.org/officeDocument/2006/relationships/hyperlink" Target="http://www.itu.int/itu-t/aap/AAPRecDetails.aspx?AAPSeqNo=8268" TargetMode="External"/><Relationship Id="rId70" Type="http://schemas.openxmlformats.org/officeDocument/2006/relationships/hyperlink" Target="http://www.itu.int/itu-t/aap/AAPRecDetails.aspx?AAPSeqNo=8276" TargetMode="External"/><Relationship Id="rId75" Type="http://schemas.openxmlformats.org/officeDocument/2006/relationships/hyperlink" Target="https://www.itu.int/ITU-T/aap/dologin_aap.asp?id=T010200206A0801MSWE.docx&amp;group=15" TargetMode="External"/><Relationship Id="rId91" Type="http://schemas.openxmlformats.org/officeDocument/2006/relationships/hyperlink" Target="https://www.itu.int/ITU-T/aap/dologin_aap.asp?id=T010200206B0801MSWE.docx&amp;group=15" TargetMode="External"/><Relationship Id="rId96" Type="http://schemas.openxmlformats.org/officeDocument/2006/relationships/hyperlink" Target="http://www.itu.int/itu-t/aap/AAPRecDetails.aspx?AAPSeqNo=8311" TargetMode="External"/><Relationship Id="rId140" Type="http://schemas.openxmlformats.org/officeDocument/2006/relationships/hyperlink" Target="http://www.itu.int/itu-t/aap/AAPRecDetails.aspx?AAPSeqNo=8303" TargetMode="External"/><Relationship Id="rId145" Type="http://schemas.openxmlformats.org/officeDocument/2006/relationships/hyperlink" Target="https://www.itu.int/ITU-T/aap/dologin_aap.asp?id=T01020020340801MSWE.docx&amp;group=17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tsbsg11@itu.int" TargetMode="External"/><Relationship Id="rId28" Type="http://schemas.openxmlformats.org/officeDocument/2006/relationships/hyperlink" Target="http://www.itu.int/ITU-T/studygroups/com15" TargetMode="External"/><Relationship Id="rId49" Type="http://schemas.openxmlformats.org/officeDocument/2006/relationships/hyperlink" Target="https://www.itu.int/ITU-T/aap/dologin_aap.asp?id=T01020020780801MSWE.docx&amp;group=15" TargetMode="External"/><Relationship Id="rId114" Type="http://schemas.openxmlformats.org/officeDocument/2006/relationships/hyperlink" Target="http://www.itu.int/itu-t/aap/AAPRecDetails.aspx?AAPSeqNo=8292" TargetMode="External"/><Relationship Id="rId119" Type="http://schemas.openxmlformats.org/officeDocument/2006/relationships/hyperlink" Target="https://www.itu.int/ITU-T/aap/dologin_aap.asp?id=T010200205A0801MSWE.docx&amp;group=15" TargetMode="External"/><Relationship Id="rId44" Type="http://schemas.openxmlformats.org/officeDocument/2006/relationships/hyperlink" Target="http://www.itu.int/itu-t/aap/AAPRecDetails.aspx?AAPSeqNo=8313" TargetMode="External"/><Relationship Id="rId60" Type="http://schemas.openxmlformats.org/officeDocument/2006/relationships/hyperlink" Target="http://www.itu.int/itu-t/aap/AAPRecDetails.aspx?AAPSeqNo=8271" TargetMode="External"/><Relationship Id="rId65" Type="http://schemas.openxmlformats.org/officeDocument/2006/relationships/hyperlink" Target="https://www.itu.int/ITU-T/aap/dologin_aap.asp?id=T01020020510801MSWE.docx&amp;group=15" TargetMode="External"/><Relationship Id="rId81" Type="http://schemas.openxmlformats.org/officeDocument/2006/relationships/hyperlink" Target="https://www.itu.int/ITU-T/aap/dologin_aap.asp?id=T010200207B0801MSWE.docx&amp;group=15" TargetMode="External"/><Relationship Id="rId86" Type="http://schemas.openxmlformats.org/officeDocument/2006/relationships/hyperlink" Target="http://www.itu.int/itu-t/aap/AAPRecDetails.aspx?AAPSeqNo=8308" TargetMode="External"/><Relationship Id="rId130" Type="http://schemas.openxmlformats.org/officeDocument/2006/relationships/hyperlink" Target="http://www.itu.int/itu-t/aap/AAPRecDetails.aspx?AAPSeqNo=8288" TargetMode="External"/><Relationship Id="rId135" Type="http://schemas.openxmlformats.org/officeDocument/2006/relationships/hyperlink" Target="https://www.itu.int/ITU-T/aap/dologin_aap.asp?id=T01020020670801MSWE.doc&amp;group=15" TargetMode="External"/><Relationship Id="rId151" Type="http://schemas.openxmlformats.org/officeDocument/2006/relationships/footer" Target="footer3.xml"/><Relationship Id="rId156" Type="http://schemas.openxmlformats.org/officeDocument/2006/relationships/image" Target="media/image5.gif"/><Relationship Id="rId13" Type="http://schemas.openxmlformats.org/officeDocument/2006/relationships/hyperlink" Target="http://www.itu.int/ITU-T/aap/" TargetMode="External"/><Relationship Id="rId18" Type="http://schemas.openxmlformats.org/officeDocument/2006/relationships/hyperlink" Target="http://www.itu.int/ITU-T/studygroups/com05" TargetMode="External"/><Relationship Id="rId39" Type="http://schemas.openxmlformats.org/officeDocument/2006/relationships/hyperlink" Target="https://www.itu.int/ITU-T/aap/dologin_aap.asp?id=T01020020630801MSWE.docx&amp;group=15" TargetMode="External"/><Relationship Id="rId109" Type="http://schemas.openxmlformats.org/officeDocument/2006/relationships/hyperlink" Target="https://www.itu.int/ITU-T/aap/dologin_aap.asp?id=T010200206D0801MSWE.docx&amp;group=15" TargetMode="External"/><Relationship Id="rId34" Type="http://schemas.openxmlformats.org/officeDocument/2006/relationships/hyperlink" Target="http://www.itu.int/ITU-T/studygroups/com20" TargetMode="External"/><Relationship Id="rId50" Type="http://schemas.openxmlformats.org/officeDocument/2006/relationships/hyperlink" Target="http://www.itu.int/itu-t/aap/AAPRecDetails.aspx?AAPSeqNo=8266" TargetMode="External"/><Relationship Id="rId55" Type="http://schemas.openxmlformats.org/officeDocument/2006/relationships/hyperlink" Target="https://www.itu.int/ITU-T/aap/dologin_aap.asp?id=T010200204C0801MSWE.docx&amp;group=15" TargetMode="External"/><Relationship Id="rId76" Type="http://schemas.openxmlformats.org/officeDocument/2006/relationships/hyperlink" Target="http://www.itu.int/itu-t/aap/AAPRecDetails.aspx?AAPSeqNo=8306" TargetMode="External"/><Relationship Id="rId97" Type="http://schemas.openxmlformats.org/officeDocument/2006/relationships/hyperlink" Target="https://www.itu.int/ITU-T/aap/dologin_aap.asp?id=T01020020770801MSWE.docx&amp;group=15" TargetMode="External"/><Relationship Id="rId104" Type="http://schemas.openxmlformats.org/officeDocument/2006/relationships/hyperlink" Target="http://www.itu.int/itu-t/aap/AAPRecDetails.aspx?AAPSeqNo=8302" TargetMode="External"/><Relationship Id="rId120" Type="http://schemas.openxmlformats.org/officeDocument/2006/relationships/hyperlink" Target="http://www.itu.int/itu-t/aap/AAPRecDetails.aspx?AAPSeqNo=8283" TargetMode="External"/><Relationship Id="rId125" Type="http://schemas.openxmlformats.org/officeDocument/2006/relationships/hyperlink" Target="https://www.itu.int/ITU-T/aap/dologin_aap.asp?id=T010200205D0801MSWE.docx&amp;group=15" TargetMode="External"/><Relationship Id="rId141" Type="http://schemas.openxmlformats.org/officeDocument/2006/relationships/hyperlink" Target="https://www.itu.int/ITU-T/aap/dologin_aap.asp?id=T010200206F0801MSWE.docx&amp;group=16" TargetMode="External"/><Relationship Id="rId146" Type="http://schemas.openxmlformats.org/officeDocument/2006/relationships/hyperlink" Target="http://www.itu.int/itu-t/aap/AAPRecDetails.aspx?AAPSeqNo=82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0540804MSWE.docx&amp;group=15" TargetMode="External"/><Relationship Id="rId92" Type="http://schemas.openxmlformats.org/officeDocument/2006/relationships/hyperlink" Target="http://www.itu.int/itu-t/aap/AAPRecDetails.aspx?AAPSeqNo=8317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tsbsg15@itu.int" TargetMode="External"/><Relationship Id="rId24" Type="http://schemas.openxmlformats.org/officeDocument/2006/relationships/hyperlink" Target="http://www.itu.int/ITU-T/studygroups/com12" TargetMode="External"/><Relationship Id="rId40" Type="http://schemas.openxmlformats.org/officeDocument/2006/relationships/hyperlink" Target="http://www.itu.int/itu-t/aap/AAPRecDetails.aspx?AAPSeqNo=8281" TargetMode="External"/><Relationship Id="rId45" Type="http://schemas.openxmlformats.org/officeDocument/2006/relationships/hyperlink" Target="https://www.itu.int/ITU-T/aap/dologin_aap.asp?id=T01020020790801MSWE.docx&amp;group=15" TargetMode="External"/><Relationship Id="rId66" Type="http://schemas.openxmlformats.org/officeDocument/2006/relationships/hyperlink" Target="http://www.itu.int/itu-t/aap/AAPRecDetails.aspx?AAPSeqNo=8274" TargetMode="External"/><Relationship Id="rId87" Type="http://schemas.openxmlformats.org/officeDocument/2006/relationships/hyperlink" Target="https://www.itu.int/ITU-T/aap/dologin_aap.asp?id=T01020020740801MSWE.docx&amp;group=15" TargetMode="External"/><Relationship Id="rId110" Type="http://schemas.openxmlformats.org/officeDocument/2006/relationships/hyperlink" Target="http://www.itu.int/itu-t/aap/AAPRecDetails.aspx?AAPSeqNo=8300" TargetMode="External"/><Relationship Id="rId115" Type="http://schemas.openxmlformats.org/officeDocument/2006/relationships/hyperlink" Target="https://www.itu.int/ITU-T/aap/dologin_aap.asp?id=T01020020640801MSWE.docx&amp;group=15" TargetMode="External"/><Relationship Id="rId131" Type="http://schemas.openxmlformats.org/officeDocument/2006/relationships/hyperlink" Target="https://www.itu.int/ITU-T/aap/dologin_aap.asp?id=T01020020600801MSWE.docx&amp;group=15" TargetMode="External"/><Relationship Id="rId136" Type="http://schemas.openxmlformats.org/officeDocument/2006/relationships/hyperlink" Target="http://www.itu.int/itu-t/aap/AAPRecDetails.aspx?AAPSeqNo=8293" TargetMode="External"/><Relationship Id="rId157" Type="http://schemas.openxmlformats.org/officeDocument/2006/relationships/hyperlink" Target="http://www.itu.int/ITU-T/aapinfo/files/AAPTutorial.pdf" TargetMode="External"/><Relationship Id="rId61" Type="http://schemas.openxmlformats.org/officeDocument/2006/relationships/hyperlink" Target="https://www.itu.int/ITU-T/aap/dologin_aap.asp?id=T010200204F0801MSWE.docx&amp;group=15" TargetMode="External"/><Relationship Id="rId82" Type="http://schemas.openxmlformats.org/officeDocument/2006/relationships/hyperlink" Target="http://www.itu.int/itu-t/aap/AAPRecDetails.aspx?AAPSeqNo=8309" TargetMode="External"/><Relationship Id="rId152" Type="http://schemas.openxmlformats.org/officeDocument/2006/relationships/hyperlink" Target="http://www.itu.int/ITU-T/aap/" TargetMode="External"/><Relationship Id="rId19" Type="http://schemas.openxmlformats.org/officeDocument/2006/relationships/hyperlink" Target="mailto:tsbsg5@itu.int" TargetMode="External"/><Relationship Id="rId14" Type="http://schemas.openxmlformats.org/officeDocument/2006/relationships/hyperlink" Target="http://www.itu.int/ITU-T/studygroups/com02" TargetMode="External"/><Relationship Id="rId30" Type="http://schemas.openxmlformats.org/officeDocument/2006/relationships/hyperlink" Target="http://www.itu.int/ITU-T/studygroups/com16" TargetMode="External"/><Relationship Id="rId35" Type="http://schemas.openxmlformats.org/officeDocument/2006/relationships/hyperlink" Target="mailto:tsbsg20@itu.int" TargetMode="External"/><Relationship Id="rId56" Type="http://schemas.openxmlformats.org/officeDocument/2006/relationships/hyperlink" Target="http://www.itu.int/itu-t/aap/AAPRecDetails.aspx?AAPSeqNo=8269" TargetMode="External"/><Relationship Id="rId77" Type="http://schemas.openxmlformats.org/officeDocument/2006/relationships/hyperlink" Target="https://www.itu.int/ITU-T/aap/dologin_aap.asp?id=T01020020720801MSWE.docx&amp;group=15" TargetMode="External"/><Relationship Id="rId100" Type="http://schemas.openxmlformats.org/officeDocument/2006/relationships/hyperlink" Target="http://www.itu.int/itu-t/aap/AAPRecDetails.aspx?AAPSeqNo=8305" TargetMode="External"/><Relationship Id="rId105" Type="http://schemas.openxmlformats.org/officeDocument/2006/relationships/hyperlink" Target="https://www.itu.int/ITU-T/aap/dologin_aap.asp?id=T010200206E0801MSWE.docx&amp;group=15" TargetMode="External"/><Relationship Id="rId126" Type="http://schemas.openxmlformats.org/officeDocument/2006/relationships/hyperlink" Target="http://www.itu.int/itu-t/aap/AAPRecDetails.aspx?AAPSeqNo=8290" TargetMode="External"/><Relationship Id="rId147" Type="http://schemas.openxmlformats.org/officeDocument/2006/relationships/hyperlink" Target="https://www.itu.int/ITU-T/aap/dologin_aap.asp?id=T01020020320801MSWE.docx&amp;group=17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itu.int/ITU-T/aap/dologin_aap.asp?id=T010200204A0801MSWE.doc&amp;group=15" TargetMode="External"/><Relationship Id="rId72" Type="http://schemas.openxmlformats.org/officeDocument/2006/relationships/hyperlink" Target="http://www.itu.int/itu-t/aap/AAPRecDetails.aspx?AAPSeqNo=8277" TargetMode="External"/><Relationship Id="rId93" Type="http://schemas.openxmlformats.org/officeDocument/2006/relationships/hyperlink" Target="https://www.itu.int/ITU-T/aap/dologin_aap.asp?id=T010200207D0801MSWE.docx&amp;group=15" TargetMode="External"/><Relationship Id="rId98" Type="http://schemas.openxmlformats.org/officeDocument/2006/relationships/hyperlink" Target="http://www.itu.int/itu-t/aap/AAPRecDetails.aspx?AAPSeqNo=8343" TargetMode="External"/><Relationship Id="rId121" Type="http://schemas.openxmlformats.org/officeDocument/2006/relationships/hyperlink" Target="https://www.itu.int/ITU-T/aap/dologin_aap.asp?id=T010200205B0801MSWE.docx&amp;group=15" TargetMode="External"/><Relationship Id="rId142" Type="http://schemas.openxmlformats.org/officeDocument/2006/relationships/hyperlink" Target="http://www.itu.int/itu-t/aap/AAPRecDetails.aspx?AAPSeqNo=8296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sbsg12@itu.int" TargetMode="External"/><Relationship Id="rId46" Type="http://schemas.openxmlformats.org/officeDocument/2006/relationships/hyperlink" Target="http://www.itu.int/itu-t/aap/AAPRecDetails.aspx?AAPSeqNo=8314" TargetMode="External"/><Relationship Id="rId67" Type="http://schemas.openxmlformats.org/officeDocument/2006/relationships/hyperlink" Target="https://www.itu.int/ITU-T/aap/dologin_aap.asp?id=T01020020520801MSWE.docx&amp;group=15" TargetMode="External"/><Relationship Id="rId116" Type="http://schemas.openxmlformats.org/officeDocument/2006/relationships/hyperlink" Target="http://www.itu.int/itu-t/aap/AAPRecDetails.aspx?AAPSeqNo=8280" TargetMode="External"/><Relationship Id="rId137" Type="http://schemas.openxmlformats.org/officeDocument/2006/relationships/hyperlink" Target="https://www.itu.int/ITU-T/aap/dologin_aap.asp?id=T01020020650801MSWE.docx&amp;group=15" TargetMode="External"/><Relationship Id="rId158" Type="http://schemas.openxmlformats.org/officeDocument/2006/relationships/hyperlink" Target="mailto:tsbsg....@itu.int" TargetMode="External"/><Relationship Id="rId20" Type="http://schemas.openxmlformats.org/officeDocument/2006/relationships/hyperlink" Target="http://www.itu.int/ITU-T/studygroups/com09" TargetMode="External"/><Relationship Id="rId41" Type="http://schemas.openxmlformats.org/officeDocument/2006/relationships/hyperlink" Target="https://www.itu.int/ITU-T/aap/dologin_aap.asp?id=T01020020590801MSWE.docx&amp;group=15" TargetMode="External"/><Relationship Id="rId62" Type="http://schemas.openxmlformats.org/officeDocument/2006/relationships/hyperlink" Target="http://www.itu.int/itu-t/aap/AAPRecDetails.aspx?AAPSeqNo=8272" TargetMode="External"/><Relationship Id="rId83" Type="http://schemas.openxmlformats.org/officeDocument/2006/relationships/hyperlink" Target="https://www.itu.int/ITU-T/aap/dologin_aap.asp?id=T01020020750801MSWE.docx&amp;group=15" TargetMode="External"/><Relationship Id="rId88" Type="http://schemas.openxmlformats.org/officeDocument/2006/relationships/hyperlink" Target="http://www.itu.int/itu-t/aap/AAPRecDetails.aspx?AAPSeqNo=8294" TargetMode="External"/><Relationship Id="rId111" Type="http://schemas.openxmlformats.org/officeDocument/2006/relationships/hyperlink" Target="https://www.itu.int/ITU-T/aap/dologin_aap.asp?id=T010200206C0801MSWE.docx&amp;group=15" TargetMode="External"/><Relationship Id="rId132" Type="http://schemas.openxmlformats.org/officeDocument/2006/relationships/hyperlink" Target="http://www.itu.int/itu-t/aap/AAPRecDetails.aspx?AAPSeqNo=8289" TargetMode="External"/><Relationship Id="rId153" Type="http://schemas.openxmlformats.org/officeDocument/2006/relationships/image" Target="media/image2.gif"/><Relationship Id="rId15" Type="http://schemas.openxmlformats.org/officeDocument/2006/relationships/hyperlink" Target="mailto:tsbsg2@itu.int" TargetMode="External"/><Relationship Id="rId36" Type="http://schemas.openxmlformats.org/officeDocument/2006/relationships/hyperlink" Target="http://www.itu.int/itu-t/aap/AAPRecDetails.aspx?AAPSeqNo=8279" TargetMode="External"/><Relationship Id="rId57" Type="http://schemas.openxmlformats.org/officeDocument/2006/relationships/hyperlink" Target="https://www.itu.int/ITU-T/aap/dologin_aap.asp?id=T010200204D0801MSWE.docx&amp;group=15" TargetMode="External"/><Relationship Id="rId106" Type="http://schemas.openxmlformats.org/officeDocument/2006/relationships/hyperlink" Target="http://www.itu.int/itu-t/aap/AAPRecDetails.aspx?AAPSeqNo=8344" TargetMode="External"/><Relationship Id="rId127" Type="http://schemas.openxmlformats.org/officeDocument/2006/relationships/hyperlink" Target="https://www.itu.int/ITU-T/aap/dologin_aap.asp?id=T01020020620801MSWE.docx&amp;group=15" TargetMode="External"/><Relationship Id="rId10" Type="http://schemas.openxmlformats.org/officeDocument/2006/relationships/footer" Target="footer2.xml"/><Relationship Id="rId31" Type="http://schemas.openxmlformats.org/officeDocument/2006/relationships/hyperlink" Target="mailto:tsbsg16@itu.int" TargetMode="External"/><Relationship Id="rId52" Type="http://schemas.openxmlformats.org/officeDocument/2006/relationships/hyperlink" Target="http://www.itu.int/itu-t/aap/AAPRecDetails.aspx?AAPSeqNo=8267" TargetMode="External"/><Relationship Id="rId73" Type="http://schemas.openxmlformats.org/officeDocument/2006/relationships/hyperlink" Target="https://www.itu.int/ITU-T/aap/dologin_aap.asp?id=T01020020550801MSWE.docx&amp;group=15" TargetMode="External"/><Relationship Id="rId78" Type="http://schemas.openxmlformats.org/officeDocument/2006/relationships/hyperlink" Target="http://www.itu.int/itu-t/aap/AAPRecDetails.aspx?AAPSeqNo=8307" TargetMode="External"/><Relationship Id="rId94" Type="http://schemas.openxmlformats.org/officeDocument/2006/relationships/hyperlink" Target="http://www.itu.int/itu-t/aap/AAPRecDetails.aspx?AAPSeqNo=8316" TargetMode="External"/><Relationship Id="rId99" Type="http://schemas.openxmlformats.org/officeDocument/2006/relationships/hyperlink" Target="https://www.itu.int/ITU-T/aap/dologin_aap.asp?id=T01020020970801MSWE.docx&amp;group=15" TargetMode="External"/><Relationship Id="rId101" Type="http://schemas.openxmlformats.org/officeDocument/2006/relationships/hyperlink" Target="https://www.itu.int/ITU-T/aap/dologin_aap.asp?id=T01020020710801MSWE.docx&amp;group=15" TargetMode="External"/><Relationship Id="rId122" Type="http://schemas.openxmlformats.org/officeDocument/2006/relationships/hyperlink" Target="http://www.itu.int/itu-t/aap/AAPRecDetails.aspx?AAPSeqNo=8284" TargetMode="External"/><Relationship Id="rId143" Type="http://schemas.openxmlformats.org/officeDocument/2006/relationships/hyperlink" Target="https://www.itu.int/ITU-T/aap/dologin_aap.asp?id=T01020020680801MSWE.docx&amp;group=16" TargetMode="External"/><Relationship Id="rId148" Type="http://schemas.openxmlformats.org/officeDocument/2006/relationships/hyperlink" Target="http://www.itu.int/itu-t/aap/AAPRecDetails.aspx?AAPSeqNo=824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http://www.itu.int/ITU-T/studygroups/com13" TargetMode="External"/><Relationship Id="rId47" Type="http://schemas.openxmlformats.org/officeDocument/2006/relationships/hyperlink" Target="https://www.itu.int/ITU-T/aap/dologin_aap.asp?id=T010200207A0801MSWE.docx&amp;group=15" TargetMode="External"/><Relationship Id="rId68" Type="http://schemas.openxmlformats.org/officeDocument/2006/relationships/hyperlink" Target="http://www.itu.int/itu-t/aap/AAPRecDetails.aspx?AAPSeqNo=8275" TargetMode="External"/><Relationship Id="rId89" Type="http://schemas.openxmlformats.org/officeDocument/2006/relationships/hyperlink" Target="https://www.itu.int/ITU-T/aap/dologin_aap.asp?id=T01020020660801MSWE.docx&amp;group=15" TargetMode="External"/><Relationship Id="rId112" Type="http://schemas.openxmlformats.org/officeDocument/2006/relationships/hyperlink" Target="http://www.itu.int/itu-t/aap/AAPRecDetails.aspx?AAPSeqNo=8278" TargetMode="External"/><Relationship Id="rId133" Type="http://schemas.openxmlformats.org/officeDocument/2006/relationships/hyperlink" Target="https://www.itu.int/ITU-T/aap/dologin_aap.asp?id=T01020020610801MSWE.docx&amp;group=15" TargetMode="External"/><Relationship Id="rId154" Type="http://schemas.openxmlformats.org/officeDocument/2006/relationships/image" Target="media/image3.gif"/><Relationship Id="rId16" Type="http://schemas.openxmlformats.org/officeDocument/2006/relationships/hyperlink" Target="http://www.itu.int/ITU-T/studygroups/com03" TargetMode="External"/><Relationship Id="rId37" Type="http://schemas.openxmlformats.org/officeDocument/2006/relationships/hyperlink" Target="https://www.itu.int/ITU-T/aap/dologin_aap.asp?id=T01020020570801MSWE.doc&amp;group=15" TargetMode="External"/><Relationship Id="rId58" Type="http://schemas.openxmlformats.org/officeDocument/2006/relationships/hyperlink" Target="http://www.itu.int/itu-t/aap/AAPRecDetails.aspx?AAPSeqNo=8270" TargetMode="External"/><Relationship Id="rId79" Type="http://schemas.openxmlformats.org/officeDocument/2006/relationships/hyperlink" Target="https://www.itu.int/ITU-T/aap/dologin_aap.asp?id=T01020020730801MSWE.docx&amp;group=15" TargetMode="External"/><Relationship Id="rId102" Type="http://schemas.openxmlformats.org/officeDocument/2006/relationships/hyperlink" Target="http://www.itu.int/itu-t/aap/AAPRecDetails.aspx?AAPSeqNo=8304" TargetMode="External"/><Relationship Id="rId123" Type="http://schemas.openxmlformats.org/officeDocument/2006/relationships/hyperlink" Target="https://www.itu.int/ITU-T/aap/dologin_aap.asp?id=T010200205C0801MSWE.docx&amp;group=15" TargetMode="External"/><Relationship Id="rId144" Type="http://schemas.openxmlformats.org/officeDocument/2006/relationships/hyperlink" Target="http://www.itu.int/itu-t/aap/AAPRecDetails.aspx?AAPSeqNo=8244" TargetMode="External"/><Relationship Id="rId90" Type="http://schemas.openxmlformats.org/officeDocument/2006/relationships/hyperlink" Target="http://www.itu.int/itu-t/aap/AAPRecDetails.aspx?AAPSeqNo=8299" TargetMode="External"/><Relationship Id="rId27" Type="http://schemas.openxmlformats.org/officeDocument/2006/relationships/hyperlink" Target="mailto:tsbsg13@itu.int" TargetMode="External"/><Relationship Id="rId48" Type="http://schemas.openxmlformats.org/officeDocument/2006/relationships/hyperlink" Target="http://www.itu.int/itu-t/aap/AAPRecDetails.aspx?AAPSeqNo=8312" TargetMode="External"/><Relationship Id="rId69" Type="http://schemas.openxmlformats.org/officeDocument/2006/relationships/hyperlink" Target="https://www.itu.int/ITU-T/aap/dologin_aap.asp?id=T01020020530801MSWE.docx&amp;group=15" TargetMode="External"/><Relationship Id="rId113" Type="http://schemas.openxmlformats.org/officeDocument/2006/relationships/hyperlink" Target="https://www.itu.int/ITU-T/aap/dologin_aap.asp?id=T01020020560801MSWE.docx&amp;group=15" TargetMode="External"/><Relationship Id="rId134" Type="http://schemas.openxmlformats.org/officeDocument/2006/relationships/hyperlink" Target="http://www.itu.int/itu-t/aap/AAPRecDetails.aspx?AAPSeqNo=8295" TargetMode="External"/><Relationship Id="rId80" Type="http://schemas.openxmlformats.org/officeDocument/2006/relationships/hyperlink" Target="http://www.itu.int/itu-t/aap/AAPRecDetails.aspx?AAPSeqNo=8315" TargetMode="External"/><Relationship Id="rId155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/>
  <cp:lastModifiedBy>Rob Clark</cp:lastModifiedBy>
  <cp:revision>3</cp:revision>
  <dcterms:created xsi:type="dcterms:W3CDTF">2018-11-30T15:35:00Z</dcterms:created>
  <dcterms:modified xsi:type="dcterms:W3CDTF">2018-11-30T15:37:00Z</dcterms:modified>
</cp:coreProperties>
</file>