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D62F04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F04" w:rsidRDefault="00D62F04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F04" w:rsidRDefault="008D36C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62F04" w:rsidRDefault="008D36C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62F04" w:rsidRDefault="008D36C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F04" w:rsidRDefault="00D62F0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62F04">
        <w:trPr>
          <w:cantSplit/>
          <w:trHeight w:val="340"/>
        </w:trPr>
        <w:tc>
          <w:tcPr>
            <w:tcW w:w="1533" w:type="dxa"/>
          </w:tcPr>
          <w:p w:rsidR="00D62F04" w:rsidRDefault="00D62F0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62F04" w:rsidRDefault="00D62F0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62F04" w:rsidRDefault="008D36C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يونيو </w:t>
            </w:r>
            <w:r>
              <w:rPr>
                <w:rFonts w:cs="Traditional Arabic"/>
                <w:sz w:val="21"/>
                <w:szCs w:val="22"/>
                <w:lang w:bidi="ar-EG"/>
              </w:rPr>
              <w:t>2018</w:t>
            </w:r>
          </w:p>
          <w:p w:rsidR="00D62F04" w:rsidRDefault="00D62F0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62F0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62F04" w:rsidRDefault="008D36C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62F04" w:rsidRDefault="008D36C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62F04" w:rsidRDefault="008D36C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62F04" w:rsidRDefault="008D36C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62F04" w:rsidRDefault="008D36C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62F04" w:rsidRDefault="008D36C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F964FC">
              <w:rPr>
                <w:rFonts w:cs="Traditional Arabic"/>
                <w:b/>
                <w:sz w:val="21"/>
                <w:szCs w:val="28"/>
                <w:lang w:val="de-CH"/>
              </w:rPr>
              <w:t>TSB AAP-36</w:t>
            </w:r>
          </w:p>
          <w:p w:rsidR="00D62F04" w:rsidRDefault="008D36C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F964FC"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62F04" w:rsidRDefault="008D36C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F964FC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D62F04" w:rsidRDefault="008D36C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F964FC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D62F04" w:rsidRPr="00F964FC" w:rsidRDefault="008D36C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F964FC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62F04" w:rsidRDefault="00D62F0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62F04" w:rsidRDefault="008D36C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62F04" w:rsidRDefault="00D62F04">
      <w:pPr>
        <w:bidi/>
        <w:spacing w:line="300" w:lineRule="exact"/>
        <w:rPr>
          <w:rFonts w:cs="Traditional Arabic"/>
          <w:szCs w:val="30"/>
          <w:rtl/>
        </w:rPr>
      </w:pPr>
    </w:p>
    <w:p w:rsidR="00D62F04" w:rsidRDefault="008D36C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62F04" w:rsidRDefault="00D62F04">
      <w:pPr>
        <w:bidi/>
        <w:spacing w:line="300" w:lineRule="exact"/>
        <w:rPr>
          <w:rFonts w:cs="Traditional Arabic"/>
          <w:szCs w:val="30"/>
          <w:rtl/>
        </w:rPr>
      </w:pPr>
    </w:p>
    <w:p w:rsidR="00D62F04" w:rsidRDefault="008D36C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62F04" w:rsidRDefault="008D36C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62F04" w:rsidRDefault="008D36C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62F04" w:rsidRDefault="008D36C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D62F04" w:rsidRDefault="008D36C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62F04" w:rsidRDefault="008D36C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62F04" w:rsidRDefault="00D62F0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62F04" w:rsidRDefault="008D36C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62F04" w:rsidRDefault="008D36C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62F04" w:rsidRDefault="00D62F0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62F04" w:rsidRDefault="008D36C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62F04" w:rsidRDefault="00D62F04">
      <w:pPr>
        <w:spacing w:before="720"/>
        <w:rPr>
          <w:rFonts w:ascii="Times New Roman" w:hAnsi="Times New Roman"/>
        </w:rPr>
        <w:sectPr w:rsidR="00D62F04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62F04" w:rsidRDefault="008D36CD">
      <w:r>
        <w:lastRenderedPageBreak/>
        <w:t>Annex 1</w:t>
      </w:r>
    </w:p>
    <w:p w:rsidR="00D62F04" w:rsidRDefault="008D36CD">
      <w:pPr>
        <w:jc w:val="center"/>
      </w:pPr>
      <w:r>
        <w:t>(to TSB AAP-36)</w:t>
      </w:r>
    </w:p>
    <w:p w:rsidR="00D62F04" w:rsidRDefault="00D62F04">
      <w:pPr>
        <w:rPr>
          <w:szCs w:val="22"/>
        </w:rPr>
      </w:pPr>
    </w:p>
    <w:p w:rsidR="00D62F04" w:rsidRDefault="008D36C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62F04" w:rsidRPr="00F964FC" w:rsidRDefault="008D36CD">
      <w:pPr>
        <w:pStyle w:val="Headingb"/>
        <w:rPr>
          <w:szCs w:val="22"/>
          <w:lang w:val="fr-FR"/>
        </w:rPr>
      </w:pPr>
      <w:r w:rsidRPr="00F964FC">
        <w:rPr>
          <w:szCs w:val="22"/>
          <w:lang w:val="fr-FR"/>
        </w:rPr>
        <w:t>ITU-T website entry page:</w:t>
      </w:r>
    </w:p>
    <w:p w:rsidR="00D62F04" w:rsidRPr="00F964FC" w:rsidRDefault="00F964FC">
      <w:pPr>
        <w:pStyle w:val="enumlev2"/>
        <w:rPr>
          <w:szCs w:val="22"/>
          <w:lang w:val="fr-FR"/>
        </w:rPr>
      </w:pPr>
      <w:hyperlink r:id="rId12" w:history="1">
        <w:r w:rsidR="008D36CD" w:rsidRPr="00F964FC">
          <w:rPr>
            <w:rStyle w:val="Hyperlink"/>
            <w:szCs w:val="22"/>
            <w:lang w:val="fr-FR"/>
          </w:rPr>
          <w:t>http://www.itu.int/ITU-T</w:t>
        </w:r>
      </w:hyperlink>
    </w:p>
    <w:p w:rsidR="00D62F04" w:rsidRDefault="008D36C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62F04" w:rsidRDefault="00F964FC">
      <w:pPr>
        <w:pStyle w:val="enumlev2"/>
        <w:rPr>
          <w:szCs w:val="22"/>
        </w:rPr>
      </w:pPr>
      <w:hyperlink r:id="rId13" w:history="1">
        <w:r w:rsidR="008D36CD">
          <w:rPr>
            <w:rStyle w:val="Hyperlink"/>
            <w:szCs w:val="22"/>
          </w:rPr>
          <w:t>http://www.itu.int/ITU-T/aapinfo</w:t>
        </w:r>
      </w:hyperlink>
    </w:p>
    <w:p w:rsidR="00D62F04" w:rsidRDefault="008D36C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62F04" w:rsidRDefault="008D36C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62F04" w:rsidRDefault="00F964FC">
      <w:pPr>
        <w:pStyle w:val="enumlev2"/>
        <w:rPr>
          <w:szCs w:val="22"/>
        </w:rPr>
      </w:pPr>
      <w:hyperlink r:id="rId14" w:history="1">
        <w:r w:rsidR="008D36CD">
          <w:rPr>
            <w:rStyle w:val="Hyperlink"/>
            <w:szCs w:val="22"/>
          </w:rPr>
          <w:t>http://www.itu.int/ITU-T/aap/</w:t>
        </w:r>
      </w:hyperlink>
    </w:p>
    <w:p w:rsidR="00D62F04" w:rsidRDefault="008D36C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62F04">
        <w:tc>
          <w:tcPr>
            <w:tcW w:w="987" w:type="dxa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8D36C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D36C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D36C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D36C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D36C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D36C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D36C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D36C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D36C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D36C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D36C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D36C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D36C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D36C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D36C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D36C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D36C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D36C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D36C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D36C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62F04">
        <w:tc>
          <w:tcPr>
            <w:tcW w:w="0" w:type="auto"/>
          </w:tcPr>
          <w:p w:rsidR="00D62F04" w:rsidRDefault="008D36C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D36C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D62F04" w:rsidRDefault="00F964F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D36C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62F04" w:rsidRDefault="00D62F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62F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62F04" w:rsidRDefault="008D36C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2F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2F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37" w:history="1">
              <w:r w:rsidR="008D36CD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Base station site energy parameter measurement methodology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62F04" w:rsidRDefault="008D36C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2F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2F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39" w:history="1">
              <w:r w:rsidR="008D36CD">
                <w:rPr>
                  <w:rStyle w:val="Hyperlink"/>
                  <w:sz w:val="20"/>
                </w:rPr>
                <w:t>Y.2072 (Y.energy-platform)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Framework of Energy Sharing and Trading Platform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41" w:history="1">
              <w:r w:rsidR="008D36CD">
                <w:rPr>
                  <w:rStyle w:val="Hyperlink"/>
                  <w:sz w:val="20"/>
                </w:rPr>
                <w:t>Y.2305 (Y.UMCDN)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Unified management of Content Delivery Networks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43" w:history="1">
              <w:r w:rsidR="008D36CD">
                <w:rPr>
                  <w:rStyle w:val="Hyperlink"/>
                  <w:sz w:val="20"/>
                </w:rPr>
                <w:t>Y.2619 (Y.PTDN-OAM)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Operation, administration, and maintenance functions and mechanisms for Public packet Telecommunication Data Network (PTDN)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45" w:history="1">
              <w:r w:rsidR="008D36CD">
                <w:rPr>
                  <w:rStyle w:val="Hyperlink"/>
                  <w:sz w:val="20"/>
                </w:rPr>
                <w:t>Y.3054 (Y.trustworthy-media)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Framework of Trust-based Media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47" w:history="1">
              <w:r w:rsidR="008D36CD">
                <w:rPr>
                  <w:rStyle w:val="Hyperlink"/>
                  <w:sz w:val="20"/>
                </w:rPr>
                <w:t>Y.3102 (Y.IMT2020-frame)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Framework of the IMT-2020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49" w:history="1">
              <w:r w:rsidR="008D36CD">
                <w:rPr>
                  <w:rStyle w:val="Hyperlink"/>
                  <w:sz w:val="20"/>
                </w:rPr>
                <w:t>Y.3112 (Y.IMT2020-MultiSL)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Framework for the support of Multiple Network Slicing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51" w:history="1">
              <w:r w:rsidR="008D36CD">
                <w:rPr>
                  <w:rStyle w:val="Hyperlink"/>
                  <w:sz w:val="20"/>
                </w:rPr>
                <w:t>Y.3505 (Y.dsf-reqts)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Cloud computing - Overview and functional requirements for data storage federation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53" w:history="1">
              <w:r w:rsidR="008D36CD">
                <w:rPr>
                  <w:rStyle w:val="Hyperlink"/>
                  <w:sz w:val="20"/>
                </w:rPr>
                <w:t>Y.3506 (Y.csb-reqts)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Cloud computing - Functional requirements for cloud service brokerage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62F04" w:rsidRDefault="008D36C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2F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2F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55" w:history="1">
              <w:r w:rsidR="008D36CD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Flexible OTN short-reach interface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57" w:history="1">
              <w:r w:rsidR="008D36CD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Flexible OTN long-reach interface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59" w:history="1">
              <w:r w:rsidR="008D36CD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Single-ended line testing for digital subscriber lines (DSL): Amendment 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61" w:history="1">
              <w:r w:rsidR="008D36CD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Single-ended line testing for digital subscriber lines (DSL):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63" w:history="1">
              <w:r w:rsidR="008D36CD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Physical layer management for digital subscriber line transceivers -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2018-05-21</w:t>
            </w:r>
          </w:p>
        </w:tc>
        <w:tc>
          <w:tcPr>
            <w:tcW w:w="88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62F04" w:rsidRDefault="008D36C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2F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2F04" w:rsidRDefault="008D36C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2F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2F04" w:rsidRDefault="008D36C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2F04" w:rsidRDefault="00D62F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 w:rsidP="00F964FC">
            <w:hyperlink r:id="rId65" w:history="1">
              <w:r w:rsidR="008D36CD">
                <w:rPr>
                  <w:rStyle w:val="Hyperlink"/>
                  <w:sz w:val="20"/>
                </w:rPr>
                <w:t>Y.400</w:t>
              </w:r>
              <w:r>
                <w:rPr>
                  <w:rStyle w:val="Hyperlink"/>
                  <w:sz w:val="20"/>
                </w:rPr>
                <w:t>3</w:t>
              </w:r>
              <w:bookmarkStart w:id="0" w:name="_GoBack"/>
              <w:bookmarkEnd w:id="0"/>
              <w:r w:rsidR="008D36CD">
                <w:rPr>
                  <w:rStyle w:val="Hyperlink"/>
                  <w:sz w:val="20"/>
                </w:rPr>
                <w:t xml:space="preserve"> (Y.SmartMan-IIoT-overview)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Overview of smart manufacturing in the context of the industrial Internet of things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67" w:history="1">
              <w:r w:rsidR="008D36CD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Requirements of Internet of things applications for smart retail stores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69" w:history="1">
              <w:r w:rsidR="008D36CD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Requirements of an Internet of Things enabled network for support of applications for global processes of the Earth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71" w:history="1">
              <w:r w:rsidR="008D36CD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Architecture of web of objects based virtual home network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Pr="00F964FC" w:rsidRDefault="00F964FC">
            <w:pPr>
              <w:rPr>
                <w:lang w:val="de-CH"/>
              </w:rPr>
            </w:pPr>
            <w:hyperlink r:id="rId73" w:history="1">
              <w:r w:rsidR="008D36CD" w:rsidRPr="00F964FC">
                <w:rPr>
                  <w:rStyle w:val="Hyperlink"/>
                  <w:sz w:val="20"/>
                  <w:lang w:val="de-CH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Architecture of the Internet of things based on next generation network evolution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75" w:history="1">
              <w:r w:rsidR="008D36CD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Framework of self-organization network in the IoT environments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77" w:history="1">
              <w:r w:rsidR="008D36CD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Functional architecture of gateway for Internet of things applications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79" w:history="1">
              <w:r w:rsidR="008D36CD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Architectural framework for transportation safety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2F04">
        <w:trPr>
          <w:cantSplit/>
        </w:trPr>
        <w:tc>
          <w:tcPr>
            <w:tcW w:w="2090" w:type="dxa"/>
          </w:tcPr>
          <w:p w:rsidR="00D62F04" w:rsidRDefault="00F964FC">
            <w:hyperlink r:id="rId81" w:history="1">
              <w:r w:rsidR="008D36CD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D62F04" w:rsidRDefault="008D36CD">
            <w:r>
              <w:t>oneM2M- MAF and MEF Interface Specification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115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80" w:type="dxa"/>
          </w:tcPr>
          <w:p w:rsidR="00D62F04" w:rsidRDefault="00D62F04">
            <w:pPr>
              <w:jc w:val="center"/>
            </w:pPr>
          </w:p>
        </w:tc>
        <w:tc>
          <w:tcPr>
            <w:tcW w:w="860" w:type="dxa"/>
          </w:tcPr>
          <w:p w:rsidR="00D62F04" w:rsidRDefault="008D36C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62F04" w:rsidRDefault="00D62F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62F04">
          <w:headerReference w:type="default" r:id="rId83"/>
          <w:footerReference w:type="default" r:id="rId8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62F04" w:rsidRDefault="008D36CD">
      <w:r>
        <w:lastRenderedPageBreak/>
        <w:t>Annex 2</w:t>
      </w:r>
    </w:p>
    <w:p w:rsidR="00D62F04" w:rsidRDefault="008D36CD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D62F04" w:rsidRDefault="008D36C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62F04" w:rsidRDefault="008D36C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62F04" w:rsidRDefault="008D36CD">
      <w:r>
        <w:t>1)</w:t>
      </w:r>
      <w:r>
        <w:tab/>
        <w:t xml:space="preserve">Go to AAP search Web page at </w:t>
      </w:r>
      <w:hyperlink r:id="rId85" w:history="1">
        <w:r>
          <w:rPr>
            <w:rStyle w:val="Hyperlink"/>
            <w:szCs w:val="22"/>
          </w:rPr>
          <w:t>http://www.itu.int/ITU-T/aap/</w:t>
        </w:r>
      </w:hyperlink>
    </w:p>
    <w:p w:rsidR="00D62F04" w:rsidRDefault="008D36C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4" w:rsidRDefault="008D36CD">
      <w:r>
        <w:t>2)</w:t>
      </w:r>
      <w:r>
        <w:tab/>
        <w:t>Select your Recommendation</w:t>
      </w:r>
    </w:p>
    <w:p w:rsidR="00D62F04" w:rsidRDefault="008D36CD">
      <w:pPr>
        <w:jc w:val="center"/>
        <w:rPr>
          <w:sz w:val="24"/>
        </w:rPr>
      </w:pPr>
      <w:r w:rsidRPr="00D62F0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4" w:rsidRDefault="008D36CD">
      <w:pPr>
        <w:keepNext/>
      </w:pPr>
      <w:r>
        <w:lastRenderedPageBreak/>
        <w:t>3)</w:t>
      </w:r>
      <w:r>
        <w:tab/>
        <w:t>Click the "Submit Comment" button</w:t>
      </w:r>
    </w:p>
    <w:p w:rsidR="00D62F04" w:rsidRDefault="008D36C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4" w:rsidRDefault="008D36CD">
      <w:r>
        <w:t>4)</w:t>
      </w:r>
      <w:r>
        <w:tab/>
        <w:t>Complete the on-line form and click on "Submit"</w:t>
      </w:r>
    </w:p>
    <w:p w:rsidR="00D62F04" w:rsidRDefault="008D36C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04" w:rsidRDefault="008D36CD">
      <w:r>
        <w:t>For more information, read the AAP tutorial on:</w:t>
      </w:r>
      <w:r>
        <w:tab/>
      </w:r>
      <w:r>
        <w:br/>
      </w:r>
      <w:hyperlink r:id="rId90" w:history="1">
        <w:r>
          <w:rPr>
            <w:rStyle w:val="Hyperlink"/>
          </w:rPr>
          <w:t>http://www.itu.int/ITU-T/aapinfo/files/AAPTutorial.pdf</w:t>
        </w:r>
      </w:hyperlink>
    </w:p>
    <w:p w:rsidR="00D62F04" w:rsidRDefault="008D36CD">
      <w:r>
        <w:br w:type="page"/>
      </w:r>
      <w:r>
        <w:lastRenderedPageBreak/>
        <w:t>Annex 3</w:t>
      </w:r>
    </w:p>
    <w:p w:rsidR="00D62F04" w:rsidRDefault="008D36CD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D62F04" w:rsidRDefault="008D36C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62F04" w:rsidRDefault="008D36C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62F04">
        <w:tc>
          <w:tcPr>
            <w:tcW w:w="5000" w:type="pct"/>
            <w:gridSpan w:val="2"/>
            <w:shd w:val="clear" w:color="auto" w:fill="EFFAFF"/>
          </w:tcPr>
          <w:p w:rsidR="00D62F04" w:rsidRDefault="008D36C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62F04" w:rsidRDefault="008D36CD">
            <w:pPr>
              <w:pStyle w:val="Tabletext"/>
            </w:pPr>
            <w:r>
              <w:br/>
            </w:r>
            <w:r w:rsidR="00D62F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64FC">
              <w:fldChar w:fldCharType="separate"/>
            </w:r>
            <w:r w:rsidR="00D62F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62F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64FC">
              <w:fldChar w:fldCharType="separate"/>
            </w:r>
            <w:r w:rsidR="00D62F04">
              <w:fldChar w:fldCharType="end"/>
            </w:r>
            <w:r>
              <w:t xml:space="preserve"> Additional Review (AR)</w:t>
            </w: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2F04" w:rsidRDefault="00D62F04">
            <w:pPr>
              <w:pStyle w:val="Tabletext"/>
            </w:pPr>
          </w:p>
        </w:tc>
      </w:tr>
      <w:tr w:rsidR="00D62F04">
        <w:tc>
          <w:tcPr>
            <w:tcW w:w="1623" w:type="pct"/>
            <w:shd w:val="clear" w:color="auto" w:fill="EFFAFF"/>
            <w:vAlign w:val="center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62F04" w:rsidRDefault="008D36CD">
            <w:pPr>
              <w:pStyle w:val="Tabletext"/>
            </w:pPr>
            <w:r>
              <w:br/>
            </w:r>
            <w:r w:rsidR="00D62F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64FC">
              <w:fldChar w:fldCharType="separate"/>
            </w:r>
            <w:r w:rsidR="00D62F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62F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64FC">
              <w:fldChar w:fldCharType="separate"/>
            </w:r>
            <w:r w:rsidR="00D62F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62F04">
        <w:tc>
          <w:tcPr>
            <w:tcW w:w="1623" w:type="pct"/>
            <w:shd w:val="clear" w:color="auto" w:fill="EFFAFF"/>
            <w:vAlign w:val="center"/>
          </w:tcPr>
          <w:p w:rsidR="00D62F04" w:rsidRDefault="008D36C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62F04" w:rsidRDefault="008D36C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62F04" w:rsidRDefault="008D36CD">
      <w:pPr>
        <w:rPr>
          <w:szCs w:val="22"/>
        </w:rPr>
      </w:pPr>
      <w:r>
        <w:tab/>
      </w:r>
      <w:r w:rsidR="00D62F0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64FC">
        <w:rPr>
          <w:szCs w:val="22"/>
        </w:rPr>
      </w:r>
      <w:r w:rsidR="00F964FC">
        <w:rPr>
          <w:szCs w:val="22"/>
        </w:rPr>
        <w:fldChar w:fldCharType="separate"/>
      </w:r>
      <w:r w:rsidR="00D62F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62F04" w:rsidRDefault="008D36C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62F04" w:rsidRDefault="00D62F04">
      <w:pPr>
        <w:rPr>
          <w:i/>
          <w:iCs/>
          <w:szCs w:val="22"/>
        </w:rPr>
      </w:pPr>
    </w:p>
    <w:sectPr w:rsidR="00D62F04" w:rsidSect="00D62F04">
      <w:headerReference w:type="default" r:id="rId92"/>
      <w:footerReference w:type="default" r:id="rId9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04" w:rsidRDefault="008D36CD">
      <w:r>
        <w:separator/>
      </w:r>
    </w:p>
  </w:endnote>
  <w:endnote w:type="continuationSeparator" w:id="0">
    <w:p w:rsidR="00D62F04" w:rsidRDefault="008D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4" w:rsidRDefault="008D36CD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62F04">
      <w:tc>
        <w:tcPr>
          <w:tcW w:w="1985" w:type="dxa"/>
        </w:tcPr>
        <w:p w:rsidR="00D62F04" w:rsidRPr="00F964FC" w:rsidRDefault="008D36CD">
          <w:pPr>
            <w:pStyle w:val="Tabletex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F964FC">
            <w:rPr>
              <w:sz w:val="20"/>
              <w:lang w:val="fr-FR"/>
            </w:rPr>
            <w:t>CH-1211 Geneva 20</w:t>
          </w:r>
          <w:r w:rsidRPr="00F964FC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D62F04" w:rsidRDefault="008D36C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62F04" w:rsidRDefault="008D36C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62F04" w:rsidRDefault="008D36C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62F04" w:rsidRDefault="008D36C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62F04" w:rsidRDefault="00D62F0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4" w:rsidRDefault="008D36CD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4" w:rsidRDefault="008D36CD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04" w:rsidRDefault="008D36CD">
      <w:r>
        <w:t>____________________</w:t>
      </w:r>
    </w:p>
  </w:footnote>
  <w:footnote w:type="continuationSeparator" w:id="0">
    <w:p w:rsidR="00D62F04" w:rsidRDefault="008D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4" w:rsidRDefault="008D36C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2F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2F04">
      <w:rPr>
        <w:rStyle w:val="PageNumber"/>
        <w:szCs w:val="18"/>
      </w:rPr>
      <w:fldChar w:fldCharType="separate"/>
    </w:r>
    <w:r w:rsidR="00F964FC">
      <w:rPr>
        <w:rStyle w:val="PageNumber"/>
        <w:noProof/>
        <w:szCs w:val="18"/>
      </w:rPr>
      <w:t>2</w:t>
    </w:r>
    <w:r w:rsidR="00D62F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4" w:rsidRDefault="008D36C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2F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2F04">
      <w:rPr>
        <w:rStyle w:val="PageNumber"/>
        <w:szCs w:val="18"/>
      </w:rPr>
      <w:fldChar w:fldCharType="separate"/>
    </w:r>
    <w:r w:rsidR="00F964FC">
      <w:rPr>
        <w:rStyle w:val="PageNumber"/>
        <w:noProof/>
        <w:szCs w:val="18"/>
      </w:rPr>
      <w:t>6</w:t>
    </w:r>
    <w:r w:rsidR="00D62F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04" w:rsidRDefault="008D36C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2F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2F04">
      <w:rPr>
        <w:rStyle w:val="PageNumber"/>
        <w:szCs w:val="18"/>
      </w:rPr>
      <w:fldChar w:fldCharType="separate"/>
    </w:r>
    <w:r w:rsidR="00F964FC">
      <w:rPr>
        <w:rStyle w:val="PageNumber"/>
        <w:noProof/>
        <w:szCs w:val="18"/>
      </w:rPr>
      <w:t>9</w:t>
    </w:r>
    <w:r w:rsidR="00D62F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04"/>
    <w:rsid w:val="008D36CD"/>
    <w:rsid w:val="00D62F04"/>
    <w:rsid w:val="00F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6CE14246"/>
  <w15:docId w15:val="{50BCCADD-1834-4755-9F91-2FA2487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8154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FDF0801MSWE.docx&amp;group=13" TargetMode="External"/><Relationship Id="rId47" Type="http://schemas.openxmlformats.org/officeDocument/2006/relationships/hyperlink" Target="http://www.itu.int/itu-t/aap/AAPRecDetails.aspx?AAPSeqNo=8160" TargetMode="External"/><Relationship Id="rId50" Type="http://schemas.openxmlformats.org/officeDocument/2006/relationships/hyperlink" Target="https://www.itu.int/ITU-T/aap/dologin_aap.asp?id=T0102001FDE0801MSWE.docx&amp;group=13" TargetMode="External"/><Relationship Id="rId55" Type="http://schemas.openxmlformats.org/officeDocument/2006/relationships/hyperlink" Target="http://www.itu.int/itu-t/aap/AAPRecDetails.aspx?AAPSeqNo=8106" TargetMode="External"/><Relationship Id="rId63" Type="http://schemas.openxmlformats.org/officeDocument/2006/relationships/hyperlink" Target="http://www.itu.int/itu-t/aap/AAPRecDetails.aspx?AAPSeqNo=8132" TargetMode="External"/><Relationship Id="rId68" Type="http://schemas.openxmlformats.org/officeDocument/2006/relationships/hyperlink" Target="https://www.itu.int/ITU-T/aap/dologin_aap.asp?id=T0102001FEA0801MSWE.docx&amp;group=20" TargetMode="External"/><Relationship Id="rId76" Type="http://schemas.openxmlformats.org/officeDocument/2006/relationships/hyperlink" Target="https://www.itu.int/ITU-T/aap/dologin_aap.asp?id=T0102001FEE0801MSWE.docx&amp;group=20" TargetMode="External"/><Relationship Id="rId84" Type="http://schemas.openxmlformats.org/officeDocument/2006/relationships/footer" Target="footer3.xml"/><Relationship Id="rId89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78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38" TargetMode="External"/><Relationship Id="rId40" Type="http://schemas.openxmlformats.org/officeDocument/2006/relationships/hyperlink" Target="https://www.itu.int/ITU-T/aap/dologin_aap.asp?id=T0102001FDA0801MSWE.docx&amp;group=13" TargetMode="External"/><Relationship Id="rId45" Type="http://schemas.openxmlformats.org/officeDocument/2006/relationships/hyperlink" Target="http://www.itu.int/itu-t/aap/AAPRecDetails.aspx?AAPSeqNo=8155" TargetMode="External"/><Relationship Id="rId53" Type="http://schemas.openxmlformats.org/officeDocument/2006/relationships/hyperlink" Target="http://www.itu.int/itu-t/aap/AAPRecDetails.aspx?AAPSeqNo=8156" TargetMode="External"/><Relationship Id="rId58" Type="http://schemas.openxmlformats.org/officeDocument/2006/relationships/hyperlink" Target="https://www.itu.int/ITU-T/aap/dologin_aap.asp?id=T0102001FA90801MSWE.docx&amp;group=15" TargetMode="External"/><Relationship Id="rId66" Type="http://schemas.openxmlformats.org/officeDocument/2006/relationships/hyperlink" Target="https://www.itu.int/ITU-T/aap/dologin_aap.asp?id=T0102001FEC0801MSWE.docx&amp;group=20" TargetMode="External"/><Relationship Id="rId74" Type="http://schemas.openxmlformats.org/officeDocument/2006/relationships/hyperlink" Target="https://www.itu.int/ITU-T/aap/dologin_aap.asp?id=T0102001FED0801MSWE.docx&amp;group=20" TargetMode="External"/><Relationship Id="rId79" Type="http://schemas.openxmlformats.org/officeDocument/2006/relationships/hyperlink" Target="http://www.itu.int/itu-t/aap/AAPRecDetails.aspx?AAPSeqNo=8177" TargetMode="External"/><Relationship Id="rId87" Type="http://schemas.openxmlformats.org/officeDocument/2006/relationships/image" Target="media/image3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083" TargetMode="External"/><Relationship Id="rId82" Type="http://schemas.openxmlformats.org/officeDocument/2006/relationships/hyperlink" Target="https://www.itu.int/ITU-T/aap/dologin_aap.asp?id=T0102001FF00801MSWE.docx&amp;group=20" TargetMode="External"/><Relationship Id="rId90" Type="http://schemas.openxmlformats.org/officeDocument/2006/relationships/hyperlink" Target="http://www.itu.int/ITU-T/aapinfo/files/AAPTutorial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8157" TargetMode="External"/><Relationship Id="rId48" Type="http://schemas.openxmlformats.org/officeDocument/2006/relationships/hyperlink" Target="https://www.itu.int/ITU-T/aap/dologin_aap.asp?id=T0102001FE00802MSWE.docx&amp;group=13" TargetMode="External"/><Relationship Id="rId56" Type="http://schemas.openxmlformats.org/officeDocument/2006/relationships/hyperlink" Target="https://www.itu.int/ITU-T/aap/dologin_aap.asp?id=T0102001FAA0801MSWE.docx&amp;group=15" TargetMode="External"/><Relationship Id="rId64" Type="http://schemas.openxmlformats.org/officeDocument/2006/relationships/hyperlink" Target="https://www.itu.int/ITU-T/aap/dologin_aap.asp?id=T0102001FC40801MSWE.docx&amp;group=15" TargetMode="External"/><Relationship Id="rId69" Type="http://schemas.openxmlformats.org/officeDocument/2006/relationships/hyperlink" Target="http://www.itu.int/itu-t/aap/AAPRecDetails.aspx?AAPSeqNo=8171" TargetMode="External"/><Relationship Id="rId77" Type="http://schemas.openxmlformats.org/officeDocument/2006/relationships/hyperlink" Target="http://www.itu.int/itu-t/aap/AAPRecDetails.aspx?AAPSeqNo=8175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153" TargetMode="External"/><Relationship Id="rId72" Type="http://schemas.openxmlformats.org/officeDocument/2006/relationships/hyperlink" Target="https://www.itu.int/ITU-T/aap/dologin_aap.asp?id=T0102001FF20801MSWE.docx&amp;group=20" TargetMode="External"/><Relationship Id="rId80" Type="http://schemas.openxmlformats.org/officeDocument/2006/relationships/hyperlink" Target="https://www.itu.int/ITU-T/aap/dologin_aap.asp?id=T0102001FF10801MSWE.docx&amp;group=20" TargetMode="External"/><Relationship Id="rId85" Type="http://schemas.openxmlformats.org/officeDocument/2006/relationships/hyperlink" Target="http://www.itu.int/ITU-T/aap/" TargetMode="External"/><Relationship Id="rId93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CA0801MSWE.docx&amp;group=5" TargetMode="External"/><Relationship Id="rId46" Type="http://schemas.openxmlformats.org/officeDocument/2006/relationships/hyperlink" Target="https://www.itu.int/ITU-T/aap/dologin_aap.asp?id=T0102001FDB0801MSWE.docx&amp;group=13" TargetMode="External"/><Relationship Id="rId59" Type="http://schemas.openxmlformats.org/officeDocument/2006/relationships/hyperlink" Target="http://www.itu.int/itu-t/aap/AAPRecDetails.aspx?AAPSeqNo=8084" TargetMode="External"/><Relationship Id="rId67" Type="http://schemas.openxmlformats.org/officeDocument/2006/relationships/hyperlink" Target="http://www.itu.int/itu-t/aap/AAPRecDetails.aspx?AAPSeqNo=8170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59" TargetMode="External"/><Relationship Id="rId54" Type="http://schemas.openxmlformats.org/officeDocument/2006/relationships/hyperlink" Target="https://www.itu.int/ITU-T/aap/dologin_aap.asp?id=T0102001FDC0801MSWE.docx&amp;group=13" TargetMode="External"/><Relationship Id="rId62" Type="http://schemas.openxmlformats.org/officeDocument/2006/relationships/hyperlink" Target="https://www.itu.int/ITU-T/aap/dologin_aap.asp?id=T0102001F930801MSWE.docx&amp;group=15" TargetMode="External"/><Relationship Id="rId70" Type="http://schemas.openxmlformats.org/officeDocument/2006/relationships/hyperlink" Target="https://www.itu.int/ITU-T/aap/dologin_aap.asp?id=T0102001FEB0801MSWE.docx&amp;group=20" TargetMode="External"/><Relationship Id="rId75" Type="http://schemas.openxmlformats.org/officeDocument/2006/relationships/hyperlink" Target="http://www.itu.int/itu-t/aap/AAPRecDetails.aspx?AAPSeqNo=8174" TargetMode="External"/><Relationship Id="rId83" Type="http://schemas.openxmlformats.org/officeDocument/2006/relationships/header" Target="header2.xml"/><Relationship Id="rId88" Type="http://schemas.openxmlformats.org/officeDocument/2006/relationships/image" Target="media/image4.gif"/><Relationship Id="rId9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158" TargetMode="External"/><Relationship Id="rId57" Type="http://schemas.openxmlformats.org/officeDocument/2006/relationships/hyperlink" Target="http://www.itu.int/itu-t/aap/AAPRecDetails.aspx?AAPSeqNo=810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DD0801MSWE.docx&amp;group=13" TargetMode="External"/><Relationship Id="rId52" Type="http://schemas.openxmlformats.org/officeDocument/2006/relationships/hyperlink" Target="https://www.itu.int/ITU-T/aap/dologin_aap.asp?id=T0102001FD90801MSWE.docx&amp;group=13" TargetMode="External"/><Relationship Id="rId60" Type="http://schemas.openxmlformats.org/officeDocument/2006/relationships/hyperlink" Target="https://www.itu.int/ITU-T/aap/dologin_aap.asp?id=T0102001F940801MSWE.docx&amp;group=15" TargetMode="External"/><Relationship Id="rId65" Type="http://schemas.openxmlformats.org/officeDocument/2006/relationships/hyperlink" Target="http://www.itu.int/itu-t/aap/AAPRecDetails.aspx?AAPSeqNo=8172" TargetMode="External"/><Relationship Id="rId73" Type="http://schemas.openxmlformats.org/officeDocument/2006/relationships/hyperlink" Target="http://www.itu.int/itu-t/aap/AAPRecDetails.aspx?AAPSeqNo=8173" TargetMode="External"/><Relationship Id="rId78" Type="http://schemas.openxmlformats.org/officeDocument/2006/relationships/hyperlink" Target="https://www.itu.int/ITU-T/aap/dologin_aap.asp?id=T0102001FEF0801MSWE.docx&amp;group=20" TargetMode="External"/><Relationship Id="rId81" Type="http://schemas.openxmlformats.org/officeDocument/2006/relationships/hyperlink" Target="http://www.itu.int/itu-t/aap/AAPRecDetails.aspx?AAPSeqNo=8176" TargetMode="External"/><Relationship Id="rId86" Type="http://schemas.openxmlformats.org/officeDocument/2006/relationships/image" Target="media/image2.gi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2018-05-31T11:20:00Z</dcterms:created>
  <dcterms:modified xsi:type="dcterms:W3CDTF">2018-06-01T09:18:00Z</dcterms:modified>
</cp:coreProperties>
</file>