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C83DFD">
        <w:trPr>
          <w:cantSplit/>
        </w:trPr>
        <w:tc>
          <w:tcPr>
            <w:tcW w:w="9073" w:type="dxa"/>
          </w:tcPr>
          <w:p w:rsidR="00C83DFD" w:rsidRDefault="00B90BC1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C83DFD" w:rsidRDefault="00B90BC1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C83DFD" w:rsidRDefault="00B90BC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DFD" w:rsidRDefault="00C83DFD"/>
    <w:p w:rsidR="00C83DFD" w:rsidRDefault="00B90BC1">
      <w:pPr>
        <w:jc w:val="right"/>
      </w:pPr>
      <w:r>
        <w:rPr>
          <w:lang w:val="fr-CH"/>
        </w:rPr>
        <w:t>Genève, le 16 décembre 2013</w:t>
      </w:r>
      <w:r>
        <w:tab/>
      </w:r>
    </w:p>
    <w:p w:rsidR="00C83DFD" w:rsidRDefault="00C83DF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83DFD" w:rsidRPr="009B62B4">
        <w:trPr>
          <w:cantSplit/>
        </w:trPr>
        <w:tc>
          <w:tcPr>
            <w:tcW w:w="843" w:type="dxa"/>
          </w:tcPr>
          <w:p w:rsidR="00C83DFD" w:rsidRPr="00B90BC1" w:rsidRDefault="00B90BC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90BC1">
              <w:rPr>
                <w:szCs w:val="22"/>
                <w:lang w:val="fr-CH"/>
              </w:rPr>
              <w:t>Réf:</w:t>
            </w:r>
          </w:p>
          <w:p w:rsidR="00C83DFD" w:rsidRPr="00B90BC1" w:rsidRDefault="00C83DFD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C83DFD" w:rsidRPr="00B90BC1" w:rsidRDefault="00C83DFD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C83DFD" w:rsidRPr="00B90BC1" w:rsidRDefault="00B90BC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90BC1">
              <w:rPr>
                <w:szCs w:val="22"/>
                <w:lang w:val="fr-CH"/>
              </w:rPr>
              <w:t>Tél:</w:t>
            </w:r>
          </w:p>
          <w:p w:rsidR="00C83DFD" w:rsidRPr="00B90BC1" w:rsidRDefault="00B90BC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90BC1">
              <w:rPr>
                <w:szCs w:val="22"/>
                <w:lang w:val="fr-CH"/>
              </w:rPr>
              <w:t>Fax:</w:t>
            </w:r>
          </w:p>
          <w:p w:rsidR="00C83DFD" w:rsidRPr="00B90BC1" w:rsidRDefault="00B90BC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90BC1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C83DFD" w:rsidRPr="00B90BC1" w:rsidRDefault="00B90BC1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B90BC1">
              <w:rPr>
                <w:b/>
                <w:szCs w:val="22"/>
                <w:lang w:val="de-CH"/>
              </w:rPr>
              <w:t>TSB AAP-25</w:t>
            </w:r>
          </w:p>
          <w:p w:rsidR="00C83DFD" w:rsidRPr="00B90BC1" w:rsidRDefault="00B90BC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90BC1">
              <w:rPr>
                <w:szCs w:val="22"/>
                <w:lang w:val="de-CH"/>
              </w:rPr>
              <w:t>AAP/MJ</w:t>
            </w:r>
          </w:p>
          <w:p w:rsidR="00C83DFD" w:rsidRPr="00B90BC1" w:rsidRDefault="00C83DFD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C83DFD" w:rsidRPr="00B90BC1" w:rsidRDefault="00B90BC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90BC1">
              <w:rPr>
                <w:szCs w:val="22"/>
                <w:lang w:val="de-CH"/>
              </w:rPr>
              <w:t>+41 22 730 5860</w:t>
            </w:r>
          </w:p>
          <w:p w:rsidR="00C83DFD" w:rsidRPr="00B90BC1" w:rsidRDefault="00B90BC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90BC1">
              <w:rPr>
                <w:szCs w:val="22"/>
                <w:lang w:val="de-CH"/>
              </w:rPr>
              <w:t>+41 22 730 5853</w:t>
            </w:r>
          </w:p>
          <w:p w:rsidR="00C83DFD" w:rsidRPr="00B90BC1" w:rsidRDefault="009B62B4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B90BC1" w:rsidRPr="00B90BC1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C83DFD" w:rsidRDefault="00B90BC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83DFD" w:rsidRDefault="00B90BC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83DFD" w:rsidRDefault="00B90BC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C83DFD" w:rsidRDefault="00B90BC1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83DFD" w:rsidRDefault="00B90BC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83DFD" w:rsidRDefault="00B90BC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83DFD" w:rsidRDefault="00B90BC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C83DFD" w:rsidRDefault="00C83DFD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83DFD" w:rsidRPr="009B62B4">
        <w:trPr>
          <w:cantSplit/>
        </w:trPr>
        <w:tc>
          <w:tcPr>
            <w:tcW w:w="908" w:type="dxa"/>
          </w:tcPr>
          <w:p w:rsidR="00C83DFD" w:rsidRDefault="00B90BC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83DFD" w:rsidRDefault="00B90BC1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C83DFD" w:rsidRDefault="00C83DFD">
      <w:pPr>
        <w:rPr>
          <w:lang w:val="fr-FR"/>
        </w:rPr>
      </w:pPr>
    </w:p>
    <w:p w:rsidR="00C83DFD" w:rsidRDefault="00B90BC1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83DFD" w:rsidRDefault="00C83DFD">
      <w:pPr>
        <w:rPr>
          <w:lang w:val="fr-CH"/>
        </w:rPr>
      </w:pPr>
    </w:p>
    <w:p w:rsidR="00C83DFD" w:rsidRDefault="00B90BC1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C83DFD" w:rsidRDefault="00B90BC1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83DFD" w:rsidRDefault="00B90BC1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 xml:space="preserve">). Vous pouvez aussi soumettre vos observations en remplissant </w:t>
      </w: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83DFD" w:rsidRDefault="00B90BC1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9B62B4" w:rsidRDefault="009B62B4" w:rsidP="009B62B4">
      <w:pPr>
        <w:rPr>
          <w:lang w:val="fr-FR"/>
        </w:rPr>
      </w:pPr>
      <w:r w:rsidRPr="004F2831">
        <w:rPr>
          <w:lang w:val="fr-FR"/>
        </w:rPr>
        <w:t xml:space="preserve">Veuillez noter également qu'en raison de la fermeture annuelle de l'UIT fin décembre, aucune annonce AAP ne paraîtra en date du 1er janvier </w:t>
      </w:r>
      <w:r>
        <w:rPr>
          <w:lang w:val="fr-FR"/>
        </w:rPr>
        <w:t>2014</w:t>
      </w:r>
      <w:r w:rsidRPr="004F2831">
        <w:rPr>
          <w:lang w:val="fr-FR"/>
        </w:rPr>
        <w:t>. En conséquence, le délai de certains textes annoncés a été repoussé car la date limite coïncidait avec cette période.</w:t>
      </w:r>
    </w:p>
    <w:p w:rsidR="009B62B4" w:rsidRDefault="009B62B4">
      <w:pPr>
        <w:rPr>
          <w:lang w:val="fr-FR"/>
        </w:rPr>
      </w:pPr>
      <w:bookmarkStart w:id="0" w:name="_GoBack"/>
      <w:bookmarkEnd w:id="0"/>
    </w:p>
    <w:p w:rsidR="00C83DFD" w:rsidRDefault="00B90BC1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83DFD" w:rsidRDefault="00B90BC1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C83DFD" w:rsidRPr="00B90BC1" w:rsidRDefault="00C83DFD">
      <w:pPr>
        <w:rPr>
          <w:lang w:val="fr-CH"/>
        </w:rPr>
      </w:pPr>
    </w:p>
    <w:p w:rsidR="00C83DFD" w:rsidRDefault="00B90BC1">
      <w:pPr>
        <w:spacing w:before="560"/>
      </w:pPr>
      <w:r>
        <w:rPr>
          <w:b/>
        </w:rPr>
        <w:t>Annexes:</w:t>
      </w:r>
      <w:r>
        <w:t xml:space="preserve"> 3</w:t>
      </w:r>
    </w:p>
    <w:p w:rsidR="00C83DFD" w:rsidRDefault="00C83DFD">
      <w:pPr>
        <w:spacing w:before="720"/>
        <w:sectPr w:rsidR="00C83DF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83DFD" w:rsidRDefault="00B90BC1">
      <w:pPr>
        <w:pStyle w:val="AnnexNotitle"/>
      </w:pPr>
      <w:r>
        <w:lastRenderedPageBreak/>
        <w:t>Annex 1</w:t>
      </w:r>
    </w:p>
    <w:p w:rsidR="00C83DFD" w:rsidRDefault="00B90BC1">
      <w:pPr>
        <w:jc w:val="center"/>
      </w:pPr>
      <w:r>
        <w:t>(to TSB AAP-25)</w:t>
      </w:r>
    </w:p>
    <w:p w:rsidR="00C83DFD" w:rsidRDefault="00C83DFD">
      <w:pPr>
        <w:rPr>
          <w:szCs w:val="22"/>
        </w:rPr>
      </w:pPr>
    </w:p>
    <w:p w:rsidR="00C83DFD" w:rsidRDefault="00B90BC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83DFD" w:rsidRPr="00B90BC1" w:rsidRDefault="00B90BC1">
      <w:pPr>
        <w:pStyle w:val="Headingb"/>
        <w:rPr>
          <w:szCs w:val="22"/>
          <w:lang w:val="fr-CH"/>
        </w:rPr>
      </w:pPr>
      <w:r w:rsidRPr="00B90BC1">
        <w:rPr>
          <w:szCs w:val="22"/>
          <w:lang w:val="fr-CH"/>
        </w:rPr>
        <w:t>ITU-T website entry page:</w:t>
      </w:r>
    </w:p>
    <w:p w:rsidR="00C83DFD" w:rsidRPr="00B90BC1" w:rsidRDefault="009B62B4">
      <w:pPr>
        <w:pStyle w:val="enumlev2"/>
        <w:rPr>
          <w:szCs w:val="22"/>
          <w:lang w:val="fr-CH"/>
        </w:rPr>
      </w:pPr>
      <w:hyperlink r:id="rId14" w:history="1">
        <w:r w:rsidR="00B90BC1" w:rsidRPr="00B90BC1">
          <w:rPr>
            <w:rStyle w:val="Hyperlink"/>
            <w:szCs w:val="22"/>
            <w:lang w:val="fr-CH"/>
          </w:rPr>
          <w:t>http://www.itu.int/ITU-T</w:t>
        </w:r>
      </w:hyperlink>
    </w:p>
    <w:p w:rsidR="00C83DFD" w:rsidRDefault="00B90BC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83DFD" w:rsidRDefault="009B62B4">
      <w:pPr>
        <w:pStyle w:val="enumlev2"/>
        <w:rPr>
          <w:szCs w:val="22"/>
        </w:rPr>
      </w:pPr>
      <w:hyperlink r:id="rId15" w:history="1">
        <w:r w:rsidR="00B90BC1">
          <w:rPr>
            <w:rStyle w:val="Hyperlink"/>
            <w:szCs w:val="22"/>
          </w:rPr>
          <w:t>http://www.itu.int/ITU-T/aapinfo</w:t>
        </w:r>
      </w:hyperlink>
    </w:p>
    <w:p w:rsidR="00C83DFD" w:rsidRDefault="00B90BC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83DFD" w:rsidRDefault="00B90BC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83DFD" w:rsidRDefault="009B62B4">
      <w:pPr>
        <w:pStyle w:val="enumlev2"/>
        <w:rPr>
          <w:szCs w:val="22"/>
        </w:rPr>
      </w:pPr>
      <w:hyperlink r:id="rId16" w:history="1">
        <w:r w:rsidR="00B90BC1">
          <w:rPr>
            <w:rStyle w:val="Hyperlink"/>
            <w:szCs w:val="22"/>
          </w:rPr>
          <w:t>http://www.itu.int/ITU-T/aap/</w:t>
        </w:r>
      </w:hyperlink>
    </w:p>
    <w:p w:rsidR="00C83DFD" w:rsidRDefault="00B90BC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83DFD">
        <w:tc>
          <w:tcPr>
            <w:tcW w:w="987" w:type="dxa"/>
          </w:tcPr>
          <w:p w:rsidR="00C83DFD" w:rsidRDefault="00B90B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90BC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90BC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83DFD">
        <w:tc>
          <w:tcPr>
            <w:tcW w:w="0" w:type="auto"/>
          </w:tcPr>
          <w:p w:rsidR="00C83DFD" w:rsidRDefault="00B90B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90BC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90BC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83DFD">
        <w:tc>
          <w:tcPr>
            <w:tcW w:w="0" w:type="auto"/>
          </w:tcPr>
          <w:p w:rsidR="00C83DFD" w:rsidRDefault="00B90B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90BC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90BC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83DFD">
        <w:tc>
          <w:tcPr>
            <w:tcW w:w="0" w:type="auto"/>
          </w:tcPr>
          <w:p w:rsidR="00C83DFD" w:rsidRDefault="00B90B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90BC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90BC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83DFD">
        <w:tc>
          <w:tcPr>
            <w:tcW w:w="0" w:type="auto"/>
          </w:tcPr>
          <w:p w:rsidR="00C83DFD" w:rsidRDefault="00B90B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90BC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90BC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83DFD">
        <w:tc>
          <w:tcPr>
            <w:tcW w:w="0" w:type="auto"/>
          </w:tcPr>
          <w:p w:rsidR="00C83DFD" w:rsidRDefault="00B90B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90BC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90BC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83DFD">
        <w:tc>
          <w:tcPr>
            <w:tcW w:w="0" w:type="auto"/>
          </w:tcPr>
          <w:p w:rsidR="00C83DFD" w:rsidRDefault="00B90B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90BC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90BC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83DFD">
        <w:tc>
          <w:tcPr>
            <w:tcW w:w="0" w:type="auto"/>
          </w:tcPr>
          <w:p w:rsidR="00C83DFD" w:rsidRDefault="00B90B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90BC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90BC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83DFD">
        <w:tc>
          <w:tcPr>
            <w:tcW w:w="0" w:type="auto"/>
          </w:tcPr>
          <w:p w:rsidR="00C83DFD" w:rsidRDefault="00B90B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90BC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90BC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83DFD">
        <w:tc>
          <w:tcPr>
            <w:tcW w:w="0" w:type="auto"/>
          </w:tcPr>
          <w:p w:rsidR="00C83DFD" w:rsidRDefault="00B90B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90BC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83DFD" w:rsidRDefault="009B62B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90BC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83DFD" w:rsidRDefault="00C83DFD">
      <w:pPr>
        <w:pStyle w:val="Header"/>
        <w:ind w:left="360"/>
        <w:rPr>
          <w:b/>
          <w:bCs/>
          <w:sz w:val="24"/>
        </w:rPr>
        <w:sectPr w:rsidR="00C83DF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83DFD" w:rsidRDefault="00B90BC1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D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D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37" w:history="1">
              <w:r w:rsidR="00B90BC1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83DFD" w:rsidRDefault="00B90BC1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D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D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39" w:history="1">
              <w:r w:rsidR="00B90BC1">
                <w:rPr>
                  <w:rStyle w:val="Hyperlink"/>
                  <w:sz w:val="20"/>
                </w:rPr>
                <w:t>J.181 (J.181-rev)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Digital program insertion cueing message for cable television systems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41" w:history="1">
              <w:r w:rsidR="00B90BC1">
                <w:rPr>
                  <w:rStyle w:val="Hyperlink"/>
                  <w:sz w:val="20"/>
                </w:rPr>
                <w:t>J.287 (J.ascs-api)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Automation System to Compression System Communications Applications Program Interface (API)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43" w:history="1">
              <w:r w:rsidR="00B90BC1">
                <w:rPr>
                  <w:rStyle w:val="Hyperlink"/>
                  <w:sz w:val="20"/>
                </w:rPr>
                <w:t>J.382 (J.atrans-spec)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Advanced digital downstream transmission systems for television, sound and data services for cable distribution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45" w:history="1">
              <w:r w:rsidR="00B90BC1">
                <w:rPr>
                  <w:rStyle w:val="Hyperlink"/>
                  <w:sz w:val="20"/>
                </w:rPr>
                <w:t>J.604 (J.svc)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Requirements for Scalable Video Transmission System over Cable Network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Pr="00B90BC1" w:rsidRDefault="009B62B4">
            <w:pPr>
              <w:jc w:val="left"/>
              <w:rPr>
                <w:lang w:val="fr-CH"/>
              </w:rPr>
            </w:pPr>
            <w:hyperlink r:id="rId47" w:history="1">
              <w:r w:rsidR="00B90BC1" w:rsidRPr="00B90BC1">
                <w:rPr>
                  <w:rStyle w:val="Hyperlink"/>
                  <w:sz w:val="20"/>
                  <w:lang w:val="fr-CH"/>
                </w:rPr>
                <w:t>P.913 (P.av-dist (ex J.av-dist))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Methods for subjectively assessing audiovisual quality of internet video and distribution quality television, including separate assessment of video quality and audio quality, and including multiple environments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3DFD" w:rsidRDefault="00B90BC1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D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D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49" w:history="1">
              <w:r w:rsidR="00B90BC1">
                <w:rPr>
                  <w:rStyle w:val="Hyperlink"/>
                  <w:sz w:val="20"/>
                </w:rPr>
                <w:t>Q.3614 (Q.OIP/OIR)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Originating identification presentation and originating identification restriction protocol specification as next-generation network supplementary service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3DFD" w:rsidRDefault="00B90BC1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D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D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51" w:history="1">
              <w:r w:rsidR="00B90BC1">
                <w:rPr>
                  <w:rStyle w:val="Hyperlink"/>
                  <w:sz w:val="20"/>
                </w:rPr>
                <w:t>G.984.3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Gigabit-capable Passive Optical Networks (GPON): Transmission convergence layer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53" w:history="1">
              <w:r w:rsidR="00B90BC1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10-Gigabit-capable passive optical networks (XG-PON): Transmission convergence (TC) layer specification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55" w:history="1">
              <w:r w:rsidR="00B90BC1">
                <w:rPr>
                  <w:rStyle w:val="Hyperlink"/>
                  <w:sz w:val="20"/>
                </w:rPr>
                <w:t>G.993.2 (2011) Amd.5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Very high speed digital subscriber line transceivers 2 (VDSL2): Amendment 5 Short reach VDSL2 with reduced power and enhanced data rate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57" w:history="1">
              <w:r w:rsidR="00B90BC1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59" w:history="1">
              <w:r w:rsidR="00B90BC1">
                <w:rPr>
                  <w:rStyle w:val="Hyperlink"/>
                  <w:sz w:val="20"/>
                </w:rPr>
                <w:t>G.994.1 (2012) Amd.3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Handshake procedures for digital subscriber line transceivers: Amendment 3 - Codepoints for G.998.4 extensions and exchange of transfer ID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61" w:history="1">
              <w:r w:rsidR="00B90BC1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63" w:history="1">
              <w:r w:rsidR="00B90BC1">
                <w:rPr>
                  <w:rStyle w:val="Hyperlink"/>
                  <w:sz w:val="20"/>
                </w:rPr>
                <w:t>G.998.4 (2010) Amd.3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Improved impulse noise protection for DSL transceivers: Amendment 3 - Extended memory for enhanced bit rates with retransmission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65" w:history="1">
              <w:r w:rsidR="00B90BC1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67" w:history="1">
              <w:r w:rsidR="00B90BC1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69" w:history="1">
              <w:r w:rsidR="00B90BC1">
                <w:rPr>
                  <w:rStyle w:val="Hyperlink"/>
                  <w:sz w:val="20"/>
                </w:rPr>
                <w:t>G.9960 (2011) Amd.1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Unified high-speed wire-line based home networking transceivers - System architecture and physical layer specification: Amendment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71" w:history="1">
              <w:r w:rsidR="00B90BC1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73" w:history="1">
              <w:r w:rsidR="00B90BC1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Unified high-speed wire-line based home networking transceivers - Data link layer specification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75" w:history="1">
              <w:r w:rsidR="00B90BC1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Unified high-speed wire-line based home networking transceivers - Management specification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77" w:history="1">
              <w:r w:rsidR="00B90BC1">
                <w:rPr>
                  <w:rStyle w:val="Hyperlink"/>
                  <w:sz w:val="20"/>
                </w:rPr>
                <w:t>G.9963 (2011) Amd.1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Unified high-speed wire-line based home networking transceivers - Multiple input/multiple output specification: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79" w:history="1">
              <w:r w:rsidR="00B90BC1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81" w:history="1">
              <w:r w:rsidR="00B90BC1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83" w:history="1">
              <w:r w:rsidR="00B90BC1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ITU-T Extension to the IEEE 1905.1 2013 Standard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3DFD" w:rsidRDefault="00B90BC1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D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DFD" w:rsidRDefault="00B90B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D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DFD" w:rsidRDefault="00B90B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DFD" w:rsidRDefault="00C83D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85" w:history="1">
              <w:r w:rsidR="00B90BC1">
                <w:rPr>
                  <w:rStyle w:val="Hyperlink"/>
                  <w:sz w:val="20"/>
                </w:rPr>
                <w:t>F.747.5 (F.USN-ALI)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Requirements and functional architecture of an automatic location identification system for ubiquitous sensor network (USN) applications and services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87" w:history="1">
              <w:r w:rsidR="00B90BC1">
                <w:rPr>
                  <w:rStyle w:val="Hyperlink"/>
                  <w:sz w:val="20"/>
                </w:rPr>
                <w:t>G.161.1 (G.DNH)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Do-no-harm testing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89" w:history="1">
              <w:r w:rsidR="00B90BC1">
                <w:rPr>
                  <w:rStyle w:val="Hyperlink"/>
                  <w:sz w:val="20"/>
                </w:rPr>
                <w:t>H.222.0 (2012) Amd.1 (H.222.0 (2006) Amd.8)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Information technology - Generic coding of moving pictures and associated audio information: Systems: Extensions for simplified carriage of MPEG-4 over MPEG-2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91" w:history="1">
              <w:r w:rsidR="00B90BC1">
                <w:rPr>
                  <w:rStyle w:val="Hyperlink"/>
                  <w:sz w:val="20"/>
                </w:rPr>
                <w:t>H.222.0 (2012) Amd.2 (H.222.0 (2006) Amd.9)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Information technology - Generic coding of moving pictures and associated audio information: Systems: Signalling of Transport profiles, signalling MVC view association to eye and MIME type registration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93" w:history="1">
              <w:r w:rsidR="00B90BC1">
                <w:rPr>
                  <w:rStyle w:val="Hyperlink"/>
                  <w:sz w:val="20"/>
                </w:rPr>
                <w:t>H.222.0 (2012) Amd.3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Information technology - Generic coding of moving pictures and associated audio information: Systems: Transport of HEVC video over MPEG-2 systems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95" w:history="1">
              <w:r w:rsidR="00B90BC1">
                <w:rPr>
                  <w:rStyle w:val="Hyperlink"/>
                  <w:sz w:val="20"/>
                </w:rPr>
                <w:t>H.222.0 (2012) Amd.4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Information technology - Generic coding of moving pictures and associated audio information: Systems: Support for event signalling in Transport Stream in MPEG-2 systems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97" w:history="1">
              <w:r w:rsidR="00B90BC1">
                <w:rPr>
                  <w:rStyle w:val="Hyperlink"/>
                  <w:sz w:val="20"/>
                </w:rPr>
                <w:t>H.235.0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H.323 security: Framework for security in H-series (H.323 and other H.245-based) multimedia systems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99" w:history="1">
              <w:r w:rsidR="00B90BC1">
                <w:rPr>
                  <w:rStyle w:val="Hyperlink"/>
                  <w:sz w:val="20"/>
                </w:rPr>
                <w:t>H.235.6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H.323 security: Encryption profile with native H.235/H.245 key management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101" w:history="1">
              <w:r w:rsidR="00B90BC1">
                <w:rPr>
                  <w:rStyle w:val="Hyperlink"/>
                  <w:sz w:val="20"/>
                </w:rPr>
                <w:t>H.248.80 (H.248.SDP-MAPPER)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Gateway control protocol: Usage of the revised SDP offer / answer model with H.248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103" w:history="1">
              <w:r w:rsidR="00B90BC1">
                <w:rPr>
                  <w:rStyle w:val="Hyperlink"/>
                  <w:sz w:val="20"/>
                </w:rPr>
                <w:t>H.248.86 (H.248.DPI)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Gateway control protocol: H.248 Support for deep packet inspection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105" w:history="1">
              <w:r w:rsidR="00B90BC1">
                <w:rPr>
                  <w:rStyle w:val="Hyperlink"/>
                  <w:sz w:val="20"/>
                </w:rPr>
                <w:t>H.248.87 (H.248.RTCPROF)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Gateway control protocol: Guidelines on the use of H.248 capabilities for performance monitoring in RTP networks in H.248 Profiles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Pr="00B90BC1" w:rsidRDefault="009B62B4">
            <w:pPr>
              <w:jc w:val="left"/>
              <w:rPr>
                <w:lang w:val="es-ES"/>
              </w:rPr>
            </w:pPr>
            <w:hyperlink r:id="rId107" w:history="1">
              <w:r w:rsidR="00B90BC1" w:rsidRPr="00B90BC1">
                <w:rPr>
                  <w:rStyle w:val="Hyperlink"/>
                  <w:sz w:val="20"/>
                  <w:lang w:val="es-ES"/>
                </w:rPr>
                <w:t>H.248.88 (H.248.RTPTOPO, ex H.248.R)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Gateway control protocol: RTP topology dependent RTCP handling by ITU-T H.248 media gateways with IP terminations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109" w:history="1">
              <w:r w:rsidR="00B90BC1">
                <w:rPr>
                  <w:rStyle w:val="Hyperlink"/>
                  <w:sz w:val="20"/>
                </w:rPr>
                <w:t>H.341 (1999) Cor.1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Multimedia Management Information Base: Updates to MIB definitions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DFD">
        <w:trPr>
          <w:cantSplit/>
        </w:trPr>
        <w:tc>
          <w:tcPr>
            <w:tcW w:w="2090" w:type="dxa"/>
          </w:tcPr>
          <w:p w:rsidR="00C83DFD" w:rsidRDefault="009B62B4">
            <w:pPr>
              <w:jc w:val="left"/>
            </w:pPr>
            <w:hyperlink r:id="rId111" w:history="1">
              <w:r w:rsidR="00B90BC1">
                <w:rPr>
                  <w:rStyle w:val="Hyperlink"/>
                  <w:sz w:val="20"/>
                </w:rPr>
                <w:t>H.722 (H.IPTV-TDES.3)</w:t>
              </w:r>
            </w:hyperlink>
          </w:p>
        </w:tc>
        <w:tc>
          <w:tcPr>
            <w:tcW w:w="4000" w:type="dxa"/>
          </w:tcPr>
          <w:p w:rsidR="00C83DFD" w:rsidRDefault="00B90BC1">
            <w:pPr>
              <w:jc w:val="left"/>
            </w:pPr>
            <w:r>
              <w:t>IPTV terminal device: Full-fledged model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115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80" w:type="dxa"/>
          </w:tcPr>
          <w:p w:rsidR="00C83DFD" w:rsidRDefault="00C83DFD">
            <w:pPr>
              <w:jc w:val="center"/>
            </w:pPr>
          </w:p>
        </w:tc>
        <w:tc>
          <w:tcPr>
            <w:tcW w:w="860" w:type="dxa"/>
          </w:tcPr>
          <w:p w:rsidR="00C83DFD" w:rsidRDefault="00B90BC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3DFD" w:rsidRDefault="00C83DFD">
      <w:pPr>
        <w:pStyle w:val="Header"/>
        <w:ind w:left="360"/>
        <w:rPr>
          <w:b/>
          <w:bCs/>
          <w:sz w:val="24"/>
        </w:rPr>
        <w:sectPr w:rsidR="00C83DFD">
          <w:headerReference w:type="default" r:id="rId113"/>
          <w:footerReference w:type="default" r:id="rId11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83DFD" w:rsidRDefault="00B90BC1">
      <w:pPr>
        <w:pStyle w:val="AnnexNotitle"/>
      </w:pPr>
      <w:r>
        <w:lastRenderedPageBreak/>
        <w:t>Annex 2</w:t>
      </w:r>
    </w:p>
    <w:p w:rsidR="00C83DFD" w:rsidRDefault="00B90BC1">
      <w:pPr>
        <w:jc w:val="center"/>
        <w:rPr>
          <w:szCs w:val="22"/>
        </w:rPr>
      </w:pPr>
      <w:r>
        <w:rPr>
          <w:szCs w:val="22"/>
        </w:rPr>
        <w:t>(to TSB AAP-25)</w:t>
      </w:r>
    </w:p>
    <w:p w:rsidR="00C83DFD" w:rsidRDefault="00B90BC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83DFD" w:rsidRDefault="00B90BC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83DFD" w:rsidRDefault="00B90BC1">
      <w:r>
        <w:t>1)</w:t>
      </w:r>
      <w:r>
        <w:tab/>
        <w:t xml:space="preserve">Go to AAP search Web page at </w:t>
      </w:r>
      <w:hyperlink r:id="rId115" w:history="1">
        <w:r>
          <w:rPr>
            <w:rStyle w:val="Hyperlink"/>
            <w:szCs w:val="22"/>
          </w:rPr>
          <w:t>http://www.itu.int/ITU-T/aap/</w:t>
        </w:r>
      </w:hyperlink>
    </w:p>
    <w:p w:rsidR="00C83DFD" w:rsidRDefault="00B90BC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FD" w:rsidRDefault="00B90BC1">
      <w:r>
        <w:t>2)</w:t>
      </w:r>
      <w:r>
        <w:tab/>
        <w:t>Select your Recommendation</w:t>
      </w:r>
    </w:p>
    <w:p w:rsidR="00C83DFD" w:rsidRDefault="00B90BC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FD" w:rsidRDefault="00B90BC1">
      <w:pPr>
        <w:keepNext/>
      </w:pPr>
      <w:r>
        <w:lastRenderedPageBreak/>
        <w:t>3)</w:t>
      </w:r>
      <w:r>
        <w:tab/>
        <w:t>Click the "Submit Comment" button</w:t>
      </w:r>
    </w:p>
    <w:p w:rsidR="00C83DFD" w:rsidRDefault="00B90BC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FD" w:rsidRDefault="00B90BC1">
      <w:r>
        <w:t>4)</w:t>
      </w:r>
      <w:r>
        <w:tab/>
        <w:t>Complete the on-line form and click on "Submit"</w:t>
      </w:r>
    </w:p>
    <w:p w:rsidR="00C83DFD" w:rsidRDefault="00B90BC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FD" w:rsidRDefault="00B90BC1">
      <w:pPr>
        <w:jc w:val="left"/>
      </w:pPr>
      <w:r>
        <w:t>For more information, read the AAP tutorial on:</w:t>
      </w:r>
      <w:r>
        <w:tab/>
      </w:r>
      <w:r>
        <w:br/>
      </w:r>
      <w:hyperlink r:id="rId120" w:history="1">
        <w:r>
          <w:rPr>
            <w:rStyle w:val="Hyperlink"/>
          </w:rPr>
          <w:t>http://www.itu.int/ITU-T/aapinfo/files/AAPTutorial.pdf</w:t>
        </w:r>
      </w:hyperlink>
    </w:p>
    <w:p w:rsidR="00C83DFD" w:rsidRDefault="00B90BC1">
      <w:pPr>
        <w:pStyle w:val="AnnexNotitle"/>
      </w:pPr>
      <w:r>
        <w:br w:type="page"/>
      </w:r>
      <w:r>
        <w:lastRenderedPageBreak/>
        <w:t>Annex 3</w:t>
      </w:r>
    </w:p>
    <w:p w:rsidR="00C83DFD" w:rsidRDefault="00B90BC1">
      <w:pPr>
        <w:jc w:val="center"/>
        <w:rPr>
          <w:szCs w:val="22"/>
        </w:rPr>
      </w:pPr>
      <w:r>
        <w:rPr>
          <w:szCs w:val="22"/>
        </w:rPr>
        <w:t>(to TSB AAP-25)</w:t>
      </w:r>
    </w:p>
    <w:p w:rsidR="00C83DFD" w:rsidRDefault="00B90BC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83DFD" w:rsidRDefault="00B90BC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83DFD">
        <w:tc>
          <w:tcPr>
            <w:tcW w:w="5000" w:type="pct"/>
            <w:gridSpan w:val="2"/>
            <w:shd w:val="clear" w:color="auto" w:fill="EFFAFF"/>
          </w:tcPr>
          <w:p w:rsidR="00C83DFD" w:rsidRDefault="00B90BC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83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3DFD" w:rsidRDefault="00C83DFD">
            <w:pPr>
              <w:pStyle w:val="Tabletext"/>
              <w:jc w:val="left"/>
            </w:pPr>
          </w:p>
        </w:tc>
      </w:tr>
      <w:tr w:rsidR="00C83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DFD" w:rsidRDefault="00C83DFD">
            <w:pPr>
              <w:pStyle w:val="Tabletext"/>
              <w:jc w:val="left"/>
            </w:pPr>
          </w:p>
        </w:tc>
      </w:tr>
      <w:tr w:rsidR="00C83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DFD" w:rsidRDefault="00C83DFD">
            <w:pPr>
              <w:pStyle w:val="Tabletext"/>
              <w:jc w:val="left"/>
            </w:pPr>
          </w:p>
        </w:tc>
      </w:tr>
      <w:tr w:rsidR="00C83DF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3DFD" w:rsidRDefault="00B90BC1">
            <w:pPr>
              <w:pStyle w:val="Tabletext"/>
              <w:jc w:val="left"/>
            </w:pPr>
            <w:r>
              <w:br/>
            </w:r>
            <w:r w:rsidR="00C83DF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62B4">
              <w:fldChar w:fldCharType="separate"/>
            </w:r>
            <w:r w:rsidR="00C83DF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83DF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62B4">
              <w:fldChar w:fldCharType="separate"/>
            </w:r>
            <w:r w:rsidR="00C83DFD">
              <w:fldChar w:fldCharType="end"/>
            </w:r>
            <w:r>
              <w:t xml:space="preserve"> Additional Review (AR)</w:t>
            </w:r>
          </w:p>
        </w:tc>
      </w:tr>
      <w:tr w:rsidR="00C83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3DFD" w:rsidRDefault="00C83DFD">
            <w:pPr>
              <w:pStyle w:val="Tabletext"/>
              <w:jc w:val="left"/>
            </w:pPr>
          </w:p>
        </w:tc>
      </w:tr>
      <w:tr w:rsidR="00C83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DFD" w:rsidRDefault="00C83DFD">
            <w:pPr>
              <w:pStyle w:val="Tabletext"/>
              <w:jc w:val="left"/>
            </w:pPr>
          </w:p>
        </w:tc>
      </w:tr>
      <w:tr w:rsidR="00C83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DFD" w:rsidRDefault="00C83DFD">
            <w:pPr>
              <w:pStyle w:val="Tabletext"/>
              <w:jc w:val="left"/>
            </w:pPr>
          </w:p>
        </w:tc>
      </w:tr>
      <w:tr w:rsidR="00C83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DFD" w:rsidRDefault="00C83DFD">
            <w:pPr>
              <w:pStyle w:val="Tabletext"/>
              <w:jc w:val="left"/>
            </w:pPr>
          </w:p>
        </w:tc>
      </w:tr>
      <w:tr w:rsidR="00C83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DFD" w:rsidRDefault="00C83DFD">
            <w:pPr>
              <w:pStyle w:val="Tabletext"/>
              <w:jc w:val="left"/>
            </w:pPr>
          </w:p>
        </w:tc>
      </w:tr>
      <w:tr w:rsidR="00C83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DFD" w:rsidRDefault="00C83DFD">
            <w:pPr>
              <w:pStyle w:val="Tabletext"/>
              <w:jc w:val="left"/>
            </w:pPr>
          </w:p>
        </w:tc>
      </w:tr>
      <w:tr w:rsidR="00C83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DFD" w:rsidRDefault="00C83DFD">
            <w:pPr>
              <w:pStyle w:val="Tabletext"/>
              <w:jc w:val="left"/>
            </w:pPr>
          </w:p>
        </w:tc>
      </w:tr>
      <w:tr w:rsidR="00C83DFD">
        <w:tc>
          <w:tcPr>
            <w:tcW w:w="1623" w:type="pct"/>
            <w:shd w:val="clear" w:color="auto" w:fill="EFFAFF"/>
            <w:vAlign w:val="center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3DFD" w:rsidRDefault="00B90BC1">
            <w:pPr>
              <w:pStyle w:val="Tabletext"/>
              <w:jc w:val="left"/>
            </w:pPr>
            <w:r>
              <w:br/>
            </w:r>
            <w:r w:rsidR="00C83DF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62B4">
              <w:fldChar w:fldCharType="separate"/>
            </w:r>
            <w:r w:rsidR="00C83DF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83DF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62B4">
              <w:fldChar w:fldCharType="separate"/>
            </w:r>
            <w:r w:rsidR="00C83DF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83DFD">
        <w:tc>
          <w:tcPr>
            <w:tcW w:w="1623" w:type="pct"/>
            <w:shd w:val="clear" w:color="auto" w:fill="EFFAFF"/>
            <w:vAlign w:val="center"/>
          </w:tcPr>
          <w:p w:rsidR="00C83DFD" w:rsidRDefault="00B90B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83DFD" w:rsidRDefault="00B90BC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83DFD" w:rsidRDefault="00B90BC1">
      <w:pPr>
        <w:jc w:val="left"/>
        <w:rPr>
          <w:szCs w:val="22"/>
        </w:rPr>
      </w:pPr>
      <w:r>
        <w:tab/>
      </w:r>
      <w:r w:rsidR="00C83DF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B62B4">
        <w:rPr>
          <w:szCs w:val="22"/>
        </w:rPr>
      </w:r>
      <w:r w:rsidR="009B62B4">
        <w:rPr>
          <w:szCs w:val="22"/>
        </w:rPr>
        <w:fldChar w:fldCharType="separate"/>
      </w:r>
      <w:r w:rsidR="00C83DF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83DFD" w:rsidRDefault="00B90BC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83DFD" w:rsidRDefault="00C83DFD">
      <w:pPr>
        <w:rPr>
          <w:i/>
          <w:iCs/>
          <w:szCs w:val="22"/>
        </w:rPr>
      </w:pPr>
    </w:p>
    <w:sectPr w:rsidR="00C83DFD" w:rsidSect="00C83DFD">
      <w:headerReference w:type="default" r:id="rId122"/>
      <w:footerReference w:type="default" r:id="rId12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FD" w:rsidRDefault="00B90BC1">
      <w:r>
        <w:separator/>
      </w:r>
    </w:p>
  </w:endnote>
  <w:endnote w:type="continuationSeparator" w:id="0">
    <w:p w:rsidR="00C83DFD" w:rsidRDefault="00B9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FD" w:rsidRDefault="00B90BC1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83DFD">
      <w:tc>
        <w:tcPr>
          <w:tcW w:w="1985" w:type="dxa"/>
        </w:tcPr>
        <w:p w:rsidR="00C83DFD" w:rsidRPr="00B90BC1" w:rsidRDefault="00B90BC1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B90BC1">
            <w:rPr>
              <w:sz w:val="20"/>
              <w:lang w:val="fr-CH"/>
            </w:rPr>
            <w:t>CH-1211 Geneva 20</w:t>
          </w:r>
          <w:r w:rsidRPr="00B90BC1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C83DFD" w:rsidRDefault="00B90BC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83DFD" w:rsidRDefault="00B90BC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83DFD" w:rsidRDefault="00B90BC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83DFD" w:rsidRDefault="00B90BC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83DFD" w:rsidRDefault="00C83DF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FD" w:rsidRDefault="00B90BC1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FD" w:rsidRDefault="00B90BC1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FD" w:rsidRDefault="00B90BC1">
      <w:r>
        <w:t>____________________</w:t>
      </w:r>
    </w:p>
  </w:footnote>
  <w:footnote w:type="continuationSeparator" w:id="0">
    <w:p w:rsidR="00C83DFD" w:rsidRDefault="00B90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FD" w:rsidRDefault="00B90B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3DF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3DFD">
      <w:rPr>
        <w:rStyle w:val="PageNumber"/>
        <w:szCs w:val="18"/>
      </w:rPr>
      <w:fldChar w:fldCharType="separate"/>
    </w:r>
    <w:r w:rsidR="009B62B4">
      <w:rPr>
        <w:rStyle w:val="PageNumber"/>
        <w:noProof/>
        <w:szCs w:val="18"/>
      </w:rPr>
      <w:t>2</w:t>
    </w:r>
    <w:r w:rsidR="00C83DF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FD" w:rsidRDefault="00B90B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3DF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3DFD">
      <w:rPr>
        <w:rStyle w:val="PageNumber"/>
        <w:szCs w:val="18"/>
      </w:rPr>
      <w:fldChar w:fldCharType="separate"/>
    </w:r>
    <w:r w:rsidR="009B62B4">
      <w:rPr>
        <w:rStyle w:val="PageNumber"/>
        <w:noProof/>
        <w:szCs w:val="18"/>
      </w:rPr>
      <w:t>10</w:t>
    </w:r>
    <w:r w:rsidR="00C83DF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FD" w:rsidRDefault="00B90B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3DF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3DFD">
      <w:rPr>
        <w:rStyle w:val="PageNumber"/>
        <w:szCs w:val="18"/>
      </w:rPr>
      <w:fldChar w:fldCharType="separate"/>
    </w:r>
    <w:r w:rsidR="009B62B4">
      <w:rPr>
        <w:rStyle w:val="PageNumber"/>
        <w:noProof/>
        <w:szCs w:val="18"/>
      </w:rPr>
      <w:t>13</w:t>
    </w:r>
    <w:r w:rsidR="00C83DF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FD"/>
    <w:rsid w:val="009B62B4"/>
    <w:rsid w:val="00B90BC1"/>
    <w:rsid w:val="00C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3DF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83DF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3DF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3DF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83DFD"/>
    <w:pPr>
      <w:outlineLvl w:val="4"/>
    </w:pPr>
  </w:style>
  <w:style w:type="paragraph" w:styleId="Heading6">
    <w:name w:val="heading 6"/>
    <w:basedOn w:val="Heading4"/>
    <w:next w:val="Normal"/>
    <w:qFormat/>
    <w:rsid w:val="00C83DF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83DFD"/>
    <w:pPr>
      <w:outlineLvl w:val="6"/>
    </w:pPr>
  </w:style>
  <w:style w:type="paragraph" w:styleId="Heading8">
    <w:name w:val="heading 8"/>
    <w:basedOn w:val="Heading6"/>
    <w:next w:val="Normal"/>
    <w:qFormat/>
    <w:rsid w:val="00C83DFD"/>
    <w:pPr>
      <w:outlineLvl w:val="7"/>
    </w:pPr>
  </w:style>
  <w:style w:type="paragraph" w:styleId="Heading9">
    <w:name w:val="heading 9"/>
    <w:basedOn w:val="Heading6"/>
    <w:next w:val="Normal"/>
    <w:qFormat/>
    <w:rsid w:val="00C83DF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83DF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83DFD"/>
    <w:pPr>
      <w:spacing w:before="360"/>
    </w:pPr>
  </w:style>
  <w:style w:type="paragraph" w:customStyle="1" w:styleId="ChapNo">
    <w:name w:val="Chap_No"/>
    <w:basedOn w:val="Normal"/>
    <w:next w:val="Chaptitle"/>
    <w:rsid w:val="00C83DF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83DF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83DFD"/>
  </w:style>
  <w:style w:type="paragraph" w:customStyle="1" w:styleId="AnnexNotitle">
    <w:name w:val="Annex_No &amp; title"/>
    <w:basedOn w:val="Normal"/>
    <w:next w:val="Normalaftertitle"/>
    <w:rsid w:val="00C83DF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83D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83DF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83DF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3DF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3DF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83DFD"/>
    <w:pPr>
      <w:spacing w:before="80"/>
      <w:ind w:left="794" w:hanging="794"/>
    </w:pPr>
  </w:style>
  <w:style w:type="paragraph" w:customStyle="1" w:styleId="enumlev2">
    <w:name w:val="enumlev2"/>
    <w:basedOn w:val="enumlev1"/>
    <w:rsid w:val="00C83DFD"/>
    <w:pPr>
      <w:ind w:left="1191" w:hanging="397"/>
    </w:pPr>
  </w:style>
  <w:style w:type="paragraph" w:customStyle="1" w:styleId="enumlev3">
    <w:name w:val="enumlev3"/>
    <w:basedOn w:val="enumlev2"/>
    <w:rsid w:val="00C83DFD"/>
    <w:pPr>
      <w:ind w:left="1588"/>
    </w:pPr>
  </w:style>
  <w:style w:type="paragraph" w:customStyle="1" w:styleId="Equation">
    <w:name w:val="Equation"/>
    <w:basedOn w:val="Normal"/>
    <w:rsid w:val="00C83DF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83DF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83DF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83DF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83DF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83DFD"/>
  </w:style>
  <w:style w:type="paragraph" w:customStyle="1" w:styleId="Tabletext">
    <w:name w:val="Table_text"/>
    <w:basedOn w:val="Normal"/>
    <w:rsid w:val="00C83D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83DFD"/>
    <w:pPr>
      <w:keepLines/>
      <w:spacing w:before="240" w:after="120"/>
      <w:jc w:val="center"/>
    </w:pPr>
  </w:style>
  <w:style w:type="paragraph" w:styleId="Footer">
    <w:name w:val="footer"/>
    <w:basedOn w:val="Normal"/>
    <w:rsid w:val="00C83DF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3DF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83DFD"/>
    <w:rPr>
      <w:position w:val="6"/>
      <w:sz w:val="18"/>
    </w:rPr>
  </w:style>
  <w:style w:type="paragraph" w:styleId="FootnoteText">
    <w:name w:val="footnote text"/>
    <w:basedOn w:val="Note"/>
    <w:semiHidden/>
    <w:rsid w:val="00C83DF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83DFD"/>
    <w:pPr>
      <w:spacing w:before="80"/>
    </w:pPr>
  </w:style>
  <w:style w:type="paragraph" w:styleId="Header">
    <w:name w:val="header"/>
    <w:basedOn w:val="Normal"/>
    <w:rsid w:val="00C83DF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83DFD"/>
  </w:style>
  <w:style w:type="paragraph" w:styleId="Index2">
    <w:name w:val="index 2"/>
    <w:basedOn w:val="Normal"/>
    <w:next w:val="Normal"/>
    <w:semiHidden/>
    <w:rsid w:val="00C83DFD"/>
    <w:pPr>
      <w:ind w:left="283"/>
    </w:pPr>
  </w:style>
  <w:style w:type="paragraph" w:styleId="Index3">
    <w:name w:val="index 3"/>
    <w:basedOn w:val="Normal"/>
    <w:next w:val="Normal"/>
    <w:semiHidden/>
    <w:rsid w:val="00C83DFD"/>
    <w:pPr>
      <w:ind w:left="566"/>
    </w:pPr>
  </w:style>
  <w:style w:type="paragraph" w:customStyle="1" w:styleId="PartNo">
    <w:name w:val="Part_No"/>
    <w:basedOn w:val="Normal"/>
    <w:next w:val="Partref"/>
    <w:rsid w:val="00C83D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83DF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83DF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83DF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83D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83D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83DFD"/>
  </w:style>
  <w:style w:type="paragraph" w:customStyle="1" w:styleId="QuestionNo">
    <w:name w:val="Question_No"/>
    <w:basedOn w:val="RecNo"/>
    <w:next w:val="Questiontitle"/>
    <w:rsid w:val="00C83DFD"/>
  </w:style>
  <w:style w:type="paragraph" w:customStyle="1" w:styleId="RecNo">
    <w:name w:val="Rec_No"/>
    <w:basedOn w:val="Normal"/>
    <w:next w:val="Rectitle"/>
    <w:rsid w:val="00C83DF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83DF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83DFD"/>
  </w:style>
  <w:style w:type="paragraph" w:customStyle="1" w:styleId="Questionref">
    <w:name w:val="Question_ref"/>
    <w:basedOn w:val="Recref"/>
    <w:next w:val="Questiondate"/>
    <w:rsid w:val="00C83DFD"/>
  </w:style>
  <w:style w:type="paragraph" w:customStyle="1" w:styleId="Reftext">
    <w:name w:val="Ref_text"/>
    <w:basedOn w:val="Normal"/>
    <w:rsid w:val="00C83DF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83DFD"/>
  </w:style>
  <w:style w:type="paragraph" w:customStyle="1" w:styleId="RepNo">
    <w:name w:val="Rep_No"/>
    <w:basedOn w:val="RecNo"/>
    <w:next w:val="Reptitle"/>
    <w:rsid w:val="00C83DFD"/>
  </w:style>
  <w:style w:type="paragraph" w:customStyle="1" w:styleId="Reptitle">
    <w:name w:val="Rep_title"/>
    <w:basedOn w:val="Rectitle"/>
    <w:next w:val="Repref"/>
    <w:rsid w:val="00C83DFD"/>
  </w:style>
  <w:style w:type="paragraph" w:customStyle="1" w:styleId="Repref">
    <w:name w:val="Rep_ref"/>
    <w:basedOn w:val="Recref"/>
    <w:next w:val="Repdate"/>
    <w:rsid w:val="00C83DFD"/>
  </w:style>
  <w:style w:type="paragraph" w:customStyle="1" w:styleId="Resdate">
    <w:name w:val="Res_date"/>
    <w:basedOn w:val="Recdate"/>
    <w:next w:val="Normalaftertitle"/>
    <w:rsid w:val="00C83DFD"/>
  </w:style>
  <w:style w:type="paragraph" w:customStyle="1" w:styleId="ResNo">
    <w:name w:val="Res_No"/>
    <w:basedOn w:val="RecNo"/>
    <w:next w:val="Restitle"/>
    <w:rsid w:val="00C83DFD"/>
  </w:style>
  <w:style w:type="paragraph" w:customStyle="1" w:styleId="Restitle">
    <w:name w:val="Res_title"/>
    <w:basedOn w:val="Rectitle"/>
    <w:next w:val="Resref"/>
    <w:rsid w:val="00C83DFD"/>
  </w:style>
  <w:style w:type="paragraph" w:customStyle="1" w:styleId="Resref">
    <w:name w:val="Res_ref"/>
    <w:basedOn w:val="Recref"/>
    <w:next w:val="Resdate"/>
    <w:rsid w:val="00C83DFD"/>
  </w:style>
  <w:style w:type="paragraph" w:customStyle="1" w:styleId="SectionNo">
    <w:name w:val="Section_No"/>
    <w:basedOn w:val="Normal"/>
    <w:next w:val="Sectiontitle"/>
    <w:rsid w:val="00C83D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83DF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83DF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83DF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83DF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83D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83DF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83DF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83D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83DFD"/>
  </w:style>
  <w:style w:type="paragraph" w:customStyle="1" w:styleId="Title3">
    <w:name w:val="Title 3"/>
    <w:basedOn w:val="Title2"/>
    <w:next w:val="Title4"/>
    <w:rsid w:val="00C83DFD"/>
    <w:rPr>
      <w:caps w:val="0"/>
    </w:rPr>
  </w:style>
  <w:style w:type="paragraph" w:customStyle="1" w:styleId="Title4">
    <w:name w:val="Title 4"/>
    <w:basedOn w:val="Title3"/>
    <w:next w:val="Heading1"/>
    <w:rsid w:val="00C83DFD"/>
    <w:rPr>
      <w:b/>
    </w:rPr>
  </w:style>
  <w:style w:type="paragraph" w:customStyle="1" w:styleId="toc0">
    <w:name w:val="toc 0"/>
    <w:basedOn w:val="Normal"/>
    <w:next w:val="TOC1"/>
    <w:rsid w:val="00C83DF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83DF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83DFD"/>
    <w:pPr>
      <w:spacing w:before="80"/>
      <w:ind w:left="1531" w:hanging="851"/>
    </w:pPr>
  </w:style>
  <w:style w:type="paragraph" w:styleId="TOC3">
    <w:name w:val="toc 3"/>
    <w:basedOn w:val="TOC2"/>
    <w:semiHidden/>
    <w:rsid w:val="00C83DFD"/>
  </w:style>
  <w:style w:type="paragraph" w:styleId="TOC4">
    <w:name w:val="toc 4"/>
    <w:basedOn w:val="TOC3"/>
    <w:semiHidden/>
    <w:rsid w:val="00C83DFD"/>
  </w:style>
  <w:style w:type="paragraph" w:styleId="TOC5">
    <w:name w:val="toc 5"/>
    <w:basedOn w:val="TOC4"/>
    <w:semiHidden/>
    <w:rsid w:val="00C83DFD"/>
  </w:style>
  <w:style w:type="paragraph" w:styleId="TOC6">
    <w:name w:val="toc 6"/>
    <w:basedOn w:val="TOC4"/>
    <w:semiHidden/>
    <w:rsid w:val="00C83DFD"/>
  </w:style>
  <w:style w:type="paragraph" w:styleId="TOC7">
    <w:name w:val="toc 7"/>
    <w:basedOn w:val="TOC4"/>
    <w:semiHidden/>
    <w:rsid w:val="00C83DFD"/>
  </w:style>
  <w:style w:type="paragraph" w:styleId="TOC8">
    <w:name w:val="toc 8"/>
    <w:basedOn w:val="TOC4"/>
    <w:semiHidden/>
    <w:rsid w:val="00C83DFD"/>
  </w:style>
  <w:style w:type="character" w:customStyle="1" w:styleId="Appdef">
    <w:name w:val="App_def"/>
    <w:basedOn w:val="DefaultParagraphFont"/>
    <w:rsid w:val="00C83DF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3DFD"/>
  </w:style>
  <w:style w:type="character" w:customStyle="1" w:styleId="Artdef">
    <w:name w:val="Art_def"/>
    <w:basedOn w:val="DefaultParagraphFont"/>
    <w:rsid w:val="00C83DF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3DFD"/>
  </w:style>
  <w:style w:type="paragraph" w:customStyle="1" w:styleId="Reftitle">
    <w:name w:val="Ref_title"/>
    <w:basedOn w:val="Normal"/>
    <w:next w:val="Reftext"/>
    <w:rsid w:val="00C83DF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83DF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83DFD"/>
    <w:rPr>
      <w:b/>
      <w:color w:val="auto"/>
    </w:rPr>
  </w:style>
  <w:style w:type="paragraph" w:customStyle="1" w:styleId="Formal">
    <w:name w:val="Formal"/>
    <w:basedOn w:val="ASN1"/>
    <w:rsid w:val="00C83DFD"/>
    <w:rPr>
      <w:b w:val="0"/>
    </w:rPr>
  </w:style>
  <w:style w:type="paragraph" w:customStyle="1" w:styleId="FooterQP">
    <w:name w:val="Footer_QP"/>
    <w:basedOn w:val="Normal"/>
    <w:rsid w:val="00C83DF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83DF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83DF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83DF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83DFD"/>
  </w:style>
  <w:style w:type="paragraph" w:customStyle="1" w:styleId="RepNoBR">
    <w:name w:val="Rep_No_BR"/>
    <w:basedOn w:val="RecNoBR"/>
    <w:next w:val="Reptitle"/>
    <w:rsid w:val="00C83DFD"/>
  </w:style>
  <w:style w:type="paragraph" w:customStyle="1" w:styleId="ResNoBR">
    <w:name w:val="Res_No_BR"/>
    <w:basedOn w:val="RecNoBR"/>
    <w:next w:val="Restitle"/>
    <w:rsid w:val="00C83DFD"/>
  </w:style>
  <w:style w:type="paragraph" w:customStyle="1" w:styleId="TabletitleBR">
    <w:name w:val="Table_title_BR"/>
    <w:basedOn w:val="Normal"/>
    <w:next w:val="Tablehead"/>
    <w:rsid w:val="00C83DF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83DF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83DF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83DFD"/>
    <w:rPr>
      <w:b/>
    </w:rPr>
  </w:style>
  <w:style w:type="paragraph" w:customStyle="1" w:styleId="FiguretitleBR">
    <w:name w:val="Figure_title_BR"/>
    <w:basedOn w:val="TabletitleBR"/>
    <w:next w:val="Figurewithouttitle"/>
    <w:rsid w:val="00C83DF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83DF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3DF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83DF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3DF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3DF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83DFD"/>
    <w:pPr>
      <w:outlineLvl w:val="4"/>
    </w:pPr>
  </w:style>
  <w:style w:type="paragraph" w:styleId="Heading6">
    <w:name w:val="heading 6"/>
    <w:basedOn w:val="Heading4"/>
    <w:next w:val="Normal"/>
    <w:qFormat/>
    <w:rsid w:val="00C83DF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83DFD"/>
    <w:pPr>
      <w:outlineLvl w:val="6"/>
    </w:pPr>
  </w:style>
  <w:style w:type="paragraph" w:styleId="Heading8">
    <w:name w:val="heading 8"/>
    <w:basedOn w:val="Heading6"/>
    <w:next w:val="Normal"/>
    <w:qFormat/>
    <w:rsid w:val="00C83DFD"/>
    <w:pPr>
      <w:outlineLvl w:val="7"/>
    </w:pPr>
  </w:style>
  <w:style w:type="paragraph" w:styleId="Heading9">
    <w:name w:val="heading 9"/>
    <w:basedOn w:val="Heading6"/>
    <w:next w:val="Normal"/>
    <w:qFormat/>
    <w:rsid w:val="00C83DF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83DF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83DFD"/>
    <w:pPr>
      <w:spacing w:before="360"/>
    </w:pPr>
  </w:style>
  <w:style w:type="paragraph" w:customStyle="1" w:styleId="ChapNo">
    <w:name w:val="Chap_No"/>
    <w:basedOn w:val="Normal"/>
    <w:next w:val="Chaptitle"/>
    <w:rsid w:val="00C83DF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83DF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83DFD"/>
  </w:style>
  <w:style w:type="paragraph" w:customStyle="1" w:styleId="AnnexNotitle">
    <w:name w:val="Annex_No &amp; title"/>
    <w:basedOn w:val="Normal"/>
    <w:next w:val="Normalaftertitle"/>
    <w:rsid w:val="00C83DF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83D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83DF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83DF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3DF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3DF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83DFD"/>
    <w:pPr>
      <w:spacing w:before="80"/>
      <w:ind w:left="794" w:hanging="794"/>
    </w:pPr>
  </w:style>
  <w:style w:type="paragraph" w:customStyle="1" w:styleId="enumlev2">
    <w:name w:val="enumlev2"/>
    <w:basedOn w:val="enumlev1"/>
    <w:rsid w:val="00C83DFD"/>
    <w:pPr>
      <w:ind w:left="1191" w:hanging="397"/>
    </w:pPr>
  </w:style>
  <w:style w:type="paragraph" w:customStyle="1" w:styleId="enumlev3">
    <w:name w:val="enumlev3"/>
    <w:basedOn w:val="enumlev2"/>
    <w:rsid w:val="00C83DFD"/>
    <w:pPr>
      <w:ind w:left="1588"/>
    </w:pPr>
  </w:style>
  <w:style w:type="paragraph" w:customStyle="1" w:styleId="Equation">
    <w:name w:val="Equation"/>
    <w:basedOn w:val="Normal"/>
    <w:rsid w:val="00C83DF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83DF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83DF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83DF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83DF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83DFD"/>
  </w:style>
  <w:style w:type="paragraph" w:customStyle="1" w:styleId="Tabletext">
    <w:name w:val="Table_text"/>
    <w:basedOn w:val="Normal"/>
    <w:rsid w:val="00C83D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83DFD"/>
    <w:pPr>
      <w:keepLines/>
      <w:spacing w:before="240" w:after="120"/>
      <w:jc w:val="center"/>
    </w:pPr>
  </w:style>
  <w:style w:type="paragraph" w:styleId="Footer">
    <w:name w:val="footer"/>
    <w:basedOn w:val="Normal"/>
    <w:rsid w:val="00C83DF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3DF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83DFD"/>
    <w:rPr>
      <w:position w:val="6"/>
      <w:sz w:val="18"/>
    </w:rPr>
  </w:style>
  <w:style w:type="paragraph" w:styleId="FootnoteText">
    <w:name w:val="footnote text"/>
    <w:basedOn w:val="Note"/>
    <w:semiHidden/>
    <w:rsid w:val="00C83DF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83DFD"/>
    <w:pPr>
      <w:spacing w:before="80"/>
    </w:pPr>
  </w:style>
  <w:style w:type="paragraph" w:styleId="Header">
    <w:name w:val="header"/>
    <w:basedOn w:val="Normal"/>
    <w:rsid w:val="00C83DF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83DFD"/>
  </w:style>
  <w:style w:type="paragraph" w:styleId="Index2">
    <w:name w:val="index 2"/>
    <w:basedOn w:val="Normal"/>
    <w:next w:val="Normal"/>
    <w:semiHidden/>
    <w:rsid w:val="00C83DFD"/>
    <w:pPr>
      <w:ind w:left="283"/>
    </w:pPr>
  </w:style>
  <w:style w:type="paragraph" w:styleId="Index3">
    <w:name w:val="index 3"/>
    <w:basedOn w:val="Normal"/>
    <w:next w:val="Normal"/>
    <w:semiHidden/>
    <w:rsid w:val="00C83DFD"/>
    <w:pPr>
      <w:ind w:left="566"/>
    </w:pPr>
  </w:style>
  <w:style w:type="paragraph" w:customStyle="1" w:styleId="PartNo">
    <w:name w:val="Part_No"/>
    <w:basedOn w:val="Normal"/>
    <w:next w:val="Partref"/>
    <w:rsid w:val="00C83D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83DF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83DF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83DF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83D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83D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83DFD"/>
  </w:style>
  <w:style w:type="paragraph" w:customStyle="1" w:styleId="QuestionNo">
    <w:name w:val="Question_No"/>
    <w:basedOn w:val="RecNo"/>
    <w:next w:val="Questiontitle"/>
    <w:rsid w:val="00C83DFD"/>
  </w:style>
  <w:style w:type="paragraph" w:customStyle="1" w:styleId="RecNo">
    <w:name w:val="Rec_No"/>
    <w:basedOn w:val="Normal"/>
    <w:next w:val="Rectitle"/>
    <w:rsid w:val="00C83DF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83DF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83DFD"/>
  </w:style>
  <w:style w:type="paragraph" w:customStyle="1" w:styleId="Questionref">
    <w:name w:val="Question_ref"/>
    <w:basedOn w:val="Recref"/>
    <w:next w:val="Questiondate"/>
    <w:rsid w:val="00C83DFD"/>
  </w:style>
  <w:style w:type="paragraph" w:customStyle="1" w:styleId="Reftext">
    <w:name w:val="Ref_text"/>
    <w:basedOn w:val="Normal"/>
    <w:rsid w:val="00C83DF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83DFD"/>
  </w:style>
  <w:style w:type="paragraph" w:customStyle="1" w:styleId="RepNo">
    <w:name w:val="Rep_No"/>
    <w:basedOn w:val="RecNo"/>
    <w:next w:val="Reptitle"/>
    <w:rsid w:val="00C83DFD"/>
  </w:style>
  <w:style w:type="paragraph" w:customStyle="1" w:styleId="Reptitle">
    <w:name w:val="Rep_title"/>
    <w:basedOn w:val="Rectitle"/>
    <w:next w:val="Repref"/>
    <w:rsid w:val="00C83DFD"/>
  </w:style>
  <w:style w:type="paragraph" w:customStyle="1" w:styleId="Repref">
    <w:name w:val="Rep_ref"/>
    <w:basedOn w:val="Recref"/>
    <w:next w:val="Repdate"/>
    <w:rsid w:val="00C83DFD"/>
  </w:style>
  <w:style w:type="paragraph" w:customStyle="1" w:styleId="Resdate">
    <w:name w:val="Res_date"/>
    <w:basedOn w:val="Recdate"/>
    <w:next w:val="Normalaftertitle"/>
    <w:rsid w:val="00C83DFD"/>
  </w:style>
  <w:style w:type="paragraph" w:customStyle="1" w:styleId="ResNo">
    <w:name w:val="Res_No"/>
    <w:basedOn w:val="RecNo"/>
    <w:next w:val="Restitle"/>
    <w:rsid w:val="00C83DFD"/>
  </w:style>
  <w:style w:type="paragraph" w:customStyle="1" w:styleId="Restitle">
    <w:name w:val="Res_title"/>
    <w:basedOn w:val="Rectitle"/>
    <w:next w:val="Resref"/>
    <w:rsid w:val="00C83DFD"/>
  </w:style>
  <w:style w:type="paragraph" w:customStyle="1" w:styleId="Resref">
    <w:name w:val="Res_ref"/>
    <w:basedOn w:val="Recref"/>
    <w:next w:val="Resdate"/>
    <w:rsid w:val="00C83DFD"/>
  </w:style>
  <w:style w:type="paragraph" w:customStyle="1" w:styleId="SectionNo">
    <w:name w:val="Section_No"/>
    <w:basedOn w:val="Normal"/>
    <w:next w:val="Sectiontitle"/>
    <w:rsid w:val="00C83D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83DF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83DF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83DF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83DF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83D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83DF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83DF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83D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83DFD"/>
  </w:style>
  <w:style w:type="paragraph" w:customStyle="1" w:styleId="Title3">
    <w:name w:val="Title 3"/>
    <w:basedOn w:val="Title2"/>
    <w:next w:val="Title4"/>
    <w:rsid w:val="00C83DFD"/>
    <w:rPr>
      <w:caps w:val="0"/>
    </w:rPr>
  </w:style>
  <w:style w:type="paragraph" w:customStyle="1" w:styleId="Title4">
    <w:name w:val="Title 4"/>
    <w:basedOn w:val="Title3"/>
    <w:next w:val="Heading1"/>
    <w:rsid w:val="00C83DFD"/>
    <w:rPr>
      <w:b/>
    </w:rPr>
  </w:style>
  <w:style w:type="paragraph" w:customStyle="1" w:styleId="toc0">
    <w:name w:val="toc 0"/>
    <w:basedOn w:val="Normal"/>
    <w:next w:val="TOC1"/>
    <w:rsid w:val="00C83DF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83DF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83DFD"/>
    <w:pPr>
      <w:spacing w:before="80"/>
      <w:ind w:left="1531" w:hanging="851"/>
    </w:pPr>
  </w:style>
  <w:style w:type="paragraph" w:styleId="TOC3">
    <w:name w:val="toc 3"/>
    <w:basedOn w:val="TOC2"/>
    <w:semiHidden/>
    <w:rsid w:val="00C83DFD"/>
  </w:style>
  <w:style w:type="paragraph" w:styleId="TOC4">
    <w:name w:val="toc 4"/>
    <w:basedOn w:val="TOC3"/>
    <w:semiHidden/>
    <w:rsid w:val="00C83DFD"/>
  </w:style>
  <w:style w:type="paragraph" w:styleId="TOC5">
    <w:name w:val="toc 5"/>
    <w:basedOn w:val="TOC4"/>
    <w:semiHidden/>
    <w:rsid w:val="00C83DFD"/>
  </w:style>
  <w:style w:type="paragraph" w:styleId="TOC6">
    <w:name w:val="toc 6"/>
    <w:basedOn w:val="TOC4"/>
    <w:semiHidden/>
    <w:rsid w:val="00C83DFD"/>
  </w:style>
  <w:style w:type="paragraph" w:styleId="TOC7">
    <w:name w:val="toc 7"/>
    <w:basedOn w:val="TOC4"/>
    <w:semiHidden/>
    <w:rsid w:val="00C83DFD"/>
  </w:style>
  <w:style w:type="paragraph" w:styleId="TOC8">
    <w:name w:val="toc 8"/>
    <w:basedOn w:val="TOC4"/>
    <w:semiHidden/>
    <w:rsid w:val="00C83DFD"/>
  </w:style>
  <w:style w:type="character" w:customStyle="1" w:styleId="Appdef">
    <w:name w:val="App_def"/>
    <w:basedOn w:val="DefaultParagraphFont"/>
    <w:rsid w:val="00C83DF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3DFD"/>
  </w:style>
  <w:style w:type="character" w:customStyle="1" w:styleId="Artdef">
    <w:name w:val="Art_def"/>
    <w:basedOn w:val="DefaultParagraphFont"/>
    <w:rsid w:val="00C83DF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3DFD"/>
  </w:style>
  <w:style w:type="paragraph" w:customStyle="1" w:styleId="Reftitle">
    <w:name w:val="Ref_title"/>
    <w:basedOn w:val="Normal"/>
    <w:next w:val="Reftext"/>
    <w:rsid w:val="00C83DF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83DF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83DFD"/>
    <w:rPr>
      <w:b/>
      <w:color w:val="auto"/>
    </w:rPr>
  </w:style>
  <w:style w:type="paragraph" w:customStyle="1" w:styleId="Formal">
    <w:name w:val="Formal"/>
    <w:basedOn w:val="ASN1"/>
    <w:rsid w:val="00C83DFD"/>
    <w:rPr>
      <w:b w:val="0"/>
    </w:rPr>
  </w:style>
  <w:style w:type="paragraph" w:customStyle="1" w:styleId="FooterQP">
    <w:name w:val="Footer_QP"/>
    <w:basedOn w:val="Normal"/>
    <w:rsid w:val="00C83DF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83DF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83DF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83DF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83DFD"/>
  </w:style>
  <w:style w:type="paragraph" w:customStyle="1" w:styleId="RepNoBR">
    <w:name w:val="Rep_No_BR"/>
    <w:basedOn w:val="RecNoBR"/>
    <w:next w:val="Reptitle"/>
    <w:rsid w:val="00C83DFD"/>
  </w:style>
  <w:style w:type="paragraph" w:customStyle="1" w:styleId="ResNoBR">
    <w:name w:val="Res_No_BR"/>
    <w:basedOn w:val="RecNoBR"/>
    <w:next w:val="Restitle"/>
    <w:rsid w:val="00C83DFD"/>
  </w:style>
  <w:style w:type="paragraph" w:customStyle="1" w:styleId="TabletitleBR">
    <w:name w:val="Table_title_BR"/>
    <w:basedOn w:val="Normal"/>
    <w:next w:val="Tablehead"/>
    <w:rsid w:val="00C83DF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83DF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83DF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83DFD"/>
    <w:rPr>
      <w:b/>
    </w:rPr>
  </w:style>
  <w:style w:type="paragraph" w:customStyle="1" w:styleId="FiguretitleBR">
    <w:name w:val="Figure_title_BR"/>
    <w:basedOn w:val="TabletitleBR"/>
    <w:next w:val="Figurewithouttitle"/>
    <w:rsid w:val="00C83DF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83DF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image" Target="media/image3.gif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B720801MSWE.docx&amp;group=9" TargetMode="External"/><Relationship Id="rId47" Type="http://schemas.openxmlformats.org/officeDocument/2006/relationships/hyperlink" Target="http://www.itu.int/itu-t/aap/AAPRecDetails.aspx?AAPSeqNo=2929" TargetMode="External"/><Relationship Id="rId63" Type="http://schemas.openxmlformats.org/officeDocument/2006/relationships/hyperlink" Target="http://www.itu.int/itu-t/aap/AAPRecDetails.aspx?AAPSeqNo=2913" TargetMode="External"/><Relationship Id="rId68" Type="http://schemas.openxmlformats.org/officeDocument/2006/relationships/hyperlink" Target="https://www.itu.int/ITU-T/aap/dologin_aap.asp?id=T0102000B5C0801MSWE.docx&amp;group=15" TargetMode="External"/><Relationship Id="rId84" Type="http://schemas.openxmlformats.org/officeDocument/2006/relationships/hyperlink" Target="https://www.itu.int/ITU-T/aap/dologin_aap.asp?id=T0102000B5B0810MSWE.doc&amp;group=15" TargetMode="External"/><Relationship Id="rId89" Type="http://schemas.openxmlformats.org/officeDocument/2006/relationships/hyperlink" Target="http://www.itu.int/itu-t/aap/AAPRecDetails.aspx?AAPSeqNo=2884" TargetMode="External"/><Relationship Id="rId112" Type="http://schemas.openxmlformats.org/officeDocument/2006/relationships/hyperlink" Target="https://www.itu.int/ITU-T/aap/dologin_aap.asp?id=T0102000B500801MSWE.doc&amp;group=16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2893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53" Type="http://schemas.openxmlformats.org/officeDocument/2006/relationships/hyperlink" Target="http://www.itu.int/itu-t/aap/AAPRecDetails.aspx?AAPSeqNo=2922" TargetMode="External"/><Relationship Id="rId58" Type="http://schemas.openxmlformats.org/officeDocument/2006/relationships/hyperlink" Target="https://www.itu.int/ITU-T/aap/dologin_aap.asp?id=T0102000B600801MSWE.docx&amp;group=15" TargetMode="External"/><Relationship Id="rId74" Type="http://schemas.openxmlformats.org/officeDocument/2006/relationships/hyperlink" Target="https://www.itu.int/ITU-T/aap/dologin_aap.asp?id=T0102000B670801MSWE.docx&amp;group=15" TargetMode="External"/><Relationship Id="rId79" Type="http://schemas.openxmlformats.org/officeDocument/2006/relationships/hyperlink" Target="http://www.itu.int/itu-t/aap/AAPRecDetails.aspx?AAPSeqNo=2917" TargetMode="External"/><Relationship Id="rId102" Type="http://schemas.openxmlformats.org/officeDocument/2006/relationships/hyperlink" Target="https://www.itu.int/ITU-T/aap/dologin_aap.asp?id=T0102000B4A0801MSWE.docx&amp;group=16" TargetMode="External"/><Relationship Id="rId123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911" TargetMode="External"/><Relationship Id="rId82" Type="http://schemas.openxmlformats.org/officeDocument/2006/relationships/hyperlink" Target="https://www.itu.int/ITU-T/aap/dologin_aap.asp?id=T0102000B660801MSWE.docx&amp;group=15" TargetMode="External"/><Relationship Id="rId90" Type="http://schemas.openxmlformats.org/officeDocument/2006/relationships/hyperlink" Target="https://www.itu.int/ITU-T/aap/dologin_aap.asp?id=T0102000B440801MSWE.doc&amp;group=16" TargetMode="External"/><Relationship Id="rId95" Type="http://schemas.openxmlformats.org/officeDocument/2006/relationships/hyperlink" Target="http://www.itu.int/itu-t/aap/AAPRecDetails.aspx?AAPSeqNo=2887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26" TargetMode="External"/><Relationship Id="rId48" Type="http://schemas.openxmlformats.org/officeDocument/2006/relationships/hyperlink" Target="https://www.itu.int/ITU-T/aap/dologin_aap.asp?id=T0102000B710801MSWE.docx&amp;group=9" TargetMode="External"/><Relationship Id="rId56" Type="http://schemas.openxmlformats.org/officeDocument/2006/relationships/hyperlink" Target="https://www.itu.int/ITU-T/aap/dologin_aap.asp?id=T0102000B5D0801MSWE.docx&amp;group=15" TargetMode="External"/><Relationship Id="rId64" Type="http://schemas.openxmlformats.org/officeDocument/2006/relationships/hyperlink" Target="https://www.itu.int/ITU-T/aap/dologin_aap.asp?id=T0102000B610801MSWE.docx&amp;group=15" TargetMode="External"/><Relationship Id="rId69" Type="http://schemas.openxmlformats.org/officeDocument/2006/relationships/hyperlink" Target="http://www.itu.int/itu-t/aap/AAPRecDetails.aspx?AAPSeqNo=2915" TargetMode="External"/><Relationship Id="rId77" Type="http://schemas.openxmlformats.org/officeDocument/2006/relationships/hyperlink" Target="http://www.itu.int/itu-t/aap/AAPRecDetails.aspx?AAPSeqNo=2916" TargetMode="External"/><Relationship Id="rId100" Type="http://schemas.openxmlformats.org/officeDocument/2006/relationships/hyperlink" Target="https://www.itu.int/ITU-T/aap/dologin_aap.asp?id=T0102000B490801MSWE.docx&amp;group=16" TargetMode="External"/><Relationship Id="rId105" Type="http://schemas.openxmlformats.org/officeDocument/2006/relationships/hyperlink" Target="http://www.itu.int/itu-t/aap/AAPRecDetails.aspx?AAPSeqNo=2892" TargetMode="External"/><Relationship Id="rId113" Type="http://schemas.openxmlformats.org/officeDocument/2006/relationships/header" Target="header2.xml"/><Relationship Id="rId118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23" TargetMode="External"/><Relationship Id="rId72" Type="http://schemas.openxmlformats.org/officeDocument/2006/relationships/hyperlink" Target="https://www.itu.int/ITU-T/aap/dologin_aap.asp?id=T0102000B620801MSWE.docx&amp;group=15" TargetMode="External"/><Relationship Id="rId80" Type="http://schemas.openxmlformats.org/officeDocument/2006/relationships/hyperlink" Target="https://www.itu.int/ITU-T/aap/dologin_aap.asp?id=T0102000B650801MSWE.doc&amp;group=15" TargetMode="External"/><Relationship Id="rId85" Type="http://schemas.openxmlformats.org/officeDocument/2006/relationships/hyperlink" Target="http://www.itu.int/itu-t/aap/AAPRecDetails.aspx?AAPSeqNo=2882" TargetMode="External"/><Relationship Id="rId93" Type="http://schemas.openxmlformats.org/officeDocument/2006/relationships/hyperlink" Target="http://www.itu.int/itu-t/aap/AAPRecDetails.aspx?AAPSeqNo=2886" TargetMode="External"/><Relationship Id="rId98" Type="http://schemas.openxmlformats.org/officeDocument/2006/relationships/hyperlink" Target="https://www.itu.int/ITU-T/aap/dologin_aap.asp?id=T0102000B480801MSWE.docx&amp;group=16" TargetMode="External"/><Relationship Id="rId121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ADB0801MSWE.doc&amp;group=5" TargetMode="External"/><Relationship Id="rId46" Type="http://schemas.openxmlformats.org/officeDocument/2006/relationships/hyperlink" Target="https://www.itu.int/ITU-T/aap/dologin_aap.asp?id=T0102000B6F0801MSWE.docx&amp;group=9" TargetMode="External"/><Relationship Id="rId59" Type="http://schemas.openxmlformats.org/officeDocument/2006/relationships/hyperlink" Target="http://www.itu.int/itu-t/aap/AAPRecDetails.aspx?AAPSeqNo=2910" TargetMode="External"/><Relationship Id="rId67" Type="http://schemas.openxmlformats.org/officeDocument/2006/relationships/hyperlink" Target="http://www.itu.int/itu-t/aap/AAPRecDetails.aspx?AAPSeqNo=2908" TargetMode="External"/><Relationship Id="rId103" Type="http://schemas.openxmlformats.org/officeDocument/2006/relationships/hyperlink" Target="http://www.itu.int/itu-t/aap/AAPRecDetails.aspx?AAPSeqNo=2891" TargetMode="External"/><Relationship Id="rId108" Type="http://schemas.openxmlformats.org/officeDocument/2006/relationships/hyperlink" Target="https://www.itu.int/ITU-T/aap/dologin_aap.asp?id=T0102000B4D0801MSWE.docx&amp;group=16" TargetMode="External"/><Relationship Id="rId116" Type="http://schemas.openxmlformats.org/officeDocument/2006/relationships/image" Target="media/image2.gif"/><Relationship Id="rId124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30" TargetMode="External"/><Relationship Id="rId54" Type="http://schemas.openxmlformats.org/officeDocument/2006/relationships/hyperlink" Target="https://www.itu.int/ITU-T/aap/dologin_aap.asp?id=T0102000B6A0801MSWE.docx&amp;group=15" TargetMode="External"/><Relationship Id="rId62" Type="http://schemas.openxmlformats.org/officeDocument/2006/relationships/hyperlink" Target="https://www.itu.int/ITU-T/aap/dologin_aap.asp?id=T0102000B5F0801MSWE.docx&amp;group=15" TargetMode="External"/><Relationship Id="rId70" Type="http://schemas.openxmlformats.org/officeDocument/2006/relationships/hyperlink" Target="https://www.itu.int/ITU-T/aap/dologin_aap.asp?id=T0102000B630801MSWE.docx&amp;group=15" TargetMode="External"/><Relationship Id="rId75" Type="http://schemas.openxmlformats.org/officeDocument/2006/relationships/hyperlink" Target="http://www.itu.int/itu-t/aap/AAPRecDetails.aspx?AAPSeqNo=2920" TargetMode="External"/><Relationship Id="rId83" Type="http://schemas.openxmlformats.org/officeDocument/2006/relationships/hyperlink" Target="http://www.itu.int/itu-t/aap/AAPRecDetails.aspx?AAPSeqNo=2907" TargetMode="External"/><Relationship Id="rId88" Type="http://schemas.openxmlformats.org/officeDocument/2006/relationships/hyperlink" Target="https://www.itu.int/ITU-T/aap/dologin_aap.asp?id=T0102000B430801MSWE.doc&amp;group=16" TargetMode="External"/><Relationship Id="rId91" Type="http://schemas.openxmlformats.org/officeDocument/2006/relationships/hyperlink" Target="http://www.itu.int/itu-t/aap/AAPRecDetails.aspx?AAPSeqNo=2885" TargetMode="External"/><Relationship Id="rId96" Type="http://schemas.openxmlformats.org/officeDocument/2006/relationships/hyperlink" Target="https://www.itu.int/ITU-T/aap/dologin_aap.asp?id=T0102000B470801MSWE.doc&amp;group=16" TargetMode="External"/><Relationship Id="rId111" Type="http://schemas.openxmlformats.org/officeDocument/2006/relationships/hyperlink" Target="http://www.itu.int/itu-t/aap/AAPRecDetails.aspx?AAPSeqNo=28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31" TargetMode="External"/><Relationship Id="rId57" Type="http://schemas.openxmlformats.org/officeDocument/2006/relationships/hyperlink" Target="http://www.itu.int/itu-t/aap/AAPRecDetails.aspx?AAPSeqNo=2912" TargetMode="External"/><Relationship Id="rId106" Type="http://schemas.openxmlformats.org/officeDocument/2006/relationships/hyperlink" Target="https://www.itu.int/ITU-T/aap/dologin_aap.asp?id=T0102000B4C0801MSWE.docx&amp;group=16" TargetMode="External"/><Relationship Id="rId114" Type="http://schemas.openxmlformats.org/officeDocument/2006/relationships/footer" Target="footer3.xml"/><Relationship Id="rId119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6E0801MSWE.doc&amp;group=9" TargetMode="External"/><Relationship Id="rId52" Type="http://schemas.openxmlformats.org/officeDocument/2006/relationships/hyperlink" Target="https://www.itu.int/ITU-T/aap/dologin_aap.asp?id=T0102000B6B0801MSWE.doc&amp;group=15" TargetMode="External"/><Relationship Id="rId60" Type="http://schemas.openxmlformats.org/officeDocument/2006/relationships/hyperlink" Target="https://www.itu.int/ITU-T/aap/dologin_aap.asp?id=T0102000B5E0801MSWE.docx&amp;group=15" TargetMode="External"/><Relationship Id="rId65" Type="http://schemas.openxmlformats.org/officeDocument/2006/relationships/hyperlink" Target="http://www.itu.int/itu-t/aap/AAPRecDetails.aspx?AAPSeqNo=2925" TargetMode="External"/><Relationship Id="rId73" Type="http://schemas.openxmlformats.org/officeDocument/2006/relationships/hyperlink" Target="http://www.itu.int/itu-t/aap/AAPRecDetails.aspx?AAPSeqNo=2919" TargetMode="External"/><Relationship Id="rId78" Type="http://schemas.openxmlformats.org/officeDocument/2006/relationships/hyperlink" Target="https://www.itu.int/ITU-T/aap/dologin_aap.asp?id=T0102000B640801MSWE.docx&amp;group=15" TargetMode="External"/><Relationship Id="rId81" Type="http://schemas.openxmlformats.org/officeDocument/2006/relationships/hyperlink" Target="http://www.itu.int/itu-t/aap/AAPRecDetails.aspx?AAPSeqNo=2918" TargetMode="External"/><Relationship Id="rId86" Type="http://schemas.openxmlformats.org/officeDocument/2006/relationships/hyperlink" Target="https://www.itu.int/ITU-T/aap/dologin_aap.asp?id=T0102000B420801MSWE.doc&amp;group=16" TargetMode="External"/><Relationship Id="rId94" Type="http://schemas.openxmlformats.org/officeDocument/2006/relationships/hyperlink" Target="https://www.itu.int/ITU-T/aap/dologin_aap.asp?id=T0102000B460801MSWE.doc&amp;group=16" TargetMode="External"/><Relationship Id="rId99" Type="http://schemas.openxmlformats.org/officeDocument/2006/relationships/hyperlink" Target="http://www.itu.int/itu-t/aap/AAPRecDetails.aspx?AAPSeqNo=2889" TargetMode="External"/><Relationship Id="rId101" Type="http://schemas.openxmlformats.org/officeDocument/2006/relationships/hyperlink" Target="http://www.itu.int/itu-t/aap/AAPRecDetails.aspx?AAPSeqNo=2890" TargetMode="External"/><Relationship Id="rId12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928" TargetMode="External"/><Relationship Id="rId109" Type="http://schemas.openxmlformats.org/officeDocument/2006/relationships/hyperlink" Target="http://www.itu.int/itu-t/aap/AAPRecDetails.aspx?AAPSeqNo=289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B730801MSWE.docx&amp;group=11" TargetMode="External"/><Relationship Id="rId55" Type="http://schemas.openxmlformats.org/officeDocument/2006/relationships/hyperlink" Target="http://www.itu.int/itu-t/aap/AAPRecDetails.aspx?AAPSeqNo=2909" TargetMode="External"/><Relationship Id="rId76" Type="http://schemas.openxmlformats.org/officeDocument/2006/relationships/hyperlink" Target="https://www.itu.int/ITU-T/aap/dologin_aap.asp?id=T0102000B680801MSWE.docx&amp;group=15" TargetMode="External"/><Relationship Id="rId97" Type="http://schemas.openxmlformats.org/officeDocument/2006/relationships/hyperlink" Target="http://www.itu.int/itu-t/aap/AAPRecDetails.aspx?AAPSeqNo=2888" TargetMode="External"/><Relationship Id="rId104" Type="http://schemas.openxmlformats.org/officeDocument/2006/relationships/hyperlink" Target="https://www.itu.int/ITU-T/aap/dologin_aap.asp?id=T0102000B4B0801MSWE.docx&amp;group=16" TargetMode="External"/><Relationship Id="rId120" Type="http://schemas.openxmlformats.org/officeDocument/2006/relationships/hyperlink" Target="http://www.itu.int/ITU-T/aapinfo/files/AAPTutorial.pdf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914" TargetMode="External"/><Relationship Id="rId92" Type="http://schemas.openxmlformats.org/officeDocument/2006/relationships/hyperlink" Target="https://www.itu.int/ITU-T/aap/dologin_aap.asp?id=T0102000B450801MSWE.doc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700801MSWE.docx&amp;group=9" TargetMode="External"/><Relationship Id="rId45" Type="http://schemas.openxmlformats.org/officeDocument/2006/relationships/hyperlink" Target="http://www.itu.int/itu-t/aap/AAPRecDetails.aspx?AAPSeqNo=2927" TargetMode="External"/><Relationship Id="rId66" Type="http://schemas.openxmlformats.org/officeDocument/2006/relationships/hyperlink" Target="https://www.itu.int/ITU-T/aap/dologin_aap.asp?id=T0102000B6D0801MSWE.docx&amp;group=15" TargetMode="External"/><Relationship Id="rId87" Type="http://schemas.openxmlformats.org/officeDocument/2006/relationships/hyperlink" Target="http://www.itu.int/itu-t/aap/AAPRecDetails.aspx?AAPSeqNo=2883" TargetMode="External"/><Relationship Id="rId110" Type="http://schemas.openxmlformats.org/officeDocument/2006/relationships/hyperlink" Target="https://www.itu.int/ITU-T/aap/dologin_aap.asp?id=T0102000B4F0801MSWE.doc&amp;group=16" TargetMode="External"/><Relationship Id="rId115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2013-12-13T14:06:00Z</dcterms:created>
  <dcterms:modified xsi:type="dcterms:W3CDTF">2013-12-13T14:14:00Z</dcterms:modified>
</cp:coreProperties>
</file>