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C050B9">
        <w:trPr>
          <w:cantSplit/>
        </w:trPr>
        <w:tc>
          <w:tcPr>
            <w:tcW w:w="9073" w:type="dxa"/>
          </w:tcPr>
          <w:p w:rsidR="00C050B9" w:rsidRDefault="00CD0BEC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C050B9" w:rsidRDefault="00CD0BEC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C050B9" w:rsidRDefault="00B83D5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99135" cy="766445"/>
                  <wp:effectExtent l="19050" t="0" r="5715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0B9" w:rsidRDefault="00C050B9"/>
    <w:p w:rsidR="00C050B9" w:rsidRDefault="00CD0BEC">
      <w:pPr>
        <w:jc w:val="right"/>
      </w:pPr>
      <w:r>
        <w:rPr>
          <w:lang w:val="fr-CH"/>
        </w:rPr>
        <w:t>Genève, le 16 juillet 2013</w:t>
      </w:r>
      <w:r>
        <w:tab/>
      </w:r>
    </w:p>
    <w:p w:rsidR="00C050B9" w:rsidRDefault="00C050B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C050B9">
        <w:trPr>
          <w:cantSplit/>
        </w:trPr>
        <w:tc>
          <w:tcPr>
            <w:tcW w:w="843" w:type="dxa"/>
          </w:tcPr>
          <w:p w:rsidR="00C050B9" w:rsidRDefault="00CD0BE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C050B9" w:rsidRDefault="00C050B9">
            <w:pPr>
              <w:pStyle w:val="Tabletext"/>
              <w:spacing w:before="0"/>
              <w:rPr>
                <w:szCs w:val="22"/>
              </w:rPr>
            </w:pPr>
          </w:p>
          <w:p w:rsidR="00C050B9" w:rsidRDefault="00C050B9">
            <w:pPr>
              <w:pStyle w:val="Tabletext"/>
              <w:spacing w:before="0"/>
              <w:rPr>
                <w:szCs w:val="22"/>
              </w:rPr>
            </w:pPr>
          </w:p>
          <w:p w:rsidR="00C050B9" w:rsidRDefault="00CD0BE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C050B9" w:rsidRDefault="00CD0BE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C050B9" w:rsidRDefault="00CD0BE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C050B9" w:rsidRDefault="00CD0BE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AAP-15</w:t>
            </w:r>
          </w:p>
          <w:p w:rsidR="00C050B9" w:rsidRDefault="00CD0BE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C050B9" w:rsidRDefault="00C050B9">
            <w:pPr>
              <w:pStyle w:val="Tabletext"/>
              <w:spacing w:before="0"/>
              <w:rPr>
                <w:szCs w:val="22"/>
              </w:rPr>
            </w:pPr>
          </w:p>
          <w:p w:rsidR="00C050B9" w:rsidRDefault="00CD0BE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050B9" w:rsidRDefault="00CD0BE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050B9" w:rsidRDefault="00C050B9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CD0BE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050B9" w:rsidRDefault="00CD0BE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C050B9" w:rsidRDefault="00CD0BE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C050B9" w:rsidRDefault="00CD0BE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C050B9" w:rsidRDefault="00CD0BEC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C050B9" w:rsidRDefault="00CD0BE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C050B9" w:rsidRDefault="00CD0BE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C050B9" w:rsidRDefault="00CD0BE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C050B9" w:rsidRDefault="00C050B9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C050B9">
        <w:trPr>
          <w:cantSplit/>
        </w:trPr>
        <w:tc>
          <w:tcPr>
            <w:tcW w:w="908" w:type="dxa"/>
          </w:tcPr>
          <w:p w:rsidR="00C050B9" w:rsidRDefault="00CD0BEC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C050B9" w:rsidRDefault="00CD0BEC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C050B9" w:rsidRDefault="00C050B9">
      <w:pPr>
        <w:rPr>
          <w:lang w:val="fr-FR"/>
        </w:rPr>
      </w:pPr>
    </w:p>
    <w:p w:rsidR="00C050B9" w:rsidRDefault="00CD0BEC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C050B9" w:rsidRDefault="00C050B9">
      <w:pPr>
        <w:rPr>
          <w:lang w:val="fr-CH"/>
        </w:rPr>
      </w:pPr>
    </w:p>
    <w:p w:rsidR="00C050B9" w:rsidRDefault="00CD0BEC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</w:t>
      </w:r>
      <w:r>
        <w:rPr>
          <w:lang w:val="fr-CH"/>
        </w:rPr>
        <w:t>cidence politique ou réglementaire et ne nécessitent donc pas une consultation formelle des Etats Membres (voir le numéro 246B de la Convention de l'UIT).</w:t>
      </w:r>
    </w:p>
    <w:p w:rsidR="00C050B9" w:rsidRDefault="00CD0BEC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C050B9" w:rsidRDefault="00CD0BEC">
      <w:pPr>
        <w:rPr>
          <w:lang w:val="fr-FR"/>
        </w:rPr>
      </w:pPr>
      <w:r>
        <w:rPr>
          <w:lang w:val="fr-CH"/>
        </w:rPr>
        <w:t>S</w:t>
      </w:r>
      <w:r>
        <w:rPr>
          <w:lang w:val="fr-CH"/>
        </w:rPr>
        <w:t>i vous souhaitez soumettre des observations sur une Recommandation ayant fait l'objet de la procédure AAP, vous êtes encouragés à utiliser le formulaire en ligne de soumission des observations AAP, disponible dans l'espace AAP du site web de l'UIT-T à l'ad</w:t>
      </w:r>
      <w:r>
        <w:rPr>
          <w:lang w:val="fr-CH"/>
        </w:rPr>
        <w:t xml:space="preserve">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</w:t>
      </w:r>
      <w:r>
        <w:rPr>
          <w:lang w:val="fr-FR"/>
        </w:rPr>
        <w:t xml:space="preserve"> secrétariat de la Commission d'études concernée.</w:t>
      </w:r>
    </w:p>
    <w:p w:rsidR="00C050B9" w:rsidRDefault="00CD0BEC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C050B9" w:rsidRDefault="00CD0BEC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C050B9" w:rsidRDefault="00CD0BEC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C050B9" w:rsidRDefault="00C050B9"/>
    <w:p w:rsidR="00C050B9" w:rsidRDefault="00CD0BEC">
      <w:pPr>
        <w:spacing w:before="560"/>
      </w:pPr>
      <w:r>
        <w:rPr>
          <w:b/>
        </w:rPr>
        <w:t>Annexes:</w:t>
      </w:r>
      <w:r>
        <w:t xml:space="preserve"> 3</w:t>
      </w:r>
    </w:p>
    <w:p w:rsidR="00C050B9" w:rsidRDefault="00C050B9">
      <w:pPr>
        <w:spacing w:before="720"/>
        <w:sectPr w:rsidR="00C050B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050B9" w:rsidRDefault="00CD0BEC">
      <w:pPr>
        <w:pStyle w:val="AnnexNotitle"/>
      </w:pPr>
      <w:r>
        <w:lastRenderedPageBreak/>
        <w:t>Annex 1</w:t>
      </w:r>
    </w:p>
    <w:p w:rsidR="00C050B9" w:rsidRDefault="00CD0BEC">
      <w:pPr>
        <w:jc w:val="center"/>
      </w:pPr>
      <w:r>
        <w:t>(to TSB AAP-15)</w:t>
      </w:r>
    </w:p>
    <w:p w:rsidR="00C050B9" w:rsidRDefault="00C050B9">
      <w:pPr>
        <w:rPr>
          <w:szCs w:val="22"/>
        </w:rPr>
      </w:pPr>
    </w:p>
    <w:p w:rsidR="00C050B9" w:rsidRDefault="00CD0BE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050B9" w:rsidRDefault="00CD0BE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050B9" w:rsidRDefault="00CD0BE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050B9" w:rsidRDefault="00CD0BE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050B9" w:rsidRDefault="00CD0BE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050B9" w:rsidRDefault="00CD0BEC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C050B9" w:rsidRDefault="00CD0BE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050B9" w:rsidRDefault="00CD0BE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050B9" w:rsidRDefault="00CD0BE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050B9" w:rsidRDefault="00CD0BE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050B9" w:rsidRDefault="00CD0BE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050B9" w:rsidRDefault="00CD0BEC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050B9" w:rsidRDefault="00C050B9">
      <w:pPr>
        <w:pStyle w:val="enumlev2"/>
        <w:rPr>
          <w:szCs w:val="22"/>
        </w:rPr>
      </w:pPr>
      <w:hyperlink r:id="rId13" w:history="1">
        <w:r w:rsidR="00CD0BEC">
          <w:rPr>
            <w:rStyle w:val="Hyperlink"/>
            <w:szCs w:val="22"/>
          </w:rPr>
          <w:t>http://www.itu.int/ITU-T</w:t>
        </w:r>
      </w:hyperlink>
    </w:p>
    <w:p w:rsidR="00C050B9" w:rsidRDefault="00CD0BE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050B9" w:rsidRDefault="00C050B9">
      <w:pPr>
        <w:pStyle w:val="enumlev2"/>
        <w:rPr>
          <w:szCs w:val="22"/>
        </w:rPr>
      </w:pPr>
      <w:hyperlink r:id="rId14" w:history="1">
        <w:r w:rsidR="00CD0BEC">
          <w:rPr>
            <w:rStyle w:val="Hyperlink"/>
            <w:szCs w:val="22"/>
          </w:rPr>
          <w:t>http://www.itu.int/ITU-T/aapinfo</w:t>
        </w:r>
      </w:hyperlink>
    </w:p>
    <w:p w:rsidR="00C050B9" w:rsidRDefault="00CD0BE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050B9" w:rsidRDefault="00CD0BE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050B9" w:rsidRDefault="00C050B9">
      <w:pPr>
        <w:pStyle w:val="enumlev2"/>
        <w:rPr>
          <w:szCs w:val="22"/>
        </w:rPr>
      </w:pPr>
      <w:hyperlink r:id="rId15" w:history="1">
        <w:r w:rsidR="00CD0BEC">
          <w:rPr>
            <w:rStyle w:val="Hyperlink"/>
            <w:szCs w:val="22"/>
          </w:rPr>
          <w:t>http://www.itu.int/ITU-T/aap/</w:t>
        </w:r>
      </w:hyperlink>
    </w:p>
    <w:p w:rsidR="00C050B9" w:rsidRDefault="00CD0BE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C050B9">
        <w:tc>
          <w:tcPr>
            <w:tcW w:w="987" w:type="dxa"/>
          </w:tcPr>
          <w:p w:rsidR="00C050B9" w:rsidRDefault="00CD0B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D0BEC">
                <w:rPr>
                  <w:rStyle w:val="Hyperlink"/>
                  <w:szCs w:val="22"/>
                </w:rPr>
                <w:t>http://www.itu.int/ITU-T/studygroups/</w:t>
              </w:r>
              <w:r w:rsidR="00CD0BEC">
                <w:rPr>
                  <w:rStyle w:val="Hyperlink"/>
                  <w:szCs w:val="22"/>
                </w:rPr>
                <w:t>com02</w:t>
              </w:r>
            </w:hyperlink>
          </w:p>
        </w:tc>
        <w:tc>
          <w:tcPr>
            <w:tcW w:w="1985" w:type="dxa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D0BE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050B9">
        <w:tc>
          <w:tcPr>
            <w:tcW w:w="0" w:type="auto"/>
          </w:tcPr>
          <w:p w:rsidR="00C050B9" w:rsidRDefault="00CD0B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D0BE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D0BE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050B9">
        <w:tc>
          <w:tcPr>
            <w:tcW w:w="0" w:type="auto"/>
          </w:tcPr>
          <w:p w:rsidR="00C050B9" w:rsidRDefault="00CD0B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D0BE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D0BE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050B9">
        <w:tc>
          <w:tcPr>
            <w:tcW w:w="0" w:type="auto"/>
          </w:tcPr>
          <w:p w:rsidR="00C050B9" w:rsidRDefault="00CD0B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D0BE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D0BE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050B9">
        <w:tc>
          <w:tcPr>
            <w:tcW w:w="0" w:type="auto"/>
          </w:tcPr>
          <w:p w:rsidR="00C050B9" w:rsidRDefault="00CD0B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D0BE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D0BE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050B9">
        <w:tc>
          <w:tcPr>
            <w:tcW w:w="0" w:type="auto"/>
          </w:tcPr>
          <w:p w:rsidR="00C050B9" w:rsidRDefault="00CD0B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D0BE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D0BE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050B9">
        <w:tc>
          <w:tcPr>
            <w:tcW w:w="0" w:type="auto"/>
          </w:tcPr>
          <w:p w:rsidR="00C050B9" w:rsidRDefault="00CD0B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D0BE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D0BE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050B9">
        <w:tc>
          <w:tcPr>
            <w:tcW w:w="0" w:type="auto"/>
          </w:tcPr>
          <w:p w:rsidR="00C050B9" w:rsidRDefault="00CD0B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D0BE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D0BE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050B9">
        <w:tc>
          <w:tcPr>
            <w:tcW w:w="0" w:type="auto"/>
          </w:tcPr>
          <w:p w:rsidR="00C050B9" w:rsidRDefault="00CD0B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D0BE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D0BE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050B9">
        <w:tc>
          <w:tcPr>
            <w:tcW w:w="0" w:type="auto"/>
          </w:tcPr>
          <w:p w:rsidR="00C050B9" w:rsidRDefault="00CD0B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D0BEC">
                <w:rPr>
                  <w:rStyle w:val="Hyperlink"/>
                  <w:szCs w:val="22"/>
                </w:rPr>
                <w:t>http://www.itu.int/ITU-T/studygroups/com1</w:t>
              </w:r>
              <w:r w:rsidR="00CD0BEC">
                <w:rPr>
                  <w:rStyle w:val="Hyperlink"/>
                  <w:szCs w:val="22"/>
                </w:rPr>
                <w:t>7</w:t>
              </w:r>
            </w:hyperlink>
          </w:p>
        </w:tc>
        <w:tc>
          <w:tcPr>
            <w:tcW w:w="0" w:type="auto"/>
          </w:tcPr>
          <w:p w:rsidR="00C050B9" w:rsidRDefault="00C050B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D0BE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050B9" w:rsidRDefault="00C050B9">
      <w:pPr>
        <w:pStyle w:val="Header"/>
        <w:ind w:left="360"/>
        <w:rPr>
          <w:b/>
          <w:bCs/>
          <w:sz w:val="24"/>
        </w:rPr>
        <w:sectPr w:rsidR="00C050B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050B9" w:rsidRDefault="00CD0BEC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050B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050B9" w:rsidRDefault="00CD0BE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050B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050B9" w:rsidRDefault="00C050B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050B9" w:rsidRDefault="00C050B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050B9" w:rsidRDefault="00C050B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36" w:history="1">
              <w:r w:rsidR="00CD0BEC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Methodology for assessment of the environmental impact of information and communication technology greenhouse gas and energy projects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050B9" w:rsidRDefault="00CD0BEC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050B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050B9" w:rsidRDefault="00CD0BE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050B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050B9" w:rsidRDefault="00C050B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050B9" w:rsidRDefault="00C050B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050B9" w:rsidRDefault="00C050B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37" w:history="1">
              <w:r w:rsidR="00CD0BEC">
                <w:rPr>
                  <w:rStyle w:val="Hyperlink"/>
                  <w:sz w:val="20"/>
                </w:rPr>
                <w:t>Q.3301.1 v3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Resource control protocol No. 1, version 3 - Protocol at the Rs interface between service control entities and the policy decision physical entity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38" w:history="1">
              <w:r w:rsidR="00CD0BEC">
                <w:rPr>
                  <w:rStyle w:val="Hyperlink"/>
                  <w:sz w:val="20"/>
                </w:rPr>
                <w:t>Q.3303.3 v3 (Q.RwDiameter v3)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Resource control protocol no. 3 -Protocol at the interface between a Policy Decision Physical Entity (PD-PE) and a Policy Enforcement Physical Entity (PE-PE): Diameter Profile version 3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050B9" w:rsidRDefault="00CD0BEC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050B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050B9" w:rsidRDefault="00CD0BE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050B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050B9" w:rsidRDefault="00C050B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050B9" w:rsidRDefault="00C050B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050B9" w:rsidRDefault="00C050B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39" w:history="1">
              <w:r w:rsidR="00CD0BEC">
                <w:rPr>
                  <w:rStyle w:val="Hyperlink"/>
                  <w:sz w:val="20"/>
                </w:rPr>
                <w:t>Y.2082 (Y.dsnrf)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Distributed Service Networking Relay Functions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40" w:history="1">
              <w:r w:rsidR="00CD0BEC">
                <w:rPr>
                  <w:rStyle w:val="Hyperlink"/>
                  <w:sz w:val="20"/>
                </w:rPr>
                <w:t xml:space="preserve">Y.2301 </w:t>
              </w:r>
              <w:r w:rsidR="00CB5CEE">
                <w:rPr>
                  <w:rStyle w:val="Hyperlink"/>
                  <w:sz w:val="20"/>
                </w:rPr>
                <w:br/>
              </w:r>
              <w:r w:rsidR="00CD0BEC">
                <w:rPr>
                  <w:rStyle w:val="Hyperlink"/>
                  <w:sz w:val="20"/>
                </w:rPr>
                <w:t>(Y.NICE-Reqts)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Network Intelligence Capability Enhancement - Requirements and Capabilities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41" w:history="1">
              <w:r w:rsidR="00CD0BEC">
                <w:rPr>
                  <w:rStyle w:val="Hyperlink"/>
                  <w:sz w:val="20"/>
                </w:rPr>
                <w:t>Y.3022 (Y.energyMRM)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Energy measurement of networks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42" w:history="1">
              <w:r w:rsidR="00CD0BEC">
                <w:rPr>
                  <w:rStyle w:val="Hyperlink"/>
                  <w:sz w:val="20"/>
                </w:rPr>
                <w:t xml:space="preserve">Y.3043 </w:t>
              </w:r>
              <w:r w:rsidR="00CB5CEE">
                <w:rPr>
                  <w:rStyle w:val="Hyperlink"/>
                  <w:sz w:val="20"/>
                </w:rPr>
                <w:br/>
              </w:r>
              <w:r w:rsidR="00CD0BEC">
                <w:rPr>
                  <w:rStyle w:val="Hyperlink"/>
                  <w:sz w:val="20"/>
                </w:rPr>
                <w:t>(Y.SUN-context)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Smart ubiquitous networks - Context awareness framework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43" w:history="1">
              <w:r w:rsidR="00CD0BEC">
                <w:rPr>
                  <w:rStyle w:val="Hyperlink"/>
                  <w:sz w:val="20"/>
                </w:rPr>
                <w:t xml:space="preserve">Y.3044 </w:t>
              </w:r>
              <w:r w:rsidR="00CB5CEE">
                <w:rPr>
                  <w:rStyle w:val="Hyperlink"/>
                  <w:sz w:val="20"/>
                </w:rPr>
                <w:br/>
              </w:r>
              <w:r w:rsidR="00CD0BEC">
                <w:rPr>
                  <w:rStyle w:val="Hyperlink"/>
                  <w:sz w:val="20"/>
                </w:rPr>
                <w:t>(Y.SUN-content)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Smart ubiquitous networks - Content awareness framework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050B9" w:rsidRDefault="00CD0BEC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050B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050B9" w:rsidRDefault="00CD0BE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050B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050B9" w:rsidRDefault="00C050B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050B9" w:rsidRDefault="00C050B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050B9" w:rsidRDefault="00C050B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44" w:history="1">
              <w:r w:rsidR="00CD0BEC">
                <w:rPr>
                  <w:rStyle w:val="Hyperlink"/>
                  <w:sz w:val="20"/>
                </w:rPr>
                <w:t>G.9961 (2010) Cor.2 (G.hn)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Unified high-speed wire-line based home networking transceivers - Data link layer specification: Corrigendum 2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45" w:history="1">
              <w:r w:rsidR="00CD0BEC">
                <w:rPr>
                  <w:rStyle w:val="Hyperlink"/>
                  <w:sz w:val="20"/>
                </w:rPr>
                <w:t>G.9962 (G.hn)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Unified high-speed wire-line based home networking transceivers - Management specification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050B9" w:rsidRDefault="00CD0BEC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050B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050B9" w:rsidRDefault="00CD0BE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050B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050B9" w:rsidRDefault="00C050B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050B9" w:rsidRDefault="00C050B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50B9" w:rsidRDefault="00CD0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050B9" w:rsidRDefault="00C050B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46" w:history="1">
              <w:r w:rsidR="00CD0BEC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47" w:history="1">
              <w:r w:rsidR="00CD0BEC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Testing and Test Control Notation version 3: TTCN-3 language extensions: Configuration and deployment support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48" w:history="1">
              <w:r w:rsidR="00CD0BEC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Testing and Test Control Notation version 3: TTCN-3 Language Extensions: Advanced parameterization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49" w:history="1">
              <w:r w:rsidR="00CD0BEC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Testing and Test Control Notation version 3: TTCN-3 Language Extensions: Behaviour types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50" w:history="1">
              <w:r w:rsidR="00CD0BEC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51" w:history="1">
              <w:r w:rsidR="00CD0BEC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The Testing and Test Control Notation version 3: Extension Package: Extended TRI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52" w:history="1">
              <w:r w:rsidR="00CD0BEC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53" w:history="1">
              <w:r w:rsidR="00CD0BEC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Testing and Test Control Notation version 3: Using ASN.1 with TTCN-3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54" w:history="1">
              <w:r w:rsidR="00CD0BEC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55" w:history="1">
              <w:r w:rsidR="00CD0BEC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Testing and Test Control Notation version 3: TTCN-3 mapping from XML data definition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050B9">
        <w:trPr>
          <w:cantSplit/>
        </w:trPr>
        <w:tc>
          <w:tcPr>
            <w:tcW w:w="2090" w:type="dxa"/>
          </w:tcPr>
          <w:p w:rsidR="00C050B9" w:rsidRDefault="00C050B9">
            <w:pPr>
              <w:jc w:val="left"/>
            </w:pPr>
            <w:hyperlink r:id="rId56" w:history="1">
              <w:r w:rsidR="00CD0BEC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C050B9" w:rsidRDefault="00CD0BEC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115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80" w:type="dxa"/>
          </w:tcPr>
          <w:p w:rsidR="00C050B9" w:rsidRDefault="00C050B9">
            <w:pPr>
              <w:jc w:val="center"/>
            </w:pPr>
          </w:p>
        </w:tc>
        <w:tc>
          <w:tcPr>
            <w:tcW w:w="860" w:type="dxa"/>
          </w:tcPr>
          <w:p w:rsidR="00C050B9" w:rsidRDefault="00CD0B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050B9" w:rsidRDefault="00C050B9">
      <w:pPr>
        <w:pStyle w:val="Header"/>
        <w:ind w:left="360"/>
        <w:rPr>
          <w:b/>
          <w:bCs/>
          <w:sz w:val="24"/>
        </w:rPr>
        <w:sectPr w:rsidR="00C050B9">
          <w:headerReference w:type="default" r:id="rId57"/>
          <w:footerReference w:type="default" r:id="rId5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050B9" w:rsidRDefault="00CD0BEC">
      <w:pPr>
        <w:pStyle w:val="AnnexNotitle"/>
      </w:pPr>
      <w:r>
        <w:t>Annex 2</w:t>
      </w:r>
    </w:p>
    <w:p w:rsidR="00C050B9" w:rsidRDefault="00CD0BEC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C050B9" w:rsidRDefault="00CD0BE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050B9" w:rsidRDefault="00CD0BE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050B9" w:rsidRDefault="00CD0BEC">
      <w:r>
        <w:t>1)</w:t>
      </w:r>
      <w:r>
        <w:tab/>
        <w:t xml:space="preserve">Go to AAP search Web page at </w:t>
      </w:r>
      <w:hyperlink r:id="rId59" w:history="1">
        <w:r>
          <w:rPr>
            <w:rStyle w:val="Hyperlink"/>
            <w:szCs w:val="22"/>
          </w:rPr>
          <w:t>http://www.itu.int/ITU-T/aap/</w:t>
        </w:r>
      </w:hyperlink>
    </w:p>
    <w:p w:rsidR="00C050B9" w:rsidRDefault="00B83D5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710" cy="2164715"/>
            <wp:effectExtent l="19050" t="0" r="889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B9" w:rsidRDefault="00CD0BEC">
      <w:r>
        <w:t>2)</w:t>
      </w:r>
      <w:r>
        <w:tab/>
        <w:t>Select your Recommendation</w:t>
      </w:r>
    </w:p>
    <w:p w:rsidR="00C050B9" w:rsidRDefault="00B83D59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5755" cy="3213735"/>
            <wp:effectExtent l="19050" t="0" r="4445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321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B9" w:rsidRDefault="00CD0BEC">
      <w:pPr>
        <w:keepNext/>
      </w:pPr>
      <w:r>
        <w:t>3)</w:t>
      </w:r>
      <w:r>
        <w:tab/>
      </w:r>
      <w:r>
        <w:t>Click the "Submit Comment" button</w:t>
      </w:r>
    </w:p>
    <w:p w:rsidR="00C050B9" w:rsidRDefault="00B83D5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7065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B9" w:rsidRDefault="00CD0BEC">
      <w:r>
        <w:t>4)</w:t>
      </w:r>
      <w:r>
        <w:tab/>
        <w:t>Complete the on-line form and click on "Submit"</w:t>
      </w:r>
    </w:p>
    <w:p w:rsidR="00C050B9" w:rsidRDefault="00B83D5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870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B9" w:rsidRDefault="00CD0BEC">
      <w:pPr>
        <w:jc w:val="left"/>
      </w:pPr>
      <w:r>
        <w:t>For more information, read the AAP tutorial on:</w:t>
      </w:r>
      <w:r>
        <w:tab/>
      </w:r>
      <w:r>
        <w:br/>
      </w:r>
      <w:hyperlink r:id="rId64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C050B9" w:rsidRDefault="00CD0BEC">
      <w:pPr>
        <w:pStyle w:val="AnnexNotitle"/>
      </w:pPr>
      <w:r>
        <w:br w:type="page"/>
        <w:t>Annex 3</w:t>
      </w:r>
    </w:p>
    <w:p w:rsidR="00C050B9" w:rsidRDefault="00CD0BEC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C050B9" w:rsidRDefault="00CD0BE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050B9" w:rsidRDefault="00CD0BE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C050B9">
        <w:tc>
          <w:tcPr>
            <w:tcW w:w="5000" w:type="pct"/>
            <w:gridSpan w:val="2"/>
            <w:shd w:val="clear" w:color="auto" w:fill="EFFAFF"/>
          </w:tcPr>
          <w:p w:rsidR="00C050B9" w:rsidRDefault="00CD0BE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050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50B9" w:rsidRDefault="00CD0B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050B9" w:rsidRDefault="00C050B9">
            <w:pPr>
              <w:pStyle w:val="Tabletext"/>
              <w:jc w:val="left"/>
            </w:pPr>
          </w:p>
        </w:tc>
      </w:tr>
      <w:tr w:rsidR="00C050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50B9" w:rsidRDefault="00CD0B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50B9" w:rsidRDefault="00C050B9">
            <w:pPr>
              <w:pStyle w:val="Tabletext"/>
              <w:jc w:val="left"/>
            </w:pPr>
          </w:p>
        </w:tc>
      </w:tr>
      <w:tr w:rsidR="00C050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50B9" w:rsidRDefault="00CD0B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50B9" w:rsidRDefault="00C050B9">
            <w:pPr>
              <w:pStyle w:val="Tabletext"/>
              <w:jc w:val="left"/>
            </w:pPr>
          </w:p>
        </w:tc>
      </w:tr>
      <w:tr w:rsidR="00C050B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050B9" w:rsidRDefault="00CD0B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050B9" w:rsidRDefault="00CD0BEC">
            <w:pPr>
              <w:pStyle w:val="Tabletext"/>
              <w:jc w:val="left"/>
            </w:pPr>
            <w:r>
              <w:br/>
            </w:r>
            <w:r w:rsidR="00C050B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050B9">
              <w:fldChar w:fldCharType="separate"/>
            </w:r>
            <w:r w:rsidR="00C050B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050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050B9">
              <w:fldChar w:fldCharType="separate"/>
            </w:r>
            <w:r w:rsidR="00C050B9">
              <w:fldChar w:fldCharType="end"/>
            </w:r>
            <w:r>
              <w:t xml:space="preserve"> Additional Review (AR)</w:t>
            </w:r>
          </w:p>
        </w:tc>
      </w:tr>
      <w:tr w:rsidR="00C050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50B9" w:rsidRDefault="00CD0B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050B9" w:rsidRDefault="00C050B9">
            <w:pPr>
              <w:pStyle w:val="Tabletext"/>
              <w:jc w:val="left"/>
            </w:pPr>
          </w:p>
        </w:tc>
      </w:tr>
      <w:tr w:rsidR="00C050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50B9" w:rsidRDefault="00CD0B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50B9" w:rsidRDefault="00C050B9">
            <w:pPr>
              <w:pStyle w:val="Tabletext"/>
              <w:jc w:val="left"/>
            </w:pPr>
          </w:p>
        </w:tc>
      </w:tr>
      <w:tr w:rsidR="00C050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50B9" w:rsidRDefault="00CD0B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50B9" w:rsidRDefault="00C050B9">
            <w:pPr>
              <w:pStyle w:val="Tabletext"/>
              <w:jc w:val="left"/>
            </w:pPr>
          </w:p>
        </w:tc>
      </w:tr>
      <w:tr w:rsidR="00C050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50B9" w:rsidRDefault="00CD0B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50B9" w:rsidRDefault="00C050B9">
            <w:pPr>
              <w:pStyle w:val="Tabletext"/>
              <w:jc w:val="left"/>
            </w:pPr>
          </w:p>
        </w:tc>
      </w:tr>
      <w:tr w:rsidR="00C050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50B9" w:rsidRDefault="00CD0B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50B9" w:rsidRDefault="00C050B9">
            <w:pPr>
              <w:pStyle w:val="Tabletext"/>
              <w:jc w:val="left"/>
            </w:pPr>
          </w:p>
        </w:tc>
      </w:tr>
      <w:tr w:rsidR="00C050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50B9" w:rsidRDefault="00CD0B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50B9" w:rsidRDefault="00C050B9">
            <w:pPr>
              <w:pStyle w:val="Tabletext"/>
              <w:jc w:val="left"/>
            </w:pPr>
          </w:p>
        </w:tc>
      </w:tr>
      <w:tr w:rsidR="00C050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50B9" w:rsidRDefault="00CD0B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50B9" w:rsidRDefault="00C050B9">
            <w:pPr>
              <w:pStyle w:val="Tabletext"/>
              <w:jc w:val="left"/>
            </w:pPr>
          </w:p>
        </w:tc>
      </w:tr>
      <w:tr w:rsidR="00C050B9">
        <w:tc>
          <w:tcPr>
            <w:tcW w:w="1623" w:type="pct"/>
            <w:shd w:val="clear" w:color="auto" w:fill="EFFAFF"/>
            <w:vAlign w:val="center"/>
          </w:tcPr>
          <w:p w:rsidR="00C050B9" w:rsidRDefault="00CD0B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050B9" w:rsidRDefault="00CD0BEC">
            <w:pPr>
              <w:pStyle w:val="Tabletext"/>
              <w:jc w:val="left"/>
            </w:pPr>
            <w:r>
              <w:br/>
            </w:r>
            <w:r w:rsidR="00C050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050B9">
              <w:fldChar w:fldCharType="separate"/>
            </w:r>
            <w:r w:rsidR="00C050B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050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050B9">
              <w:fldChar w:fldCharType="separate"/>
            </w:r>
            <w:r w:rsidR="00C050B9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C050B9">
        <w:tc>
          <w:tcPr>
            <w:tcW w:w="1623" w:type="pct"/>
            <w:shd w:val="clear" w:color="auto" w:fill="EFFAFF"/>
            <w:vAlign w:val="center"/>
          </w:tcPr>
          <w:p w:rsidR="00C050B9" w:rsidRDefault="00CD0B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050B9" w:rsidRDefault="00CD0BE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050B9" w:rsidRDefault="00CD0BEC">
      <w:pPr>
        <w:jc w:val="left"/>
        <w:rPr>
          <w:szCs w:val="22"/>
        </w:rPr>
      </w:pPr>
      <w:r>
        <w:tab/>
      </w:r>
      <w:r w:rsidR="00C050B9" w:rsidRPr="00C050B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050B9">
        <w:rPr>
          <w:szCs w:val="22"/>
        </w:rPr>
      </w:r>
      <w:r w:rsidR="00C050B9">
        <w:rPr>
          <w:szCs w:val="22"/>
        </w:rPr>
        <w:fldChar w:fldCharType="separate"/>
      </w:r>
      <w:r w:rsidR="00C050B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050B9" w:rsidRDefault="00CD0BE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050B9" w:rsidRDefault="00C050B9">
      <w:pPr>
        <w:rPr>
          <w:i/>
          <w:iCs/>
          <w:szCs w:val="22"/>
        </w:rPr>
      </w:pPr>
    </w:p>
    <w:sectPr w:rsidR="00C050B9" w:rsidSect="00C050B9">
      <w:headerReference w:type="default" r:id="rId66"/>
      <w:footerReference w:type="default" r:id="rId6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EC" w:rsidRDefault="00CD0BEC">
      <w:r>
        <w:separator/>
      </w:r>
    </w:p>
  </w:endnote>
  <w:endnote w:type="continuationSeparator" w:id="0">
    <w:p w:rsidR="00CD0BEC" w:rsidRDefault="00CD0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0B9" w:rsidRDefault="00CD0BEC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2013-07-16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C050B9">
      <w:tc>
        <w:tcPr>
          <w:tcW w:w="1985" w:type="dxa"/>
        </w:tcPr>
        <w:p w:rsidR="00C050B9" w:rsidRDefault="00CD0BE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050B9" w:rsidRDefault="00CD0BE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050B9" w:rsidRDefault="00CD0BE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050B9" w:rsidRDefault="00CD0BE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050B9" w:rsidRDefault="00CD0BE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050B9" w:rsidRDefault="00C050B9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0B9" w:rsidRDefault="00CD0BEC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2013-07-16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0B9" w:rsidRDefault="00CD0BEC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2013-07-16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EC" w:rsidRDefault="00CD0BEC">
      <w:r>
        <w:t>____________________</w:t>
      </w:r>
    </w:p>
  </w:footnote>
  <w:footnote w:type="continuationSeparator" w:id="0">
    <w:p w:rsidR="00CD0BEC" w:rsidRDefault="00CD0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0B9" w:rsidRDefault="00CD0BE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050B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050B9">
      <w:rPr>
        <w:rStyle w:val="PageNumber"/>
        <w:szCs w:val="18"/>
      </w:rPr>
      <w:fldChar w:fldCharType="separate"/>
    </w:r>
    <w:r w:rsidR="00CB5CEE">
      <w:rPr>
        <w:rStyle w:val="PageNumber"/>
        <w:noProof/>
        <w:szCs w:val="18"/>
      </w:rPr>
      <w:t>2</w:t>
    </w:r>
    <w:r w:rsidR="00C050B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0B9" w:rsidRDefault="00CD0BE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050B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050B9">
      <w:rPr>
        <w:rStyle w:val="PageNumber"/>
        <w:szCs w:val="18"/>
      </w:rPr>
      <w:fldChar w:fldCharType="separate"/>
    </w:r>
    <w:r w:rsidR="00CB5CEE">
      <w:rPr>
        <w:rStyle w:val="PageNumber"/>
        <w:noProof/>
        <w:szCs w:val="18"/>
      </w:rPr>
      <w:t>5</w:t>
    </w:r>
    <w:r w:rsidR="00C050B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0B9" w:rsidRDefault="00CD0BE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050B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050B9">
      <w:rPr>
        <w:rStyle w:val="PageNumber"/>
        <w:szCs w:val="18"/>
      </w:rPr>
      <w:fldChar w:fldCharType="separate"/>
    </w:r>
    <w:r w:rsidR="00CB5CEE">
      <w:rPr>
        <w:rStyle w:val="PageNumber"/>
        <w:noProof/>
        <w:szCs w:val="18"/>
      </w:rPr>
      <w:t>9</w:t>
    </w:r>
    <w:r w:rsidR="00C050B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50B9"/>
    <w:rsid w:val="00B83D59"/>
    <w:rsid w:val="00C050B9"/>
    <w:rsid w:val="00CB5CEE"/>
    <w:rsid w:val="00CD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050B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050B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050B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050B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050B9"/>
    <w:pPr>
      <w:outlineLvl w:val="4"/>
    </w:pPr>
  </w:style>
  <w:style w:type="paragraph" w:styleId="Heading6">
    <w:name w:val="heading 6"/>
    <w:basedOn w:val="Heading4"/>
    <w:next w:val="Normal"/>
    <w:qFormat/>
    <w:rsid w:val="00C050B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050B9"/>
    <w:pPr>
      <w:outlineLvl w:val="6"/>
    </w:pPr>
  </w:style>
  <w:style w:type="paragraph" w:styleId="Heading8">
    <w:name w:val="heading 8"/>
    <w:basedOn w:val="Heading6"/>
    <w:next w:val="Normal"/>
    <w:qFormat/>
    <w:rsid w:val="00C050B9"/>
    <w:pPr>
      <w:outlineLvl w:val="7"/>
    </w:pPr>
  </w:style>
  <w:style w:type="paragraph" w:styleId="Heading9">
    <w:name w:val="heading 9"/>
    <w:basedOn w:val="Heading6"/>
    <w:next w:val="Normal"/>
    <w:qFormat/>
    <w:rsid w:val="00C050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050B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050B9"/>
    <w:pPr>
      <w:spacing w:before="360"/>
    </w:pPr>
  </w:style>
  <w:style w:type="paragraph" w:customStyle="1" w:styleId="ChapNo">
    <w:name w:val="Chap_No"/>
    <w:basedOn w:val="Normal"/>
    <w:next w:val="Chaptitle"/>
    <w:rsid w:val="00C050B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050B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050B9"/>
  </w:style>
  <w:style w:type="paragraph" w:customStyle="1" w:styleId="AnnexNotitle">
    <w:name w:val="Annex_No &amp; title"/>
    <w:basedOn w:val="Normal"/>
    <w:next w:val="Normalaftertitle"/>
    <w:rsid w:val="00C050B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050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050B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050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050B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050B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050B9"/>
    <w:pPr>
      <w:spacing w:before="80"/>
      <w:ind w:left="794" w:hanging="794"/>
    </w:pPr>
  </w:style>
  <w:style w:type="paragraph" w:customStyle="1" w:styleId="enumlev2">
    <w:name w:val="enumlev2"/>
    <w:basedOn w:val="enumlev1"/>
    <w:rsid w:val="00C050B9"/>
    <w:pPr>
      <w:ind w:left="1191" w:hanging="397"/>
    </w:pPr>
  </w:style>
  <w:style w:type="paragraph" w:customStyle="1" w:styleId="enumlev3">
    <w:name w:val="enumlev3"/>
    <w:basedOn w:val="enumlev2"/>
    <w:rsid w:val="00C050B9"/>
    <w:pPr>
      <w:ind w:left="1588"/>
    </w:pPr>
  </w:style>
  <w:style w:type="paragraph" w:customStyle="1" w:styleId="Equation">
    <w:name w:val="Equation"/>
    <w:basedOn w:val="Normal"/>
    <w:rsid w:val="00C050B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050B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050B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050B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050B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050B9"/>
  </w:style>
  <w:style w:type="paragraph" w:customStyle="1" w:styleId="Tabletext">
    <w:name w:val="Table_text"/>
    <w:basedOn w:val="Normal"/>
    <w:rsid w:val="00C050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050B9"/>
    <w:pPr>
      <w:keepLines/>
      <w:spacing w:before="240" w:after="120"/>
      <w:jc w:val="center"/>
    </w:pPr>
  </w:style>
  <w:style w:type="paragraph" w:styleId="Footer">
    <w:name w:val="footer"/>
    <w:basedOn w:val="Normal"/>
    <w:rsid w:val="00C050B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050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050B9"/>
    <w:rPr>
      <w:position w:val="6"/>
      <w:sz w:val="18"/>
    </w:rPr>
  </w:style>
  <w:style w:type="paragraph" w:styleId="FootnoteText">
    <w:name w:val="footnote text"/>
    <w:basedOn w:val="Note"/>
    <w:semiHidden/>
    <w:rsid w:val="00C050B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050B9"/>
    <w:pPr>
      <w:spacing w:before="80"/>
    </w:pPr>
  </w:style>
  <w:style w:type="paragraph" w:styleId="Header">
    <w:name w:val="header"/>
    <w:basedOn w:val="Normal"/>
    <w:rsid w:val="00C050B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050B9"/>
  </w:style>
  <w:style w:type="paragraph" w:styleId="Index2">
    <w:name w:val="index 2"/>
    <w:basedOn w:val="Normal"/>
    <w:next w:val="Normal"/>
    <w:semiHidden/>
    <w:rsid w:val="00C050B9"/>
    <w:pPr>
      <w:ind w:left="283"/>
    </w:pPr>
  </w:style>
  <w:style w:type="paragraph" w:styleId="Index3">
    <w:name w:val="index 3"/>
    <w:basedOn w:val="Normal"/>
    <w:next w:val="Normal"/>
    <w:semiHidden/>
    <w:rsid w:val="00C050B9"/>
    <w:pPr>
      <w:ind w:left="566"/>
    </w:pPr>
  </w:style>
  <w:style w:type="paragraph" w:customStyle="1" w:styleId="PartNo">
    <w:name w:val="Part_No"/>
    <w:basedOn w:val="Normal"/>
    <w:next w:val="Partref"/>
    <w:rsid w:val="00C050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050B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50B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050B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050B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050B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050B9"/>
  </w:style>
  <w:style w:type="paragraph" w:customStyle="1" w:styleId="QuestionNo">
    <w:name w:val="Question_No"/>
    <w:basedOn w:val="RecNo"/>
    <w:next w:val="Questiontitle"/>
    <w:rsid w:val="00C050B9"/>
  </w:style>
  <w:style w:type="paragraph" w:customStyle="1" w:styleId="RecNo">
    <w:name w:val="Rec_No"/>
    <w:basedOn w:val="Normal"/>
    <w:next w:val="Rectitle"/>
    <w:rsid w:val="00C050B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050B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050B9"/>
  </w:style>
  <w:style w:type="paragraph" w:customStyle="1" w:styleId="Questionref">
    <w:name w:val="Question_ref"/>
    <w:basedOn w:val="Recref"/>
    <w:next w:val="Questiondate"/>
    <w:rsid w:val="00C050B9"/>
  </w:style>
  <w:style w:type="paragraph" w:customStyle="1" w:styleId="Reftext">
    <w:name w:val="Ref_text"/>
    <w:basedOn w:val="Normal"/>
    <w:rsid w:val="00C050B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050B9"/>
  </w:style>
  <w:style w:type="paragraph" w:customStyle="1" w:styleId="RepNo">
    <w:name w:val="Rep_No"/>
    <w:basedOn w:val="RecNo"/>
    <w:next w:val="Reptitle"/>
    <w:rsid w:val="00C050B9"/>
  </w:style>
  <w:style w:type="paragraph" w:customStyle="1" w:styleId="Reptitle">
    <w:name w:val="Rep_title"/>
    <w:basedOn w:val="Rectitle"/>
    <w:next w:val="Repref"/>
    <w:rsid w:val="00C050B9"/>
  </w:style>
  <w:style w:type="paragraph" w:customStyle="1" w:styleId="Repref">
    <w:name w:val="Rep_ref"/>
    <w:basedOn w:val="Recref"/>
    <w:next w:val="Repdate"/>
    <w:rsid w:val="00C050B9"/>
  </w:style>
  <w:style w:type="paragraph" w:customStyle="1" w:styleId="Resdate">
    <w:name w:val="Res_date"/>
    <w:basedOn w:val="Recdate"/>
    <w:next w:val="Normalaftertitle"/>
    <w:rsid w:val="00C050B9"/>
  </w:style>
  <w:style w:type="paragraph" w:customStyle="1" w:styleId="ResNo">
    <w:name w:val="Res_No"/>
    <w:basedOn w:val="RecNo"/>
    <w:next w:val="Restitle"/>
    <w:rsid w:val="00C050B9"/>
  </w:style>
  <w:style w:type="paragraph" w:customStyle="1" w:styleId="Restitle">
    <w:name w:val="Res_title"/>
    <w:basedOn w:val="Rectitle"/>
    <w:next w:val="Resref"/>
    <w:rsid w:val="00C050B9"/>
  </w:style>
  <w:style w:type="paragraph" w:customStyle="1" w:styleId="Resref">
    <w:name w:val="Res_ref"/>
    <w:basedOn w:val="Recref"/>
    <w:next w:val="Resdate"/>
    <w:rsid w:val="00C050B9"/>
  </w:style>
  <w:style w:type="paragraph" w:customStyle="1" w:styleId="SectionNo">
    <w:name w:val="Section_No"/>
    <w:basedOn w:val="Normal"/>
    <w:next w:val="Sectiontitle"/>
    <w:rsid w:val="00C050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050B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050B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050B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050B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050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050B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050B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050B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050B9"/>
  </w:style>
  <w:style w:type="paragraph" w:customStyle="1" w:styleId="Title3">
    <w:name w:val="Title 3"/>
    <w:basedOn w:val="Title2"/>
    <w:next w:val="Title4"/>
    <w:rsid w:val="00C050B9"/>
    <w:rPr>
      <w:caps w:val="0"/>
    </w:rPr>
  </w:style>
  <w:style w:type="paragraph" w:customStyle="1" w:styleId="Title4">
    <w:name w:val="Title 4"/>
    <w:basedOn w:val="Title3"/>
    <w:next w:val="Heading1"/>
    <w:rsid w:val="00C050B9"/>
    <w:rPr>
      <w:b/>
    </w:rPr>
  </w:style>
  <w:style w:type="paragraph" w:customStyle="1" w:styleId="toc0">
    <w:name w:val="toc 0"/>
    <w:basedOn w:val="Normal"/>
    <w:next w:val="TOC1"/>
    <w:rsid w:val="00C050B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050B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050B9"/>
    <w:pPr>
      <w:spacing w:before="80"/>
      <w:ind w:left="1531" w:hanging="851"/>
    </w:pPr>
  </w:style>
  <w:style w:type="paragraph" w:styleId="TOC3">
    <w:name w:val="toc 3"/>
    <w:basedOn w:val="TOC2"/>
    <w:semiHidden/>
    <w:rsid w:val="00C050B9"/>
  </w:style>
  <w:style w:type="paragraph" w:styleId="TOC4">
    <w:name w:val="toc 4"/>
    <w:basedOn w:val="TOC3"/>
    <w:semiHidden/>
    <w:rsid w:val="00C050B9"/>
  </w:style>
  <w:style w:type="paragraph" w:styleId="TOC5">
    <w:name w:val="toc 5"/>
    <w:basedOn w:val="TOC4"/>
    <w:semiHidden/>
    <w:rsid w:val="00C050B9"/>
  </w:style>
  <w:style w:type="paragraph" w:styleId="TOC6">
    <w:name w:val="toc 6"/>
    <w:basedOn w:val="TOC4"/>
    <w:semiHidden/>
    <w:rsid w:val="00C050B9"/>
  </w:style>
  <w:style w:type="paragraph" w:styleId="TOC7">
    <w:name w:val="toc 7"/>
    <w:basedOn w:val="TOC4"/>
    <w:semiHidden/>
    <w:rsid w:val="00C050B9"/>
  </w:style>
  <w:style w:type="paragraph" w:styleId="TOC8">
    <w:name w:val="toc 8"/>
    <w:basedOn w:val="TOC4"/>
    <w:semiHidden/>
    <w:rsid w:val="00C050B9"/>
  </w:style>
  <w:style w:type="character" w:customStyle="1" w:styleId="Appdef">
    <w:name w:val="App_def"/>
    <w:basedOn w:val="DefaultParagraphFont"/>
    <w:rsid w:val="00C050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050B9"/>
  </w:style>
  <w:style w:type="character" w:customStyle="1" w:styleId="Artdef">
    <w:name w:val="Art_def"/>
    <w:basedOn w:val="DefaultParagraphFont"/>
    <w:rsid w:val="00C050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050B9"/>
  </w:style>
  <w:style w:type="paragraph" w:customStyle="1" w:styleId="Reftitle">
    <w:name w:val="Ref_title"/>
    <w:basedOn w:val="Normal"/>
    <w:next w:val="Reftext"/>
    <w:rsid w:val="00C050B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050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050B9"/>
    <w:rPr>
      <w:b/>
      <w:color w:val="auto"/>
    </w:rPr>
  </w:style>
  <w:style w:type="paragraph" w:customStyle="1" w:styleId="Formal">
    <w:name w:val="Formal"/>
    <w:basedOn w:val="ASN1"/>
    <w:rsid w:val="00C050B9"/>
    <w:rPr>
      <w:b w:val="0"/>
    </w:rPr>
  </w:style>
  <w:style w:type="paragraph" w:customStyle="1" w:styleId="FooterQP">
    <w:name w:val="Footer_QP"/>
    <w:basedOn w:val="Normal"/>
    <w:rsid w:val="00C050B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050B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050B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050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050B9"/>
  </w:style>
  <w:style w:type="paragraph" w:customStyle="1" w:styleId="RepNoBR">
    <w:name w:val="Rep_No_BR"/>
    <w:basedOn w:val="RecNoBR"/>
    <w:next w:val="Reptitle"/>
    <w:rsid w:val="00C050B9"/>
  </w:style>
  <w:style w:type="paragraph" w:customStyle="1" w:styleId="ResNoBR">
    <w:name w:val="Res_No_BR"/>
    <w:basedOn w:val="RecNoBR"/>
    <w:next w:val="Restitle"/>
    <w:rsid w:val="00C050B9"/>
  </w:style>
  <w:style w:type="paragraph" w:customStyle="1" w:styleId="TabletitleBR">
    <w:name w:val="Table_title_BR"/>
    <w:basedOn w:val="Normal"/>
    <w:next w:val="Tablehead"/>
    <w:rsid w:val="00C050B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050B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050B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050B9"/>
    <w:rPr>
      <w:b/>
    </w:rPr>
  </w:style>
  <w:style w:type="paragraph" w:customStyle="1" w:styleId="FiguretitleBR">
    <w:name w:val="Figure_title_BR"/>
    <w:basedOn w:val="TabletitleBR"/>
    <w:next w:val="Figurewithouttitle"/>
    <w:rsid w:val="00C050B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050B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819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816" TargetMode="External"/><Relationship Id="rId47" Type="http://schemas.openxmlformats.org/officeDocument/2006/relationships/hyperlink" Target="http://www.itu.int/itu-t/aap/AAPRecDetails.aspx?AAPSeqNo=2806" TargetMode="External"/><Relationship Id="rId50" Type="http://schemas.openxmlformats.org/officeDocument/2006/relationships/hyperlink" Target="http://www.itu.int/itu-t/aap/AAPRecDetails.aspx?AAPSeqNo=2809" TargetMode="External"/><Relationship Id="rId55" Type="http://schemas.openxmlformats.org/officeDocument/2006/relationships/hyperlink" Target="http://www.itu.int/itu-t/aap/AAPRecDetails.aspx?AAPSeqNo=2814" TargetMode="External"/><Relationship Id="rId63" Type="http://schemas.openxmlformats.org/officeDocument/2006/relationships/image" Target="media/image5.gif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821" TargetMode="External"/><Relationship Id="rId40" Type="http://schemas.openxmlformats.org/officeDocument/2006/relationships/hyperlink" Target="http://www.itu.int/itu-t/aap/AAPRecDetails.aspx?AAPSeqNo=2820" TargetMode="External"/><Relationship Id="rId45" Type="http://schemas.openxmlformats.org/officeDocument/2006/relationships/hyperlink" Target="http://www.itu.int/itu-t/aap/AAPRecDetails.aspx?AAPSeqNo=2773" TargetMode="External"/><Relationship Id="rId53" Type="http://schemas.openxmlformats.org/officeDocument/2006/relationships/hyperlink" Target="http://www.itu.int/itu-t/aap/AAPRecDetails.aspx?AAPSeqNo=2812" TargetMode="External"/><Relationship Id="rId58" Type="http://schemas.openxmlformats.org/officeDocument/2006/relationships/footer" Target="footer3.xml"/><Relationship Id="rId66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779" TargetMode="External"/><Relationship Id="rId49" Type="http://schemas.openxmlformats.org/officeDocument/2006/relationships/hyperlink" Target="http://www.itu.int/itu-t/aap/AAPRecDetails.aspx?AAPSeqNo=2808" TargetMode="External"/><Relationship Id="rId57" Type="http://schemas.openxmlformats.org/officeDocument/2006/relationships/header" Target="header2.xml"/><Relationship Id="rId61" Type="http://schemas.openxmlformats.org/officeDocument/2006/relationships/image" Target="media/image3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772" TargetMode="External"/><Relationship Id="rId52" Type="http://schemas.openxmlformats.org/officeDocument/2006/relationships/hyperlink" Target="http://www.itu.int/itu-t/aap/AAPRecDetails.aspx?AAPSeqNo=2811" TargetMode="External"/><Relationship Id="rId60" Type="http://schemas.openxmlformats.org/officeDocument/2006/relationships/image" Target="media/image2.gif"/><Relationship Id="rId65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817" TargetMode="External"/><Relationship Id="rId48" Type="http://schemas.openxmlformats.org/officeDocument/2006/relationships/hyperlink" Target="http://www.itu.int/itu-t/aap/AAPRecDetails.aspx?AAPSeqNo=2807" TargetMode="External"/><Relationship Id="rId56" Type="http://schemas.openxmlformats.org/officeDocument/2006/relationships/hyperlink" Target="http://www.itu.int/itu-t/aap/AAPRecDetails.aspx?AAPSeqNo=2815" TargetMode="External"/><Relationship Id="rId64" Type="http://schemas.openxmlformats.org/officeDocument/2006/relationships/hyperlink" Target="http://www.itu.int/ITU-T/aapinfo/files/AAPTutorial.pdf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81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822" TargetMode="External"/><Relationship Id="rId46" Type="http://schemas.openxmlformats.org/officeDocument/2006/relationships/hyperlink" Target="http://www.itu.int/itu-t/aap/AAPRecDetails.aspx?AAPSeqNo=2805" TargetMode="External"/><Relationship Id="rId59" Type="http://schemas.openxmlformats.org/officeDocument/2006/relationships/hyperlink" Target="http://www.itu.int/ITU-T/aap/" TargetMode="External"/><Relationship Id="rId67" Type="http://schemas.openxmlformats.org/officeDocument/2006/relationships/footer" Target="footer4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818" TargetMode="External"/><Relationship Id="rId54" Type="http://schemas.openxmlformats.org/officeDocument/2006/relationships/hyperlink" Target="http://www.itu.int/itu-t/aap/AAPRecDetails.aspx?AAPSeqNo=2813" TargetMode="External"/><Relationship Id="rId62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1730</Words>
  <Characters>9861</Characters>
  <Application>Microsoft Office Word</Application>
  <DocSecurity>0</DocSecurity>
  <Lines>82</Lines>
  <Paragraphs>23</Paragraphs>
  <ScaleCrop>false</ScaleCrop>
  <Company/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2013-07-15T13:33:00Z</dcterms:created>
  <dcterms:modified xsi:type="dcterms:W3CDTF">2013-07-15T13:36:00Z</dcterms:modified>
</cp:coreProperties>
</file>