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7938"/>
      </w:tblGrid>
      <w:tr w:rsidR="000E1FFF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FFF" w:rsidRDefault="008A380B">
            <w:pPr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42950" cy="81661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FFF" w:rsidRDefault="004B6DDE">
            <w:pPr>
              <w:pageBreakBefore/>
              <w:tabs>
                <w:tab w:val="right" w:pos="8647"/>
              </w:tabs>
              <w:bidi/>
              <w:ind w:left="113"/>
            </w:pPr>
            <w:r>
              <w:rPr>
                <w:rFonts w:cs="Traditional Arabic" w:hint="cs"/>
                <w:sz w:val="64"/>
                <w:szCs w:val="64"/>
                <w:rtl/>
              </w:rPr>
              <w:t>الا تحــاد  الــدولي  للاتصــالات</w:t>
            </w:r>
          </w:p>
          <w:p w:rsidR="000E1FFF" w:rsidRDefault="004B6DDE">
            <w:pPr>
              <w:pageBreakBefore/>
              <w:tabs>
                <w:tab w:val="right" w:pos="8647"/>
              </w:tabs>
              <w:bidi/>
              <w:ind w:left="170"/>
            </w:pPr>
            <w:r>
              <w:rPr>
                <w:rFonts w:cs="Traditional Arabic" w:hint="cs"/>
                <w:i/>
                <w:iCs/>
                <w:sz w:val="40"/>
                <w:szCs w:val="40"/>
                <w:rtl/>
              </w:rPr>
              <w:t>مكتب تقييس الاتصالات</w:t>
            </w:r>
          </w:p>
        </w:tc>
      </w:tr>
    </w:tbl>
    <w:p w:rsidR="000E1FFF" w:rsidRDefault="000E1FFF"/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33"/>
        <w:gridCol w:w="3340"/>
        <w:gridCol w:w="4760"/>
      </w:tblGrid>
      <w:tr w:rsidR="000E1FFF">
        <w:trPr>
          <w:cantSplit/>
          <w:trHeight w:val="340"/>
        </w:trPr>
        <w:tc>
          <w:tcPr>
            <w:tcW w:w="1533" w:type="dxa"/>
          </w:tcPr>
          <w:p w:rsidR="000E1FFF" w:rsidRDefault="000E1FFF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</w:rPr>
            </w:pPr>
          </w:p>
        </w:tc>
        <w:tc>
          <w:tcPr>
            <w:tcW w:w="3340" w:type="dxa"/>
          </w:tcPr>
          <w:p w:rsidR="000E1FFF" w:rsidRDefault="000E1FFF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b/>
                <w:sz w:val="21"/>
                <w:szCs w:val="28"/>
              </w:rPr>
            </w:pPr>
          </w:p>
        </w:tc>
        <w:tc>
          <w:tcPr>
            <w:tcW w:w="4760" w:type="dxa"/>
          </w:tcPr>
          <w:p w:rsidR="000E1FFF" w:rsidRDefault="004B6DDE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jc w:val="right"/>
              <w:rPr>
                <w:rFonts w:cs="Traditional Arabic"/>
                <w:sz w:val="21"/>
                <w:szCs w:val="22"/>
                <w:rtl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جنيف،</w:t>
            </w:r>
            <w:r>
              <w:rPr>
                <w:rFonts w:cs="Traditional Arabic" w:hint="cs"/>
                <w:sz w:val="21"/>
                <w:szCs w:val="22"/>
                <w:rtl/>
                <w:lang w:bidi="ar-EG"/>
              </w:rPr>
              <w:t xml:space="preserve"> </w:t>
            </w:r>
            <w:r>
              <w:rPr>
                <w:rFonts w:cs="Traditional Arabic"/>
                <w:sz w:val="21"/>
                <w:szCs w:val="22"/>
                <w:lang w:bidi="ar-EG"/>
              </w:rPr>
              <w:t>16 اكتوبر 2010</w:t>
            </w:r>
          </w:p>
          <w:p w:rsidR="000E1FFF" w:rsidRDefault="000E1FFF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</w:p>
        </w:tc>
      </w:tr>
      <w:tr w:rsidR="000E1FFF">
        <w:trPr>
          <w:cantSplit/>
          <w:trHeight w:val="2724"/>
        </w:trPr>
        <w:tc>
          <w:tcPr>
            <w:tcW w:w="1533" w:type="dxa"/>
            <w:tcBorders>
              <w:bottom w:val="nil"/>
            </w:tcBorders>
          </w:tcPr>
          <w:p w:rsidR="000E1FFF" w:rsidRDefault="004B6DDE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المرجع:</w:t>
            </w:r>
          </w:p>
          <w:p w:rsidR="000E1FFF" w:rsidRDefault="004B6DDE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  <w:lang w:bidi="ar-SY"/>
              </w:rPr>
            </w:pPr>
            <w:r>
              <w:rPr>
                <w:rFonts w:cs="Traditional Arabic"/>
                <w:sz w:val="21"/>
                <w:szCs w:val="28"/>
                <w:rtl/>
                <w:lang w:bidi="ar-SY"/>
              </w:rPr>
              <w:br/>
            </w:r>
          </w:p>
          <w:p w:rsidR="000E1FFF" w:rsidRDefault="004B6DDE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  <w:lang w:bidi="ar-SY"/>
              </w:rPr>
              <w:t>الهاتف</w:t>
            </w:r>
            <w:r>
              <w:rPr>
                <w:rFonts w:cs="Traditional Arabic" w:hint="cs"/>
                <w:sz w:val="21"/>
                <w:szCs w:val="28"/>
                <w:rtl/>
              </w:rPr>
              <w:t>:</w:t>
            </w:r>
          </w:p>
          <w:p w:rsidR="000E1FFF" w:rsidRDefault="004B6DDE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الفاكس:</w:t>
            </w:r>
          </w:p>
          <w:p w:rsidR="000E1FFF" w:rsidRDefault="004B6DDE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البريد الإلكتروني:</w:t>
            </w:r>
          </w:p>
        </w:tc>
        <w:tc>
          <w:tcPr>
            <w:tcW w:w="3340" w:type="dxa"/>
            <w:tcBorders>
              <w:bottom w:val="nil"/>
            </w:tcBorders>
          </w:tcPr>
          <w:p w:rsidR="000E1FFF" w:rsidRDefault="004B6DDE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b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/>
                <w:sz w:val="21"/>
                <w:szCs w:val="28"/>
              </w:rPr>
              <w:t>TSB AAP-46</w:t>
            </w:r>
          </w:p>
          <w:p w:rsidR="000E1FFF" w:rsidRDefault="004B6DDE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Cs/>
                <w:sz w:val="21"/>
                <w:szCs w:val="28"/>
              </w:rPr>
              <w:t>AAP/MJ</w:t>
            </w:r>
            <w:r>
              <w:rPr>
                <w:rFonts w:cs="Traditional Arabic" w:hint="cs"/>
                <w:bCs/>
                <w:sz w:val="21"/>
                <w:szCs w:val="28"/>
                <w:rtl/>
              </w:rPr>
              <w:br/>
            </w:r>
          </w:p>
          <w:p w:rsidR="000E1FFF" w:rsidRDefault="004B6DDE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+41 22 730 5860</w:t>
            </w:r>
          </w:p>
          <w:p w:rsidR="000E1FFF" w:rsidRDefault="004B6DDE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+41 22 730 5853</w:t>
            </w:r>
          </w:p>
          <w:p w:rsidR="000E1FFF" w:rsidRDefault="004B6DDE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</w:rPr>
            </w:pPr>
            <w:r>
              <w:rPr>
                <w:rFonts w:cs="Traditional Arabic"/>
                <w:sz w:val="21"/>
                <w:szCs w:val="28"/>
              </w:rPr>
              <w:t>tsbdir@itu.int</w:t>
            </w:r>
          </w:p>
        </w:tc>
        <w:tc>
          <w:tcPr>
            <w:tcW w:w="4760" w:type="dxa"/>
            <w:tcBorders>
              <w:bottom w:val="nil"/>
            </w:tcBorders>
          </w:tcPr>
          <w:p w:rsidR="000E1FFF" w:rsidRDefault="004B6DDE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إدارات الدول الأعضاء في الاتحاد؛</w:t>
            </w:r>
          </w:p>
          <w:p w:rsidR="000E1FFF" w:rsidRDefault="004B6DDE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أعضاء قطاع تقييس الاتصالات؛</w:t>
            </w:r>
          </w:p>
          <w:p w:rsidR="000E1FFF" w:rsidRDefault="004B6DDE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 xml:space="preserve">إلى المنتسبين </w:t>
            </w:r>
            <w:r>
              <w:rPr>
                <w:rFonts w:cs="Traditional Arabic" w:hint="cs"/>
                <w:sz w:val="21"/>
                <w:szCs w:val="28"/>
                <w:rtl/>
              </w:rPr>
              <w:t>إلى</w:t>
            </w:r>
            <w:r>
              <w:rPr>
                <w:rFonts w:cs="Traditional Arabic"/>
                <w:sz w:val="21"/>
                <w:szCs w:val="28"/>
                <w:rtl/>
              </w:rPr>
              <w:t xml:space="preserve"> قطاع تقييس الاتصالات</w:t>
            </w:r>
          </w:p>
          <w:p w:rsidR="000E1FFF" w:rsidRDefault="000E1FFF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</w:p>
          <w:p w:rsidR="000E1FFF" w:rsidRDefault="004B6DDE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b/>
                <w:bCs/>
                <w:sz w:val="21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1"/>
                <w:szCs w:val="28"/>
                <w:rtl/>
              </w:rPr>
              <w:t>نسخة إلى:</w:t>
            </w:r>
          </w:p>
          <w:p w:rsidR="000E1FFF" w:rsidRDefault="004B6DDE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رؤساء لجان الدراسات في قطاع تقييس الاتصالات ونوابهم؛</w:t>
            </w:r>
          </w:p>
          <w:p w:rsidR="000E1FFF" w:rsidRDefault="004B6DDE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تنمية الاتصالات</w:t>
            </w:r>
            <w:r>
              <w:rPr>
                <w:rFonts w:cs="Traditional Arabic" w:hint="cs"/>
                <w:sz w:val="21"/>
                <w:szCs w:val="28"/>
                <w:rtl/>
              </w:rPr>
              <w:t>؛</w:t>
            </w:r>
          </w:p>
          <w:p w:rsidR="000E1FFF" w:rsidRDefault="004B6DDE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الاتصالات الراديوية</w:t>
            </w:r>
          </w:p>
        </w:tc>
      </w:tr>
    </w:tbl>
    <w:p w:rsidR="000E1FFF" w:rsidRDefault="000E1FFF">
      <w:pPr>
        <w:bidi/>
        <w:spacing w:line="300" w:lineRule="exact"/>
        <w:rPr>
          <w:rFonts w:cs="Traditional Arabic"/>
          <w:szCs w:val="30"/>
          <w:rtl/>
        </w:rPr>
      </w:pPr>
    </w:p>
    <w:p w:rsidR="000E1FFF" w:rsidRDefault="004B6DDE">
      <w:pPr>
        <w:bidi/>
        <w:spacing w:line="300" w:lineRule="exact"/>
        <w:ind w:left="926" w:hanging="926"/>
        <w:jc w:val="left"/>
        <w:rPr>
          <w:rFonts w:cs="Traditional Arabic"/>
          <w:szCs w:val="30"/>
          <w:lang w:bidi="ar-EG"/>
        </w:rPr>
      </w:pPr>
      <w:r>
        <w:rPr>
          <w:rFonts w:cs="Traditional Arabic" w:hint="cs"/>
          <w:szCs w:val="30"/>
          <w:rtl/>
        </w:rPr>
        <w:t>الموضوع:</w:t>
      </w:r>
      <w:r>
        <w:rPr>
          <w:rFonts w:cs="Traditional Arabic"/>
          <w:szCs w:val="30"/>
          <w:rtl/>
        </w:rPr>
        <w:tab/>
      </w:r>
      <w:r>
        <w:rPr>
          <w:rFonts w:cs="Traditional Arabic" w:hint="cs"/>
          <w:b/>
          <w:bCs/>
          <w:szCs w:val="30"/>
          <w:rtl/>
        </w:rPr>
        <w:t xml:space="preserve">حالة التوصيات الخاضعة لعملية الموافقة البديلة </w:t>
      </w:r>
      <w:r>
        <w:rPr>
          <w:rFonts w:cs="Traditional Arabic"/>
          <w:b/>
          <w:bCs/>
          <w:szCs w:val="30"/>
          <w:lang w:bidi="ar-EG"/>
        </w:rPr>
        <w:t>(AAP)</w:t>
      </w:r>
    </w:p>
    <w:p w:rsidR="000E1FFF" w:rsidRDefault="000E1FFF">
      <w:pPr>
        <w:bidi/>
        <w:spacing w:line="300" w:lineRule="exact"/>
        <w:jc w:val="left"/>
        <w:rPr>
          <w:rFonts w:cs="Traditional Arabic"/>
          <w:szCs w:val="30"/>
          <w:rtl/>
        </w:rPr>
      </w:pPr>
    </w:p>
    <w:p w:rsidR="000E1FFF" w:rsidRDefault="004B6DDE">
      <w:pPr>
        <w:bidi/>
        <w:spacing w:line="300" w:lineRule="exact"/>
        <w:jc w:val="lef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حضرات السادة والسيدات،</w:t>
      </w:r>
    </w:p>
    <w:p w:rsidR="000E1FFF" w:rsidRDefault="004B6DDE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تحية طيبة وبعد،</w:t>
      </w:r>
    </w:p>
    <w:p w:rsidR="000E1FFF" w:rsidRDefault="004B6DDE">
      <w:pPr>
        <w:bidi/>
        <w:spacing w:line="300" w:lineRule="exact"/>
        <w:jc w:val="lef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تنطبق</w:t>
      </w:r>
      <w:r>
        <w:rPr>
          <w:rFonts w:cs="Traditional Arabic" w:hint="cs"/>
          <w:szCs w:val="30"/>
          <w:rtl/>
          <w:lang w:bidi="ar-EG"/>
        </w:rPr>
        <w:t xml:space="preserve"> عملية الموافقة البديلة </w:t>
      </w:r>
      <w:r>
        <w:rPr>
          <w:rFonts w:cs="Traditional Arabic"/>
          <w:szCs w:val="30"/>
          <w:lang w:bidi="ar-EG"/>
        </w:rPr>
        <w:t>(AAP)</w:t>
      </w:r>
      <w:r>
        <w:rPr>
          <w:rFonts w:cs="Traditional Arabic" w:hint="cs"/>
          <w:szCs w:val="30"/>
          <w:rtl/>
          <w:lang w:bidi="ar-EG"/>
        </w:rPr>
        <w:t xml:space="preserve"> المعرفة في التوصية </w:t>
      </w:r>
      <w:r>
        <w:rPr>
          <w:rFonts w:cs="Traditional Arabic"/>
          <w:szCs w:val="30"/>
          <w:lang w:bidi="ar-EG"/>
        </w:rPr>
        <w:t>ITU</w:t>
      </w:r>
      <w:r>
        <w:rPr>
          <w:rFonts w:cs="Traditional Arabic"/>
          <w:szCs w:val="30"/>
          <w:lang w:bidi="ar-EG"/>
        </w:rPr>
        <w:noBreakHyphen/>
        <w:t>T A.8</w:t>
      </w:r>
      <w:r>
        <w:rPr>
          <w:rFonts w:cs="Traditional Arabic" w:hint="cs"/>
          <w:szCs w:val="30"/>
          <w:rtl/>
        </w:rPr>
        <w:t xml:space="preserve"> على التوصيات التي لا تنطوي على بعد سياسي أو</w:t>
      </w:r>
      <w:r>
        <w:rPr>
          <w:rFonts w:cs="Traditional Arabic" w:hint="cs"/>
          <w:szCs w:val="30"/>
          <w:rtl/>
        </w:rPr>
        <w:t xml:space="preserve">تنظيمي ولا تتطلب بالتالي استشارة الدول الأعضاء رسمياً (انظر الرقم </w:t>
      </w:r>
      <w:r>
        <w:rPr>
          <w:rFonts w:cs="Traditional Arabic"/>
          <w:szCs w:val="30"/>
          <w:lang w:bidi="ar-EG"/>
        </w:rPr>
        <w:t>246B</w:t>
      </w:r>
      <w:r>
        <w:rPr>
          <w:rFonts w:cs="Traditional Arabic" w:hint="cs"/>
          <w:szCs w:val="30"/>
          <w:rtl/>
        </w:rPr>
        <w:t xml:space="preserve"> من اتفاقية الاتحاد).</w:t>
      </w:r>
    </w:p>
    <w:p w:rsidR="000E1FFF" w:rsidRDefault="004B6DDE">
      <w:pPr>
        <w:bidi/>
        <w:spacing w:line="300" w:lineRule="exact"/>
        <w:jc w:val="lef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 xml:space="preserve">ويتضمن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  <w:lang w:bidi="ar-EG"/>
        </w:rPr>
        <w:t>1</w:t>
      </w:r>
      <w:r>
        <w:rPr>
          <w:rFonts w:cs="Traditional Arabic" w:hint="cs"/>
          <w:szCs w:val="30"/>
          <w:rtl/>
        </w:rPr>
        <w:t xml:space="preserve"> لائحة بالنصوص التي تغيرت حالتها مقارنة بما جاء في إعلانات عملية الموافقة البديلة السابقة.</w:t>
      </w:r>
    </w:p>
    <w:p w:rsidR="000E1FFF" w:rsidRDefault="004B6DDE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إذا رغبتم في تقديم تعليق بشأن توصية ما خاضعة لعملية المواف</w:t>
      </w:r>
      <w:r>
        <w:rPr>
          <w:rFonts w:cs="Traditional Arabic" w:hint="cs"/>
          <w:szCs w:val="30"/>
          <w:rtl/>
        </w:rPr>
        <w:t xml:space="preserve">قة البديلة، فنرجو منكم استعمال استمارة التعليق على الخط المتوفّرة على موقع قطاع تقييس الاتصالات على صفحة عملية الموافقة البديلة </w:t>
      </w:r>
      <w:hyperlink r:id="rId8" w:history="1">
        <w:r>
          <w:rPr>
            <w:rStyle w:val="Hyperlink"/>
            <w:rFonts w:cs="Traditional Arabic"/>
            <w:bCs/>
            <w:szCs w:val="30"/>
          </w:rPr>
          <w:t>http://www.itu.int/ITU-T/aap</w:t>
        </w:r>
      </w:hyperlink>
      <w:r>
        <w:rPr>
          <w:rFonts w:cs="Traditional Arabic" w:hint="cs"/>
          <w:szCs w:val="30"/>
          <w:rtl/>
        </w:rPr>
        <w:t xml:space="preserve"> على المدخل الخاص بالتوصية المعنية (انظر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szCs w:val="30"/>
        </w:rPr>
        <w:t>(</w:t>
      </w:r>
      <w:r>
        <w:rPr>
          <w:rFonts w:cs="Traditional Arabic"/>
          <w:b/>
          <w:bCs/>
          <w:szCs w:val="30"/>
        </w:rPr>
        <w:t>2</w:t>
      </w:r>
      <w:r>
        <w:rPr>
          <w:rFonts w:cs="Traditional Arabic" w:hint="cs"/>
          <w:szCs w:val="30"/>
          <w:rtl/>
        </w:rPr>
        <w:t>. وبدي</w:t>
      </w:r>
      <w:r>
        <w:rPr>
          <w:rFonts w:cs="Traditional Arabic" w:hint="cs"/>
          <w:szCs w:val="30"/>
          <w:rtl/>
        </w:rPr>
        <w:t xml:space="preserve">لاً من ذلك، يمكنكم تقديم التعليقات باستكمال الاستمارة الواردة في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</w:rPr>
        <w:t>3</w:t>
      </w:r>
      <w:r>
        <w:rPr>
          <w:rFonts w:cs="Traditional Arabic" w:hint="cs"/>
          <w:szCs w:val="30"/>
          <w:rtl/>
          <w:lang w:bidi="ar-EG"/>
        </w:rPr>
        <w:t xml:space="preserve"> وإرسالها إلى أمانة لجنة الدراسات المعنية بالأمر.</w:t>
      </w:r>
    </w:p>
    <w:p w:rsidR="000E1FFF" w:rsidRDefault="004B6DDE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وتجدر الإشارة إلى أنه يفضّل عدم إرسال تعليقات تقتصر على تأييد اعتماد النص قيد النظر.</w:t>
      </w:r>
    </w:p>
    <w:p w:rsidR="000E1FFF" w:rsidRDefault="000E1FFF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</w:p>
    <w:p w:rsidR="000E1FFF" w:rsidRDefault="004B6DDE">
      <w:pPr>
        <w:bidi/>
        <w:spacing w:before="0" w:after="840"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وتفضلوا بقبول فائق الاحترام والتقدير.</w:t>
      </w:r>
    </w:p>
    <w:p w:rsidR="000E1FFF" w:rsidRDefault="004B6DDE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  <w:r>
        <w:rPr>
          <w:rFonts w:cs="Traditional Arabic"/>
          <w:szCs w:val="30"/>
          <w:rtl/>
        </w:rPr>
        <w:t>مالكولم جونسون</w:t>
      </w:r>
      <w:r>
        <w:rPr>
          <w:rFonts w:cs="Traditional Arabic"/>
          <w:szCs w:val="30"/>
          <w:rtl/>
          <w:lang w:bidi="ar-EG"/>
        </w:rPr>
        <w:br/>
      </w:r>
      <w:r>
        <w:rPr>
          <w:rFonts w:cs="Traditional Arabic" w:hint="cs"/>
          <w:szCs w:val="30"/>
          <w:rtl/>
          <w:lang w:bidi="ar-EG"/>
        </w:rPr>
        <w:t>مدير مكتب تقييس الاتصالات</w:t>
      </w:r>
    </w:p>
    <w:p w:rsidR="000E1FFF" w:rsidRDefault="000E1FFF">
      <w:pPr>
        <w:bidi/>
        <w:spacing w:line="300" w:lineRule="exact"/>
        <w:jc w:val="left"/>
        <w:rPr>
          <w:rFonts w:cs="Traditional Arabic"/>
          <w:szCs w:val="30"/>
          <w:rtl/>
          <w:lang w:bidi="ar-EG"/>
        </w:rPr>
      </w:pPr>
    </w:p>
    <w:p w:rsidR="000E1FFF" w:rsidRDefault="004B6DDE">
      <w:pPr>
        <w:bidi/>
        <w:spacing w:line="300" w:lineRule="exact"/>
        <w:rPr>
          <w:rFonts w:cs="Traditional Arabic"/>
          <w:szCs w:val="30"/>
          <w:lang w:bidi="ar-EG"/>
        </w:rPr>
      </w:pPr>
      <w:r>
        <w:rPr>
          <w:rFonts w:cs="Traditional Arabic" w:hint="cs"/>
          <w:b/>
          <w:bCs/>
          <w:szCs w:val="30"/>
          <w:rtl/>
          <w:lang w:bidi="ar-EG"/>
        </w:rPr>
        <w:t xml:space="preserve">الملحقات: </w:t>
      </w:r>
      <w:r>
        <w:rPr>
          <w:rFonts w:cs="Traditional Arabic"/>
          <w:szCs w:val="30"/>
          <w:lang w:bidi="ar-EG"/>
        </w:rPr>
        <w:t>3</w:t>
      </w:r>
    </w:p>
    <w:p w:rsidR="000E1FFF" w:rsidRDefault="000E1FFF">
      <w:pPr>
        <w:spacing w:before="720"/>
        <w:sectPr w:rsidR="000E1FFF">
          <w:headerReference w:type="default" r:id="rId9"/>
          <w:footerReference w:type="default" r:id="rId10"/>
          <w:footerReference w:type="first" r:id="rId11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0E1FFF" w:rsidRDefault="004B6DDE">
      <w:pPr>
        <w:pStyle w:val="AnnexNotitle"/>
      </w:pPr>
      <w:r>
        <w:lastRenderedPageBreak/>
        <w:t>Annex 1</w:t>
      </w:r>
    </w:p>
    <w:p w:rsidR="000E1FFF" w:rsidRDefault="004B6DDE">
      <w:pPr>
        <w:jc w:val="center"/>
      </w:pPr>
      <w:r>
        <w:t>(to TSB AAP-46)</w:t>
      </w:r>
    </w:p>
    <w:p w:rsidR="000E1FFF" w:rsidRDefault="000E1FFF">
      <w:pPr>
        <w:rPr>
          <w:szCs w:val="22"/>
        </w:rPr>
      </w:pPr>
    </w:p>
    <w:p w:rsidR="000E1FFF" w:rsidRDefault="004B6DDE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0E1FFF" w:rsidRDefault="004B6DDE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0E1FFF" w:rsidRDefault="004B6DDE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0E1FFF" w:rsidRDefault="004B6DDE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0E1FFF" w:rsidRDefault="004B6DDE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0E1FFF" w:rsidRDefault="004B6DDE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0E1FFF" w:rsidRDefault="004B6DDE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0E1FFF" w:rsidRDefault="004B6DDE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0E1FFF" w:rsidRDefault="004B6DDE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0E1FFF" w:rsidRDefault="004B6DDE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0E1FFF" w:rsidRDefault="004B6DDE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0E1FFF" w:rsidRDefault="004B6DDE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0E1FFF" w:rsidRDefault="000E1FFF">
      <w:pPr>
        <w:pStyle w:val="enumlev2"/>
        <w:rPr>
          <w:szCs w:val="22"/>
        </w:rPr>
      </w:pPr>
      <w:hyperlink r:id="rId12" w:history="1">
        <w:r w:rsidR="004B6DDE">
          <w:rPr>
            <w:rStyle w:val="Hyperlink"/>
            <w:szCs w:val="22"/>
          </w:rPr>
          <w:t>http://www.itu.int/ITU-T</w:t>
        </w:r>
      </w:hyperlink>
    </w:p>
    <w:p w:rsidR="000E1FFF" w:rsidRDefault="004B6DDE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0E1FFF" w:rsidRDefault="000E1FFF">
      <w:pPr>
        <w:pStyle w:val="enumlev2"/>
        <w:rPr>
          <w:szCs w:val="22"/>
        </w:rPr>
      </w:pPr>
      <w:hyperlink r:id="rId13" w:history="1">
        <w:r w:rsidR="004B6DDE">
          <w:rPr>
            <w:rStyle w:val="Hyperlink"/>
            <w:szCs w:val="22"/>
          </w:rPr>
          <w:t>http://www.itu.int/ITU-T/aapinfo</w:t>
        </w:r>
      </w:hyperlink>
    </w:p>
    <w:p w:rsidR="000E1FFF" w:rsidRDefault="004B6DDE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0E1FFF" w:rsidRDefault="004B6DDE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0E1FFF" w:rsidRDefault="000E1FFF">
      <w:pPr>
        <w:pStyle w:val="enumlev2"/>
        <w:rPr>
          <w:szCs w:val="22"/>
        </w:rPr>
      </w:pPr>
      <w:hyperlink r:id="rId14" w:history="1">
        <w:r w:rsidR="004B6DDE">
          <w:rPr>
            <w:rStyle w:val="Hyperlink"/>
            <w:szCs w:val="22"/>
          </w:rPr>
          <w:t>http://www.itu.int/ITU-T/aap/</w:t>
        </w:r>
      </w:hyperlink>
    </w:p>
    <w:p w:rsidR="000E1FFF" w:rsidRDefault="004B6DDE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/>
      </w:tblPr>
      <w:tblGrid>
        <w:gridCol w:w="987"/>
        <w:gridCol w:w="5415"/>
        <w:gridCol w:w="1985"/>
      </w:tblGrid>
      <w:tr w:rsidR="000E1FFF">
        <w:tc>
          <w:tcPr>
            <w:tcW w:w="987" w:type="dxa"/>
          </w:tcPr>
          <w:p w:rsidR="000E1FFF" w:rsidRDefault="004B6DD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15" w:history="1">
              <w:r w:rsidR="004B6DDE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4B6DDE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0E1FFF">
        <w:tc>
          <w:tcPr>
            <w:tcW w:w="0" w:type="auto"/>
          </w:tcPr>
          <w:p w:rsidR="000E1FFF" w:rsidRDefault="004B6DD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4B6DDE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4B6DDE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0E1FFF">
        <w:tc>
          <w:tcPr>
            <w:tcW w:w="0" w:type="auto"/>
          </w:tcPr>
          <w:p w:rsidR="000E1FFF" w:rsidRDefault="004B6DD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4B6DDE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4B6DDE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0E1FFF">
        <w:tc>
          <w:tcPr>
            <w:tcW w:w="0" w:type="auto"/>
          </w:tcPr>
          <w:p w:rsidR="000E1FFF" w:rsidRDefault="004B6DD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4B6DDE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4B6DDE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0E1FFF">
        <w:tc>
          <w:tcPr>
            <w:tcW w:w="0" w:type="auto"/>
          </w:tcPr>
          <w:p w:rsidR="000E1FFF" w:rsidRDefault="004B6DD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4B6DDE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4B6DDE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0E1FFF">
        <w:tc>
          <w:tcPr>
            <w:tcW w:w="0" w:type="auto"/>
          </w:tcPr>
          <w:p w:rsidR="000E1FFF" w:rsidRDefault="004B6DD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4B6DDE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4B6DDE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0E1FFF">
        <w:tc>
          <w:tcPr>
            <w:tcW w:w="0" w:type="auto"/>
          </w:tcPr>
          <w:p w:rsidR="000E1FFF" w:rsidRDefault="004B6DD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4B6DDE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4B6DDE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0E1FFF">
        <w:tc>
          <w:tcPr>
            <w:tcW w:w="0" w:type="auto"/>
          </w:tcPr>
          <w:p w:rsidR="000E1FFF" w:rsidRDefault="004B6DD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4B6DDE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4B6DDE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0E1FFF">
        <w:tc>
          <w:tcPr>
            <w:tcW w:w="0" w:type="auto"/>
          </w:tcPr>
          <w:p w:rsidR="000E1FFF" w:rsidRDefault="004B6DD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4B6DDE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4B6DDE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0E1FFF">
        <w:tc>
          <w:tcPr>
            <w:tcW w:w="0" w:type="auto"/>
          </w:tcPr>
          <w:p w:rsidR="000E1FFF" w:rsidRDefault="004B6DDE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4B6DDE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0E1FFF" w:rsidRDefault="000E1FFF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4B6DDE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0E1FFF" w:rsidRDefault="000E1FFF">
      <w:pPr>
        <w:pStyle w:val="Header"/>
        <w:ind w:left="360"/>
        <w:rPr>
          <w:b/>
          <w:bCs/>
          <w:sz w:val="24"/>
        </w:rPr>
        <w:sectPr w:rsidR="000E1FFF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0E1FFF" w:rsidRDefault="004B6DDE">
      <w:pPr>
        <w:pStyle w:val="TableNotitle"/>
        <w:pageBreakBefore/>
      </w:pPr>
      <w:r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0E1FF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0E1FFF" w:rsidRDefault="004B6DDE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0E1FF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0E1FFF" w:rsidRDefault="000E1FFF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0E1FFF" w:rsidRDefault="000E1FFF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0E1FFF" w:rsidRDefault="000E1FFF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35" w:history="1">
              <w:r w:rsidR="004B6DDE">
                <w:rPr>
                  <w:rStyle w:val="Hyperlink"/>
                  <w:sz w:val="20"/>
                </w:rPr>
                <w:t>L.1400 (L.methodology_umbrella)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Overview and general principles of methodologies for assessing the environmental impact of ICT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0E1FFF" w:rsidRDefault="004B6DDE">
      <w:pPr>
        <w:pStyle w:val="TableNotitle"/>
        <w:pageBreakBefore/>
      </w:pPr>
      <w:r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0E1FF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0E1FFF" w:rsidRDefault="004B6DDE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0E1FF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0E1FFF" w:rsidRDefault="000E1FFF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0E1FFF" w:rsidRDefault="000E1FFF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0E1FFF" w:rsidRDefault="000E1FFF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36" w:history="1">
              <w:r w:rsidR="004B6DDE">
                <w:rPr>
                  <w:rStyle w:val="Hyperlink"/>
                  <w:sz w:val="20"/>
                </w:rPr>
                <w:t>Q.3311 (Q.PCN App)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Enhancement of resource and admission control protocols to use pre-congestion notification (PCN)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37" w:history="1">
              <w:r w:rsidR="004B6DDE">
                <w:rPr>
                  <w:rStyle w:val="Hyperlink"/>
                  <w:sz w:val="20"/>
                </w:rPr>
                <w:t>Q.3312 (Q.ANCP)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Use of the Access Node Control Protocol (ANCP) on the Rp interface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38" w:history="1">
              <w:r w:rsidR="004B6DDE">
                <w:rPr>
                  <w:rStyle w:val="Hyperlink"/>
                  <w:sz w:val="20"/>
                </w:rPr>
                <w:t>Q.3322 (Q.3322.1)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Resource control protocol no.2 (rcp2)Protocol at the interface between Transport Resource Control Physical Entities (TRC-PEs) (Rp interface)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39" w:history="1">
              <w:r w:rsidR="004B6DDE">
                <w:rPr>
                  <w:rStyle w:val="Hyperlink"/>
                  <w:sz w:val="20"/>
                </w:rPr>
                <w:t>Q.3906.1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The scenarios, list and types of tests for fixed Broadband NUT testing on the Model networks. Part I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40" w:history="1">
              <w:r w:rsidR="004B6DDE">
                <w:rPr>
                  <w:rStyle w:val="Hyperlink"/>
                  <w:sz w:val="20"/>
                </w:rPr>
                <w:t>X.603.2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Information technology - Relayed multicast protocol: Specification for N-plex group applications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41" w:history="1">
              <w:r w:rsidR="004B6DDE">
                <w:rPr>
                  <w:rStyle w:val="Hyperlink"/>
                  <w:sz w:val="20"/>
                </w:rPr>
                <w:t>X.604.2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Information technology - Mobile multicast communications: Protocol over overlay multicast networks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0E1FFF" w:rsidRDefault="004B6DDE">
      <w:pPr>
        <w:pStyle w:val="TableNotitle"/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0E1FF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0E1FFF" w:rsidRDefault="004B6DDE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0E1FF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0E1FFF" w:rsidRDefault="000E1FFF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0E1FFF" w:rsidRDefault="000E1FFF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0E1FFF" w:rsidRDefault="000E1FFF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42" w:history="1">
              <w:r w:rsidR="004B6DDE">
                <w:rPr>
                  <w:rStyle w:val="Hyperlink"/>
                  <w:sz w:val="20"/>
                </w:rPr>
                <w:t>G.987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10-Gigabit-capable passive optical network (XG-PON) systems: Definitions, abbreviations and acronyms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43" w:history="1">
              <w:r w:rsidR="004B6DDE">
                <w:rPr>
                  <w:rStyle w:val="Hyperlink"/>
                  <w:sz w:val="20"/>
                </w:rPr>
                <w:t>G.987.2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10-Gigabit-capable passive optical networks (XG-PON): Physical media dependent (PMD) layer specification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44" w:history="1">
              <w:r w:rsidR="004B6DDE">
                <w:rPr>
                  <w:rStyle w:val="Hyperlink"/>
                  <w:sz w:val="20"/>
                </w:rPr>
                <w:t>G.987.3 (G.xgpon.3)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10-Gigabit-capable passive optical networks (XG-PON): Transmission convergence (TC) specifications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45" w:history="1">
              <w:r w:rsidR="004B6DDE">
                <w:rPr>
                  <w:rStyle w:val="Hyperlink"/>
                  <w:sz w:val="20"/>
                </w:rPr>
                <w:t>G.988 (G.omci)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ONU management and control interface (OMCI) specification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46" w:history="1">
              <w:r w:rsidR="004B6DDE">
                <w:rPr>
                  <w:rStyle w:val="Hyperlink"/>
                  <w:sz w:val="20"/>
                </w:rPr>
                <w:t>G.8032/Y.1344 (2010) Cor.1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Ethernet Ring Protection Switching: Corrigendum 1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47" w:history="1">
              <w:r w:rsidR="004B6DDE">
                <w:rPr>
                  <w:rStyle w:val="Hyperlink"/>
                  <w:sz w:val="20"/>
                </w:rPr>
                <w:t>G.8265.1/Y.1365.1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Precision time protocol telecom profile for frequency synchronization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2010-07-16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2010-08-12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48" w:history="1">
              <w:r w:rsidR="004B6DDE">
                <w:rPr>
                  <w:rStyle w:val="Hyperlink"/>
                  <w:sz w:val="20"/>
                </w:rPr>
                <w:t>G.8265/Y.1365 (G.pacmod-bis)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Architecture and requirements for packet based frequency delivery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2010-07-16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2010-08-12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0E1FFF" w:rsidRDefault="004B6DDE">
      <w:pPr>
        <w:pStyle w:val="TableNotitle"/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0E1FF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0E1FFF" w:rsidRDefault="004B6DDE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0E1FF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0E1FFF" w:rsidRDefault="000E1FFF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0E1FFF" w:rsidRDefault="000E1FFF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0E1FFF" w:rsidRDefault="004B6DD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0E1FFF" w:rsidRDefault="000E1FFF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49" w:history="1">
              <w:r w:rsidR="004B6DDE">
                <w:rPr>
                  <w:rStyle w:val="Hyperlink"/>
                  <w:sz w:val="20"/>
                </w:rPr>
                <w:t>F.745 (F.S2STreqs)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Functional requirements for network-based speech-to-speech translation services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50" w:history="1">
              <w:r w:rsidR="004B6DDE">
                <w:rPr>
                  <w:rStyle w:val="Hyperlink"/>
                  <w:sz w:val="20"/>
                </w:rPr>
                <w:t>G.711.1 (2008) Amd.3 (G.711.1-LLC)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Wideband embedded extension for G.711 PCM: Lossless compression of G.711 bitstreams in G.711.1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51" w:history="1">
              <w:r w:rsidR="004B6DDE">
                <w:rPr>
                  <w:rStyle w:val="Hyperlink"/>
                  <w:sz w:val="20"/>
                </w:rPr>
                <w:t>G.711.1 (2008) Amd.4 (G.711.1-SWB)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Wideband embedded extension for G.711 PCM: New Annex D with superwideband extension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52" w:history="1">
              <w:r w:rsidR="004B6DDE">
                <w:rPr>
                  <w:rStyle w:val="Hyperlink"/>
                  <w:sz w:val="20"/>
                </w:rPr>
                <w:t>G.722 (1988) Amd.1 (G.722-SWB)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7 kHz audio-coding within 64 kbit/s: New Annex B with superwideband embedded extension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53" w:history="1">
              <w:r w:rsidR="004B6DDE">
                <w:rPr>
                  <w:rStyle w:val="Hyperlink"/>
                  <w:sz w:val="20"/>
                </w:rPr>
                <w:t>H.625 (H.S2STarch)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Architecture for network-based speech-to-speech translation services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0E1FFF">
        <w:trPr>
          <w:cantSplit/>
        </w:trPr>
        <w:tc>
          <w:tcPr>
            <w:tcW w:w="2090" w:type="dxa"/>
          </w:tcPr>
          <w:p w:rsidR="000E1FFF" w:rsidRDefault="000E1FFF">
            <w:pPr>
              <w:jc w:val="left"/>
            </w:pPr>
            <w:hyperlink r:id="rId54" w:history="1">
              <w:r w:rsidR="004B6DDE">
                <w:rPr>
                  <w:rStyle w:val="Hyperlink"/>
                  <w:sz w:val="20"/>
                </w:rPr>
                <w:t>T.38 (V6)</w:t>
              </w:r>
            </w:hyperlink>
          </w:p>
        </w:tc>
        <w:tc>
          <w:tcPr>
            <w:tcW w:w="4000" w:type="dxa"/>
          </w:tcPr>
          <w:p w:rsidR="000E1FFF" w:rsidRDefault="004B6DDE">
            <w:r>
              <w:rPr>
                <w:sz w:val="20"/>
              </w:rPr>
              <w:t>Procedures for real-time Group 3 facsimile communication over IP networks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2010-08-16</w:t>
            </w:r>
          </w:p>
        </w:tc>
        <w:tc>
          <w:tcPr>
            <w:tcW w:w="115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2010-09-12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115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80" w:type="dxa"/>
          </w:tcPr>
          <w:p w:rsidR="000E1FFF" w:rsidRDefault="000E1FFF">
            <w:pPr>
              <w:jc w:val="center"/>
            </w:pPr>
          </w:p>
        </w:tc>
        <w:tc>
          <w:tcPr>
            <w:tcW w:w="860" w:type="dxa"/>
          </w:tcPr>
          <w:p w:rsidR="000E1FFF" w:rsidRDefault="004B6DDE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0E1FFF" w:rsidRDefault="000E1FFF">
      <w:pPr>
        <w:pStyle w:val="Header"/>
        <w:ind w:left="360"/>
        <w:rPr>
          <w:b/>
          <w:bCs/>
          <w:sz w:val="24"/>
        </w:rPr>
        <w:sectPr w:rsidR="000E1FFF">
          <w:headerReference w:type="default" r:id="rId55"/>
          <w:footerReference w:type="default" r:id="rId56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0E1FFF" w:rsidRDefault="004B6DDE">
      <w:pPr>
        <w:pStyle w:val="AnnexNotitle"/>
      </w:pPr>
      <w:r>
        <w:t>Annex 2</w:t>
      </w:r>
    </w:p>
    <w:p w:rsidR="000E1FFF" w:rsidRDefault="004B6DDE">
      <w:pPr>
        <w:jc w:val="center"/>
        <w:rPr>
          <w:szCs w:val="22"/>
        </w:rPr>
      </w:pPr>
      <w:r>
        <w:rPr>
          <w:szCs w:val="22"/>
        </w:rPr>
        <w:t>(to TSB AAP-46)</w:t>
      </w:r>
    </w:p>
    <w:p w:rsidR="000E1FFF" w:rsidRDefault="004B6DDE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0E1FFF" w:rsidRDefault="004B6DDE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0E1FFF" w:rsidRDefault="004B6DDE">
      <w:r>
        <w:t>1)</w:t>
      </w:r>
      <w:r>
        <w:tab/>
        <w:t xml:space="preserve">Go to AAP search Web page at </w:t>
      </w:r>
      <w:hyperlink r:id="rId57" w:history="1">
        <w:r>
          <w:rPr>
            <w:rStyle w:val="Hyperlink"/>
            <w:szCs w:val="22"/>
          </w:rPr>
          <w:t>http://www.itu.int/ITU-T/aap/</w:t>
        </w:r>
      </w:hyperlink>
    </w:p>
    <w:p w:rsidR="000E1FFF" w:rsidRDefault="008A380B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3445"/>
            <wp:effectExtent l="1905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FFF" w:rsidRDefault="004B6DDE">
      <w:r>
        <w:t>2)</w:t>
      </w:r>
      <w:r>
        <w:tab/>
        <w:t>Select your Recommendation</w:t>
      </w:r>
    </w:p>
    <w:p w:rsidR="000E1FFF" w:rsidRDefault="008A380B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396865" cy="3216910"/>
            <wp:effectExtent l="1905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FFF" w:rsidRDefault="004B6DDE">
      <w:pPr>
        <w:keepNext/>
      </w:pPr>
      <w:r>
        <w:t>3)</w:t>
      </w:r>
      <w:r>
        <w:tab/>
      </w:r>
      <w:r>
        <w:t>Click the "Submit Comment" button</w:t>
      </w:r>
    </w:p>
    <w:p w:rsidR="000E1FFF" w:rsidRDefault="008A380B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760" cy="3183890"/>
            <wp:effectExtent l="19050" t="0" r="254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FFF" w:rsidRDefault="004B6DDE">
      <w:r>
        <w:t>4)</w:t>
      </w:r>
      <w:r>
        <w:tab/>
        <w:t>Complete the on-line form and click on "Submit"</w:t>
      </w:r>
    </w:p>
    <w:p w:rsidR="000E1FFF" w:rsidRDefault="008A380B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3965" cy="4572000"/>
            <wp:effectExtent l="1905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FFF" w:rsidRDefault="004B6DDE">
      <w:pPr>
        <w:jc w:val="left"/>
      </w:pPr>
      <w:r>
        <w:t>For more information, read the AAP tutorial on:</w:t>
      </w:r>
      <w:r>
        <w:tab/>
      </w:r>
      <w:r>
        <w:br/>
      </w:r>
      <w:hyperlink r:id="rId62" w:history="1">
        <w:r>
          <w:rPr>
            <w:rStyle w:val="Hyperlink"/>
          </w:rPr>
          <w:t>http://www.itu.int/ITU-T/aapinfo/files/AAPTutoria</w:t>
        </w:r>
        <w:r>
          <w:rPr>
            <w:rStyle w:val="Hyperlink"/>
          </w:rPr>
          <w:t>l.pdf</w:t>
        </w:r>
      </w:hyperlink>
    </w:p>
    <w:p w:rsidR="000E1FFF" w:rsidRDefault="004B6DDE">
      <w:pPr>
        <w:pStyle w:val="AnnexNotitle"/>
      </w:pPr>
      <w:r>
        <w:br w:type="page"/>
        <w:t>Annex 3</w:t>
      </w:r>
    </w:p>
    <w:p w:rsidR="000E1FFF" w:rsidRDefault="004B6DDE">
      <w:pPr>
        <w:jc w:val="center"/>
        <w:rPr>
          <w:szCs w:val="22"/>
        </w:rPr>
      </w:pPr>
      <w:r>
        <w:rPr>
          <w:szCs w:val="22"/>
        </w:rPr>
        <w:t>(to TSB AAP-46)</w:t>
      </w:r>
    </w:p>
    <w:p w:rsidR="000E1FFF" w:rsidRDefault="004B6DDE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0E1FFF" w:rsidRDefault="004B6DDE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6548"/>
      </w:tblGrid>
      <w:tr w:rsidR="000E1FFF">
        <w:tc>
          <w:tcPr>
            <w:tcW w:w="5000" w:type="pct"/>
            <w:gridSpan w:val="2"/>
            <w:shd w:val="clear" w:color="auto" w:fill="EFFAFF"/>
          </w:tcPr>
          <w:p w:rsidR="000E1FFF" w:rsidRDefault="004B6DDE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0E1FF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E1FFF" w:rsidRDefault="004B6DD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0E1FFF" w:rsidRDefault="000E1FFF">
            <w:pPr>
              <w:pStyle w:val="Tabletext"/>
              <w:jc w:val="left"/>
            </w:pPr>
          </w:p>
        </w:tc>
      </w:tr>
      <w:tr w:rsidR="000E1FF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E1FFF" w:rsidRDefault="004B6DD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E1FFF" w:rsidRDefault="000E1FFF">
            <w:pPr>
              <w:pStyle w:val="Tabletext"/>
              <w:jc w:val="left"/>
            </w:pPr>
          </w:p>
        </w:tc>
      </w:tr>
      <w:tr w:rsidR="000E1FF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E1FFF" w:rsidRDefault="004B6DD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E1FFF" w:rsidRDefault="000E1FFF">
            <w:pPr>
              <w:pStyle w:val="Tabletext"/>
              <w:jc w:val="left"/>
            </w:pPr>
          </w:p>
        </w:tc>
      </w:tr>
      <w:tr w:rsidR="000E1FFF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0E1FFF" w:rsidRDefault="004B6DD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0E1FFF" w:rsidRDefault="004B6DDE">
            <w:pPr>
              <w:pStyle w:val="Tabletext"/>
              <w:jc w:val="left"/>
            </w:pPr>
            <w:r>
              <w:br/>
            </w:r>
            <w:r w:rsidR="000E1F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E1FFF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0E1F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E1FFF">
              <w:fldChar w:fldCharType="end"/>
            </w:r>
            <w:r>
              <w:t xml:space="preserve"> Additional Review (AR)</w:t>
            </w:r>
          </w:p>
        </w:tc>
      </w:tr>
      <w:tr w:rsidR="000E1FF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E1FFF" w:rsidRDefault="004B6DD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0E1FFF" w:rsidRDefault="000E1FFF">
            <w:pPr>
              <w:pStyle w:val="Tabletext"/>
              <w:jc w:val="left"/>
            </w:pPr>
          </w:p>
        </w:tc>
      </w:tr>
      <w:tr w:rsidR="000E1FF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E1FFF" w:rsidRDefault="004B6DD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E1FFF" w:rsidRDefault="000E1FFF">
            <w:pPr>
              <w:pStyle w:val="Tabletext"/>
              <w:jc w:val="left"/>
            </w:pPr>
          </w:p>
        </w:tc>
      </w:tr>
      <w:tr w:rsidR="000E1FF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E1FFF" w:rsidRDefault="004B6DD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E1FFF" w:rsidRDefault="000E1FFF">
            <w:pPr>
              <w:pStyle w:val="Tabletext"/>
              <w:jc w:val="left"/>
            </w:pPr>
          </w:p>
        </w:tc>
      </w:tr>
      <w:tr w:rsidR="000E1FF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E1FFF" w:rsidRDefault="004B6DD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E1FFF" w:rsidRDefault="000E1FFF">
            <w:pPr>
              <w:pStyle w:val="Tabletext"/>
              <w:jc w:val="left"/>
            </w:pPr>
          </w:p>
        </w:tc>
      </w:tr>
      <w:tr w:rsidR="000E1FF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E1FFF" w:rsidRDefault="004B6DD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E1FFF" w:rsidRDefault="000E1FFF">
            <w:pPr>
              <w:pStyle w:val="Tabletext"/>
              <w:jc w:val="left"/>
            </w:pPr>
          </w:p>
        </w:tc>
      </w:tr>
      <w:tr w:rsidR="000E1FF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E1FFF" w:rsidRDefault="004B6DD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E1FFF" w:rsidRDefault="000E1FFF">
            <w:pPr>
              <w:pStyle w:val="Tabletext"/>
              <w:jc w:val="left"/>
            </w:pPr>
          </w:p>
        </w:tc>
      </w:tr>
      <w:tr w:rsidR="000E1FF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0E1FFF" w:rsidRDefault="004B6DD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0E1FFF" w:rsidRDefault="000E1FFF">
            <w:pPr>
              <w:pStyle w:val="Tabletext"/>
              <w:jc w:val="left"/>
            </w:pPr>
          </w:p>
        </w:tc>
      </w:tr>
      <w:tr w:rsidR="000E1FFF">
        <w:tc>
          <w:tcPr>
            <w:tcW w:w="1623" w:type="pct"/>
            <w:shd w:val="clear" w:color="auto" w:fill="EFFAFF"/>
            <w:vAlign w:val="center"/>
          </w:tcPr>
          <w:p w:rsidR="000E1FFF" w:rsidRDefault="004B6DD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0E1FFF" w:rsidRDefault="004B6DDE">
            <w:pPr>
              <w:pStyle w:val="Tabletext"/>
              <w:jc w:val="left"/>
            </w:pPr>
            <w:r>
              <w:br/>
            </w:r>
            <w:r w:rsidR="000E1F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E1FFF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0E1F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E1FFF">
              <w:fldChar w:fldCharType="end"/>
            </w:r>
            <w:r>
              <w:t xml:space="preserve"> We s</w:t>
            </w:r>
            <w:r>
              <w:t>upport this text on the condition that it be modified as per revision shown in the attachment.</w:t>
            </w:r>
          </w:p>
        </w:tc>
      </w:tr>
      <w:tr w:rsidR="000E1FFF">
        <w:tc>
          <w:tcPr>
            <w:tcW w:w="1623" w:type="pct"/>
            <w:shd w:val="clear" w:color="auto" w:fill="EFFAFF"/>
            <w:vAlign w:val="center"/>
          </w:tcPr>
          <w:p w:rsidR="000E1FFF" w:rsidRDefault="004B6DDE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0E1FFF" w:rsidRDefault="004B6DDE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0E1FFF" w:rsidRDefault="004B6DDE">
      <w:pPr>
        <w:jc w:val="left"/>
        <w:rPr>
          <w:szCs w:val="22"/>
        </w:rPr>
      </w:pPr>
      <w:r>
        <w:tab/>
      </w:r>
      <w:r w:rsidR="000E1FFF" w:rsidRPr="000E1FFF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E1FFF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0E1FFF" w:rsidRDefault="004B6DDE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63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</w:r>
      <w:r>
        <w:rPr>
          <w:i/>
          <w:iCs/>
          <w:szCs w:val="22"/>
        </w:rPr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0E1FFF" w:rsidRDefault="000E1FFF">
      <w:pPr>
        <w:rPr>
          <w:i/>
          <w:iCs/>
          <w:szCs w:val="22"/>
        </w:rPr>
      </w:pPr>
    </w:p>
    <w:sectPr w:rsidR="000E1FFF" w:rsidSect="000E1FFF">
      <w:headerReference w:type="default" r:id="rId64"/>
      <w:footerReference w:type="default" r:id="rId65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DDE" w:rsidRDefault="004B6DDE">
      <w:r>
        <w:separator/>
      </w:r>
    </w:p>
  </w:endnote>
  <w:endnote w:type="continuationSeparator" w:id="0">
    <w:p w:rsidR="004B6DDE" w:rsidRDefault="004B6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FF" w:rsidRDefault="004B6DDE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985"/>
      <w:gridCol w:w="1559"/>
      <w:gridCol w:w="1843"/>
      <w:gridCol w:w="2410"/>
      <w:gridCol w:w="1701"/>
    </w:tblGrid>
    <w:tr w:rsidR="000E1FFF">
      <w:tc>
        <w:tcPr>
          <w:tcW w:w="1985" w:type="dxa"/>
        </w:tcPr>
        <w:p w:rsidR="000E1FFF" w:rsidRDefault="004B6DDE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0E1FFF" w:rsidRDefault="004B6DDE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0E1FFF" w:rsidRDefault="004B6DDE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0E1FFF" w:rsidRDefault="004B6DDE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0E1FFF" w:rsidRDefault="004B6DDE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0E1FFF" w:rsidRDefault="000E1FFF">
    <w:pPr>
      <w:pStyle w:val="Tabletex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FF" w:rsidRDefault="004B6DDE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FF" w:rsidRDefault="004B6DDE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DDE" w:rsidRDefault="004B6DDE">
      <w:r>
        <w:t>____________________</w:t>
      </w:r>
    </w:p>
  </w:footnote>
  <w:footnote w:type="continuationSeparator" w:id="0">
    <w:p w:rsidR="004B6DDE" w:rsidRDefault="004B6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FF" w:rsidRDefault="004B6DDE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0E1FFF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0E1FFF">
      <w:rPr>
        <w:rStyle w:val="PageNumber"/>
        <w:szCs w:val="18"/>
      </w:rPr>
      <w:fldChar w:fldCharType="separate"/>
    </w:r>
    <w:r w:rsidR="008A380B">
      <w:rPr>
        <w:rStyle w:val="PageNumber"/>
        <w:noProof/>
        <w:szCs w:val="18"/>
      </w:rPr>
      <w:t>2</w:t>
    </w:r>
    <w:r w:rsidR="000E1FFF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FF" w:rsidRDefault="004B6DDE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0E1FFF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0E1FFF">
      <w:rPr>
        <w:rStyle w:val="PageNumber"/>
        <w:szCs w:val="18"/>
      </w:rPr>
      <w:fldChar w:fldCharType="separate"/>
    </w:r>
    <w:r w:rsidR="008A380B">
      <w:rPr>
        <w:rStyle w:val="PageNumber"/>
        <w:noProof/>
        <w:szCs w:val="18"/>
      </w:rPr>
      <w:t>6</w:t>
    </w:r>
    <w:r w:rsidR="000E1FFF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FF" w:rsidRDefault="004B6DDE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0E1FFF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0E1FFF">
      <w:rPr>
        <w:rStyle w:val="PageNumber"/>
        <w:szCs w:val="18"/>
      </w:rPr>
      <w:fldChar w:fldCharType="separate"/>
    </w:r>
    <w:r w:rsidR="008A380B">
      <w:rPr>
        <w:rStyle w:val="PageNumber"/>
        <w:noProof/>
        <w:szCs w:val="18"/>
      </w:rPr>
      <w:t>9</w:t>
    </w:r>
    <w:r w:rsidR="000E1FFF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E1FFF"/>
    <w:rsid w:val="000E1FFF"/>
    <w:rsid w:val="004B6DDE"/>
    <w:rsid w:val="008A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0E1FF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0E1FF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E1FFF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E1FF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E1FFF"/>
    <w:pPr>
      <w:outlineLvl w:val="4"/>
    </w:pPr>
  </w:style>
  <w:style w:type="paragraph" w:styleId="Heading6">
    <w:name w:val="heading 6"/>
    <w:basedOn w:val="Heading4"/>
    <w:next w:val="Normal"/>
    <w:qFormat/>
    <w:rsid w:val="000E1FF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E1FFF"/>
    <w:pPr>
      <w:outlineLvl w:val="6"/>
    </w:pPr>
  </w:style>
  <w:style w:type="paragraph" w:styleId="Heading8">
    <w:name w:val="heading 8"/>
    <w:basedOn w:val="Heading6"/>
    <w:next w:val="Normal"/>
    <w:qFormat/>
    <w:rsid w:val="000E1FFF"/>
    <w:pPr>
      <w:outlineLvl w:val="7"/>
    </w:pPr>
  </w:style>
  <w:style w:type="paragraph" w:styleId="Heading9">
    <w:name w:val="heading 9"/>
    <w:basedOn w:val="Heading6"/>
    <w:next w:val="Normal"/>
    <w:qFormat/>
    <w:rsid w:val="000E1F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0E1FFF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0E1FFF"/>
    <w:pPr>
      <w:spacing w:before="360"/>
    </w:pPr>
  </w:style>
  <w:style w:type="paragraph" w:customStyle="1" w:styleId="ChapNo">
    <w:name w:val="Chap_No"/>
    <w:basedOn w:val="Normal"/>
    <w:next w:val="Chaptitle"/>
    <w:rsid w:val="000E1FF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0E1FFF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0E1FFF"/>
  </w:style>
  <w:style w:type="paragraph" w:customStyle="1" w:styleId="AnnexNotitle">
    <w:name w:val="Annex_No &amp; title"/>
    <w:basedOn w:val="Normal"/>
    <w:next w:val="Normalaftertitle"/>
    <w:rsid w:val="000E1FFF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0E1FF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0E1FFF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0E1FF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0E1FFF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E1FFF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0E1FFF"/>
    <w:pPr>
      <w:spacing w:before="80"/>
      <w:ind w:left="794" w:hanging="794"/>
    </w:pPr>
  </w:style>
  <w:style w:type="paragraph" w:customStyle="1" w:styleId="enumlev2">
    <w:name w:val="enumlev2"/>
    <w:basedOn w:val="enumlev1"/>
    <w:rsid w:val="000E1FFF"/>
    <w:pPr>
      <w:ind w:left="1191" w:hanging="397"/>
    </w:pPr>
  </w:style>
  <w:style w:type="paragraph" w:customStyle="1" w:styleId="enumlev3">
    <w:name w:val="enumlev3"/>
    <w:basedOn w:val="enumlev2"/>
    <w:rsid w:val="000E1FFF"/>
    <w:pPr>
      <w:ind w:left="1588"/>
    </w:pPr>
  </w:style>
  <w:style w:type="paragraph" w:customStyle="1" w:styleId="Equation">
    <w:name w:val="Equation"/>
    <w:basedOn w:val="Normal"/>
    <w:rsid w:val="000E1FF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0E1FF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0E1FF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0E1FFF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0E1FFF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0E1FFF"/>
  </w:style>
  <w:style w:type="paragraph" w:customStyle="1" w:styleId="Tabletext">
    <w:name w:val="Table_text"/>
    <w:basedOn w:val="Normal"/>
    <w:rsid w:val="000E1FF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0E1FFF"/>
    <w:pPr>
      <w:keepLines/>
      <w:spacing w:before="240" w:after="120"/>
      <w:jc w:val="center"/>
    </w:pPr>
  </w:style>
  <w:style w:type="paragraph" w:styleId="Footer">
    <w:name w:val="footer"/>
    <w:basedOn w:val="Normal"/>
    <w:rsid w:val="000E1FF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0E1FF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0E1FFF"/>
    <w:rPr>
      <w:position w:val="6"/>
      <w:sz w:val="18"/>
    </w:rPr>
  </w:style>
  <w:style w:type="paragraph" w:styleId="FootnoteText">
    <w:name w:val="footnote text"/>
    <w:basedOn w:val="Note"/>
    <w:semiHidden/>
    <w:rsid w:val="000E1FFF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0E1FFF"/>
    <w:pPr>
      <w:spacing w:before="80"/>
    </w:pPr>
  </w:style>
  <w:style w:type="paragraph" w:styleId="Header">
    <w:name w:val="header"/>
    <w:basedOn w:val="Normal"/>
    <w:rsid w:val="000E1FF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0E1FFF"/>
  </w:style>
  <w:style w:type="paragraph" w:styleId="Index2">
    <w:name w:val="index 2"/>
    <w:basedOn w:val="Normal"/>
    <w:next w:val="Normal"/>
    <w:semiHidden/>
    <w:rsid w:val="000E1FFF"/>
    <w:pPr>
      <w:ind w:left="283"/>
    </w:pPr>
  </w:style>
  <w:style w:type="paragraph" w:styleId="Index3">
    <w:name w:val="index 3"/>
    <w:basedOn w:val="Normal"/>
    <w:next w:val="Normal"/>
    <w:semiHidden/>
    <w:rsid w:val="000E1FFF"/>
    <w:pPr>
      <w:ind w:left="566"/>
    </w:pPr>
  </w:style>
  <w:style w:type="paragraph" w:customStyle="1" w:styleId="PartNo">
    <w:name w:val="Part_No"/>
    <w:basedOn w:val="Normal"/>
    <w:next w:val="Partref"/>
    <w:rsid w:val="000E1FF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E1FF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E1FF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0E1FF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0E1FF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0E1FF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E1FFF"/>
  </w:style>
  <w:style w:type="paragraph" w:customStyle="1" w:styleId="QuestionNo">
    <w:name w:val="Question_No"/>
    <w:basedOn w:val="RecNo"/>
    <w:next w:val="Questiontitle"/>
    <w:rsid w:val="000E1FFF"/>
  </w:style>
  <w:style w:type="paragraph" w:customStyle="1" w:styleId="RecNo">
    <w:name w:val="Rec_No"/>
    <w:basedOn w:val="Normal"/>
    <w:next w:val="Rectitle"/>
    <w:rsid w:val="000E1FFF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0E1FFF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E1FFF"/>
  </w:style>
  <w:style w:type="paragraph" w:customStyle="1" w:styleId="Questionref">
    <w:name w:val="Question_ref"/>
    <w:basedOn w:val="Recref"/>
    <w:next w:val="Questiondate"/>
    <w:rsid w:val="000E1FFF"/>
  </w:style>
  <w:style w:type="paragraph" w:customStyle="1" w:styleId="Reftext">
    <w:name w:val="Ref_text"/>
    <w:basedOn w:val="Normal"/>
    <w:rsid w:val="000E1FFF"/>
    <w:pPr>
      <w:ind w:left="794" w:hanging="794"/>
    </w:pPr>
  </w:style>
  <w:style w:type="paragraph" w:customStyle="1" w:styleId="Repdate">
    <w:name w:val="Rep_date"/>
    <w:basedOn w:val="Recdate"/>
    <w:next w:val="Normalaftertitle"/>
    <w:rsid w:val="000E1FFF"/>
  </w:style>
  <w:style w:type="paragraph" w:customStyle="1" w:styleId="RepNo">
    <w:name w:val="Rep_No"/>
    <w:basedOn w:val="RecNo"/>
    <w:next w:val="Reptitle"/>
    <w:rsid w:val="000E1FFF"/>
  </w:style>
  <w:style w:type="paragraph" w:customStyle="1" w:styleId="Reptitle">
    <w:name w:val="Rep_title"/>
    <w:basedOn w:val="Rectitle"/>
    <w:next w:val="Repref"/>
    <w:rsid w:val="000E1FFF"/>
  </w:style>
  <w:style w:type="paragraph" w:customStyle="1" w:styleId="Repref">
    <w:name w:val="Rep_ref"/>
    <w:basedOn w:val="Recref"/>
    <w:next w:val="Repdate"/>
    <w:rsid w:val="000E1FFF"/>
  </w:style>
  <w:style w:type="paragraph" w:customStyle="1" w:styleId="Resdate">
    <w:name w:val="Res_date"/>
    <w:basedOn w:val="Recdate"/>
    <w:next w:val="Normalaftertitle"/>
    <w:rsid w:val="000E1FFF"/>
  </w:style>
  <w:style w:type="paragraph" w:customStyle="1" w:styleId="ResNo">
    <w:name w:val="Res_No"/>
    <w:basedOn w:val="RecNo"/>
    <w:next w:val="Restitle"/>
    <w:rsid w:val="000E1FFF"/>
  </w:style>
  <w:style w:type="paragraph" w:customStyle="1" w:styleId="Restitle">
    <w:name w:val="Res_title"/>
    <w:basedOn w:val="Rectitle"/>
    <w:next w:val="Resref"/>
    <w:rsid w:val="000E1FFF"/>
  </w:style>
  <w:style w:type="paragraph" w:customStyle="1" w:styleId="Resref">
    <w:name w:val="Res_ref"/>
    <w:basedOn w:val="Recref"/>
    <w:next w:val="Resdate"/>
    <w:rsid w:val="000E1FFF"/>
  </w:style>
  <w:style w:type="paragraph" w:customStyle="1" w:styleId="SectionNo">
    <w:name w:val="Section_No"/>
    <w:basedOn w:val="Normal"/>
    <w:next w:val="Sectiontitle"/>
    <w:rsid w:val="000E1FF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E1FF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E1FFF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E1FFF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0E1FF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0E1FF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0E1FFF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0E1FFF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0E1FF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E1FFF"/>
  </w:style>
  <w:style w:type="paragraph" w:customStyle="1" w:styleId="Title3">
    <w:name w:val="Title 3"/>
    <w:basedOn w:val="Title2"/>
    <w:next w:val="Title4"/>
    <w:rsid w:val="000E1FFF"/>
    <w:rPr>
      <w:caps w:val="0"/>
    </w:rPr>
  </w:style>
  <w:style w:type="paragraph" w:customStyle="1" w:styleId="Title4">
    <w:name w:val="Title 4"/>
    <w:basedOn w:val="Title3"/>
    <w:next w:val="Heading1"/>
    <w:rsid w:val="000E1FFF"/>
    <w:rPr>
      <w:b/>
    </w:rPr>
  </w:style>
  <w:style w:type="paragraph" w:customStyle="1" w:styleId="toc0">
    <w:name w:val="toc 0"/>
    <w:basedOn w:val="Normal"/>
    <w:next w:val="TOC1"/>
    <w:rsid w:val="000E1FFF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0E1FF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0E1FFF"/>
    <w:pPr>
      <w:spacing w:before="80"/>
      <w:ind w:left="1531" w:hanging="851"/>
    </w:pPr>
  </w:style>
  <w:style w:type="paragraph" w:styleId="TOC3">
    <w:name w:val="toc 3"/>
    <w:basedOn w:val="TOC2"/>
    <w:semiHidden/>
    <w:rsid w:val="000E1FFF"/>
  </w:style>
  <w:style w:type="paragraph" w:styleId="TOC4">
    <w:name w:val="toc 4"/>
    <w:basedOn w:val="TOC3"/>
    <w:semiHidden/>
    <w:rsid w:val="000E1FFF"/>
  </w:style>
  <w:style w:type="paragraph" w:styleId="TOC5">
    <w:name w:val="toc 5"/>
    <w:basedOn w:val="TOC4"/>
    <w:semiHidden/>
    <w:rsid w:val="000E1FFF"/>
  </w:style>
  <w:style w:type="paragraph" w:styleId="TOC6">
    <w:name w:val="toc 6"/>
    <w:basedOn w:val="TOC4"/>
    <w:semiHidden/>
    <w:rsid w:val="000E1FFF"/>
  </w:style>
  <w:style w:type="paragraph" w:styleId="TOC7">
    <w:name w:val="toc 7"/>
    <w:basedOn w:val="TOC4"/>
    <w:semiHidden/>
    <w:rsid w:val="000E1FFF"/>
  </w:style>
  <w:style w:type="paragraph" w:styleId="TOC8">
    <w:name w:val="toc 8"/>
    <w:basedOn w:val="TOC4"/>
    <w:semiHidden/>
    <w:rsid w:val="000E1FFF"/>
  </w:style>
  <w:style w:type="character" w:customStyle="1" w:styleId="Appdef">
    <w:name w:val="App_def"/>
    <w:basedOn w:val="DefaultParagraphFont"/>
    <w:rsid w:val="000E1FF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E1FFF"/>
  </w:style>
  <w:style w:type="character" w:customStyle="1" w:styleId="Artdef">
    <w:name w:val="Art_def"/>
    <w:basedOn w:val="DefaultParagraphFont"/>
    <w:rsid w:val="000E1FF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0E1FFF"/>
  </w:style>
  <w:style w:type="paragraph" w:customStyle="1" w:styleId="Reftitle">
    <w:name w:val="Ref_title"/>
    <w:basedOn w:val="Normal"/>
    <w:next w:val="Reftext"/>
    <w:rsid w:val="000E1FFF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0E1FFF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0E1FFF"/>
    <w:rPr>
      <w:b/>
      <w:color w:val="auto"/>
    </w:rPr>
  </w:style>
  <w:style w:type="paragraph" w:customStyle="1" w:styleId="Formal">
    <w:name w:val="Formal"/>
    <w:basedOn w:val="ASN1"/>
    <w:rsid w:val="000E1FFF"/>
    <w:rPr>
      <w:b w:val="0"/>
    </w:rPr>
  </w:style>
  <w:style w:type="paragraph" w:customStyle="1" w:styleId="FooterQP">
    <w:name w:val="Footer_QP"/>
    <w:basedOn w:val="Normal"/>
    <w:rsid w:val="000E1FF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0E1FFF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0E1FF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0E1FF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0E1FFF"/>
  </w:style>
  <w:style w:type="paragraph" w:customStyle="1" w:styleId="RepNoBR">
    <w:name w:val="Rep_No_BR"/>
    <w:basedOn w:val="RecNoBR"/>
    <w:next w:val="Reptitle"/>
    <w:rsid w:val="000E1FFF"/>
  </w:style>
  <w:style w:type="paragraph" w:customStyle="1" w:styleId="ResNoBR">
    <w:name w:val="Res_No_BR"/>
    <w:basedOn w:val="RecNoBR"/>
    <w:next w:val="Restitle"/>
    <w:rsid w:val="000E1FFF"/>
  </w:style>
  <w:style w:type="paragraph" w:customStyle="1" w:styleId="TabletitleBR">
    <w:name w:val="Table_title_BR"/>
    <w:basedOn w:val="Normal"/>
    <w:next w:val="Tablehead"/>
    <w:rsid w:val="000E1FFF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0E1FFF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0E1FFF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0E1FFF"/>
    <w:rPr>
      <w:b/>
    </w:rPr>
  </w:style>
  <w:style w:type="paragraph" w:customStyle="1" w:styleId="FiguretitleBR">
    <w:name w:val="Figure_title_BR"/>
    <w:basedOn w:val="TabletitleBR"/>
    <w:next w:val="Figurewithouttitle"/>
    <w:rsid w:val="000E1FFF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0E1FFF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aapinfo/" TargetMode="External"/><Relationship Id="rId18" Type="http://schemas.openxmlformats.org/officeDocument/2006/relationships/hyperlink" Target="mailto:tsbsg3@itu.int" TargetMode="External"/><Relationship Id="rId26" Type="http://schemas.openxmlformats.org/officeDocument/2006/relationships/hyperlink" Target="mailto:tsbsg12@itu.int" TargetMode="External"/><Relationship Id="rId39" Type="http://schemas.openxmlformats.org/officeDocument/2006/relationships/hyperlink" Target="http://www.itu.int/itu-t/aap/AAPRecDetails.aspx?AAPSeqNo=2181" TargetMode="External"/><Relationship Id="rId21" Type="http://schemas.openxmlformats.org/officeDocument/2006/relationships/hyperlink" Target="http://www.itu.int/ITU-T/studygroups/com09" TargetMode="External"/><Relationship Id="rId34" Type="http://schemas.openxmlformats.org/officeDocument/2006/relationships/hyperlink" Target="mailto:tsbsg17@itu.int" TargetMode="External"/><Relationship Id="rId42" Type="http://schemas.openxmlformats.org/officeDocument/2006/relationships/hyperlink" Target="http://www.itu.int/itu-t/aap/AAPRecDetails.aspx?AAPSeqNo=2098" TargetMode="External"/><Relationship Id="rId47" Type="http://schemas.openxmlformats.org/officeDocument/2006/relationships/hyperlink" Target="http://www.itu.int/itu-t/aap/AAPRecDetails.aspx?AAPSeqNo=2146" TargetMode="External"/><Relationship Id="rId50" Type="http://schemas.openxmlformats.org/officeDocument/2006/relationships/hyperlink" Target="http://www.itu.int/itu-t/aap/AAPRecDetails.aspx?AAPSeqNo=2171" TargetMode="External"/><Relationship Id="rId55" Type="http://schemas.openxmlformats.org/officeDocument/2006/relationships/header" Target="header2.xml"/><Relationship Id="rId63" Type="http://schemas.openxmlformats.org/officeDocument/2006/relationships/hyperlink" Target="mailto:tsbsg....@itu.int" TargetMode="Externa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mailto:tsbsg2@itu.int" TargetMode="External"/><Relationship Id="rId29" Type="http://schemas.openxmlformats.org/officeDocument/2006/relationships/hyperlink" Target="http://www.itu.int/ITU-T/studygroups/com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mailto:tsbsg11@itu.int" TargetMode="External"/><Relationship Id="rId32" Type="http://schemas.openxmlformats.org/officeDocument/2006/relationships/hyperlink" Target="mailto:tsbsg16@itu.int" TargetMode="External"/><Relationship Id="rId37" Type="http://schemas.openxmlformats.org/officeDocument/2006/relationships/hyperlink" Target="http://www.itu.int/itu-t/aap/AAPRecDetails.aspx?AAPSeqNo=2179" TargetMode="External"/><Relationship Id="rId40" Type="http://schemas.openxmlformats.org/officeDocument/2006/relationships/hyperlink" Target="http://www.itu.int/itu-t/aap/AAPRecDetails.aspx?AAPSeqNo=2176" TargetMode="External"/><Relationship Id="rId45" Type="http://schemas.openxmlformats.org/officeDocument/2006/relationships/hyperlink" Target="http://www.itu.int/itu-t/aap/AAPRecDetails.aspx?AAPSeqNo=2101" TargetMode="External"/><Relationship Id="rId53" Type="http://schemas.openxmlformats.org/officeDocument/2006/relationships/hyperlink" Target="http://www.itu.int/itu-t/aap/AAPRecDetails.aspx?AAPSeqNo=2163" TargetMode="External"/><Relationship Id="rId58" Type="http://schemas.openxmlformats.org/officeDocument/2006/relationships/image" Target="media/image2.gif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studygroups/com02" TargetMode="External"/><Relationship Id="rId23" Type="http://schemas.openxmlformats.org/officeDocument/2006/relationships/hyperlink" Target="http://www.itu.int/ITU-T/studygroups/com11" TargetMode="External"/><Relationship Id="rId28" Type="http://schemas.openxmlformats.org/officeDocument/2006/relationships/hyperlink" Target="mailto:tsbsg13@itu.int" TargetMode="External"/><Relationship Id="rId36" Type="http://schemas.openxmlformats.org/officeDocument/2006/relationships/hyperlink" Target="http://www.itu.int/itu-t/aap/AAPRecDetails.aspx?AAPSeqNo=2178" TargetMode="External"/><Relationship Id="rId49" Type="http://schemas.openxmlformats.org/officeDocument/2006/relationships/hyperlink" Target="http://www.itu.int/itu-t/aap/AAPRecDetails.aspx?AAPSeqNo=2170" TargetMode="External"/><Relationship Id="rId57" Type="http://schemas.openxmlformats.org/officeDocument/2006/relationships/hyperlink" Target="http://www.itu.int/ITU-T/aap/" TargetMode="External"/><Relationship Id="rId61" Type="http://schemas.openxmlformats.org/officeDocument/2006/relationships/image" Target="media/image5.gif"/><Relationship Id="rId10" Type="http://schemas.openxmlformats.org/officeDocument/2006/relationships/footer" Target="footer1.xml"/><Relationship Id="rId19" Type="http://schemas.openxmlformats.org/officeDocument/2006/relationships/hyperlink" Target="http://www.itu.int/ITU-T/studygroups/com05" TargetMode="External"/><Relationship Id="rId31" Type="http://schemas.openxmlformats.org/officeDocument/2006/relationships/hyperlink" Target="http://www.itu.int/ITU-T/studygroups/com16" TargetMode="External"/><Relationship Id="rId44" Type="http://schemas.openxmlformats.org/officeDocument/2006/relationships/hyperlink" Target="http://www.itu.int/itu-t/aap/AAPRecDetails.aspx?AAPSeqNo=2099" TargetMode="External"/><Relationship Id="rId52" Type="http://schemas.openxmlformats.org/officeDocument/2006/relationships/hyperlink" Target="http://www.itu.int/itu-t/aap/AAPRecDetails.aspx?AAPSeqNo=2175" TargetMode="External"/><Relationship Id="rId60" Type="http://schemas.openxmlformats.org/officeDocument/2006/relationships/image" Target="media/image4.gif"/><Relationship Id="rId65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itu.int/ITU-T/aap/" TargetMode="External"/><Relationship Id="rId22" Type="http://schemas.openxmlformats.org/officeDocument/2006/relationships/hyperlink" Target="mailto:tsbsg9@itu.int" TargetMode="External"/><Relationship Id="rId27" Type="http://schemas.openxmlformats.org/officeDocument/2006/relationships/hyperlink" Target="http://www.itu.int/ITU-T/studygroups/com13" TargetMode="External"/><Relationship Id="rId30" Type="http://schemas.openxmlformats.org/officeDocument/2006/relationships/hyperlink" Target="mailto:tsbsg15@itu.int" TargetMode="External"/><Relationship Id="rId35" Type="http://schemas.openxmlformats.org/officeDocument/2006/relationships/hyperlink" Target="http://www.itu.int/itu-t/aap/AAPRecDetails.aspx?AAPSeqNo=2185" TargetMode="External"/><Relationship Id="rId43" Type="http://schemas.openxmlformats.org/officeDocument/2006/relationships/hyperlink" Target="http://www.itu.int/itu-t/aap/AAPRecDetails.aspx?AAPSeqNo=2100" TargetMode="External"/><Relationship Id="rId48" Type="http://schemas.openxmlformats.org/officeDocument/2006/relationships/hyperlink" Target="http://www.itu.int/itu-t/aap/AAPRecDetails.aspx?AAPSeqNo=2145" TargetMode="External"/><Relationship Id="rId56" Type="http://schemas.openxmlformats.org/officeDocument/2006/relationships/footer" Target="footer3.xml"/><Relationship Id="rId64" Type="http://schemas.openxmlformats.org/officeDocument/2006/relationships/header" Target="header3.xml"/><Relationship Id="rId8" Type="http://schemas.openxmlformats.org/officeDocument/2006/relationships/hyperlink" Target="http://www.itu.int/ITU-T/aap/" TargetMode="External"/><Relationship Id="rId51" Type="http://schemas.openxmlformats.org/officeDocument/2006/relationships/hyperlink" Target="http://www.itu.int/itu-t/aap/AAPRecDetails.aspx?AAPSeqNo=217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tu.int/ITU-T/" TargetMode="External"/><Relationship Id="rId17" Type="http://schemas.openxmlformats.org/officeDocument/2006/relationships/hyperlink" Target="http://www.itu.int/ITU-T/studygroups/com03" TargetMode="External"/><Relationship Id="rId25" Type="http://schemas.openxmlformats.org/officeDocument/2006/relationships/hyperlink" Target="http://www.itu.int/ITU-T/studygroups/com12" TargetMode="External"/><Relationship Id="rId33" Type="http://schemas.openxmlformats.org/officeDocument/2006/relationships/hyperlink" Target="http://www.itu.int/ITU-T/studygroups/com17" TargetMode="External"/><Relationship Id="rId38" Type="http://schemas.openxmlformats.org/officeDocument/2006/relationships/hyperlink" Target="http://www.itu.int/itu-t/aap/AAPRecDetails.aspx?AAPSeqNo=2180" TargetMode="External"/><Relationship Id="rId46" Type="http://schemas.openxmlformats.org/officeDocument/2006/relationships/hyperlink" Target="http://www.itu.int/itu-t/aap/AAPRecDetails.aspx?AAPSeqNo=2131" TargetMode="External"/><Relationship Id="rId59" Type="http://schemas.openxmlformats.org/officeDocument/2006/relationships/image" Target="media/image3.gif"/><Relationship Id="rId67" Type="http://schemas.openxmlformats.org/officeDocument/2006/relationships/theme" Target="theme/theme1.xml"/><Relationship Id="rId20" Type="http://schemas.openxmlformats.org/officeDocument/2006/relationships/hyperlink" Target="mailto:tsbsg5@itu.int" TargetMode="External"/><Relationship Id="rId41" Type="http://schemas.openxmlformats.org/officeDocument/2006/relationships/hyperlink" Target="http://www.itu.int/itu-t/aap/AAPRecDetails.aspx?AAPSeqNo=2177" TargetMode="External"/><Relationship Id="rId54" Type="http://schemas.openxmlformats.org/officeDocument/2006/relationships/hyperlink" Target="http://www.itu.int/itu-t/aap/AAPRecDetails.aspx?AAPSeqNo=2165" TargetMode="External"/><Relationship Id="rId62" Type="http://schemas.openxmlformats.org/officeDocument/2006/relationships/hyperlink" Target="http://www.itu.int/ITU-T/aapinfo/files/AAPTutorial.pdf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1627</Words>
  <Characters>9274</Characters>
  <Application>Microsoft Office Word</Application>
  <DocSecurity>0</DocSecurity>
  <Lines>77</Lines>
  <Paragraphs>21</Paragraphs>
  <ScaleCrop>false</ScaleCrop>
  <Company/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ranaivoj</dc:creator>
  <cp:keywords/>
  <dc:description/>
  <cp:lastModifiedBy>ranaivoj</cp:lastModifiedBy>
  <cp:revision>2</cp:revision>
  <dcterms:created xsi:type="dcterms:W3CDTF">2010-10-15T13:29:00Z</dcterms:created>
  <dcterms:modified xsi:type="dcterms:W3CDTF">2010-10-15T13:29:00Z</dcterms:modified>
</cp:coreProperties>
</file>