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57" w:type="dxa"/>
          <w:right w:w="57" w:type="dxa"/>
        </w:tblCellMar>
        <w:tblLook w:val="0000" w:firstRow="0" w:lastRow="0" w:firstColumn="0" w:lastColumn="0" w:noHBand="0" w:noVBand="0"/>
      </w:tblPr>
      <w:tblGrid>
        <w:gridCol w:w="1324"/>
        <w:gridCol w:w="186"/>
        <w:gridCol w:w="3097"/>
        <w:gridCol w:w="459"/>
        <w:gridCol w:w="1037"/>
        <w:gridCol w:w="3109"/>
      </w:tblGrid>
      <w:tr w:rsidR="0065234D" w:rsidTr="0064646F">
        <w:trPr>
          <w:cantSplit/>
        </w:trPr>
        <w:tc>
          <w:tcPr>
            <w:tcW w:w="1324"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0BD2AC64" wp14:editId="2C2C4235">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779" w:type="dxa"/>
            <w:gridSpan w:val="4"/>
          </w:tcPr>
          <w:p w:rsidR="0065234D" w:rsidRDefault="0065234D">
            <w:pPr>
              <w:rPr>
                <w:sz w:val="20"/>
              </w:rPr>
            </w:pPr>
            <w:r>
              <w:rPr>
                <w:sz w:val="20"/>
              </w:rPr>
              <w:t>INTERNATIONAL TELECOMMUNICATION UNION</w:t>
            </w:r>
          </w:p>
        </w:tc>
        <w:tc>
          <w:tcPr>
            <w:tcW w:w="3109" w:type="dxa"/>
          </w:tcPr>
          <w:p w:rsidR="0065234D" w:rsidRDefault="0065234D" w:rsidP="001777E2">
            <w:pPr>
              <w:jc w:val="right"/>
              <w:rPr>
                <w:b/>
                <w:sz w:val="28"/>
              </w:rPr>
            </w:pPr>
            <w:r>
              <w:rPr>
                <w:b/>
                <w:sz w:val="28"/>
              </w:rPr>
              <w:t xml:space="preserve">Document No </w:t>
            </w:r>
            <w:r w:rsidR="001777E2">
              <w:rPr>
                <w:b/>
                <w:sz w:val="28"/>
              </w:rPr>
              <w:t>6</w:t>
            </w:r>
          </w:p>
        </w:tc>
      </w:tr>
      <w:tr w:rsidR="0065234D" w:rsidTr="0064646F">
        <w:trPr>
          <w:cantSplit/>
          <w:trHeight w:val="355"/>
        </w:trPr>
        <w:tc>
          <w:tcPr>
            <w:tcW w:w="1324" w:type="dxa"/>
            <w:vMerge/>
          </w:tcPr>
          <w:p w:rsidR="0065234D" w:rsidRDefault="0065234D">
            <w:bookmarkStart w:id="3" w:name="ddate" w:colFirst="2" w:colLast="2"/>
            <w:bookmarkEnd w:id="1"/>
          </w:p>
        </w:tc>
        <w:tc>
          <w:tcPr>
            <w:tcW w:w="3742" w:type="dxa"/>
            <w:gridSpan w:val="3"/>
            <w:vMerge w:val="restart"/>
          </w:tcPr>
          <w:p w:rsidR="0065234D" w:rsidRDefault="0065234D">
            <w:pPr>
              <w:rPr>
                <w:b/>
                <w:bCs/>
                <w:sz w:val="26"/>
              </w:rPr>
            </w:pPr>
            <w:r>
              <w:rPr>
                <w:b/>
                <w:bCs/>
                <w:sz w:val="26"/>
              </w:rPr>
              <w:t>TELECOMMUNICATION</w:t>
            </w:r>
            <w:r>
              <w:rPr>
                <w:b/>
                <w:bCs/>
                <w:sz w:val="26"/>
              </w:rPr>
              <w:br/>
              <w:t>STANDARDIZATION SECTOR</w:t>
            </w:r>
          </w:p>
          <w:p w:rsidR="0065234D" w:rsidRDefault="003A6BCB">
            <w:pPr>
              <w:rPr>
                <w:smallCaps/>
                <w:sz w:val="20"/>
              </w:rPr>
            </w:pPr>
            <w:r w:rsidRPr="003A6BCB">
              <w:rPr>
                <w:sz w:val="20"/>
              </w:rPr>
              <w:t>STUDY PERIOD 2009-2012</w:t>
            </w:r>
          </w:p>
        </w:tc>
        <w:tc>
          <w:tcPr>
            <w:tcW w:w="4146" w:type="dxa"/>
            <w:gridSpan w:val="2"/>
          </w:tcPr>
          <w:p w:rsidR="0065234D" w:rsidRDefault="00FF7E1E" w:rsidP="00FF7E1E">
            <w:pPr>
              <w:jc w:val="right"/>
              <w:rPr>
                <w:b/>
                <w:bCs/>
                <w:sz w:val="28"/>
              </w:rPr>
            </w:pPr>
            <w:r>
              <w:rPr>
                <w:b/>
                <w:bCs/>
                <w:sz w:val="28"/>
              </w:rPr>
              <w:t xml:space="preserve">9 </w:t>
            </w:r>
            <w:r w:rsidR="003A6BCB">
              <w:rPr>
                <w:b/>
                <w:bCs/>
                <w:sz w:val="28"/>
              </w:rPr>
              <w:t>May 2012</w:t>
            </w:r>
          </w:p>
        </w:tc>
      </w:tr>
      <w:tr w:rsidR="0065234D" w:rsidTr="0064646F">
        <w:trPr>
          <w:cantSplit/>
          <w:trHeight w:val="780"/>
        </w:trPr>
        <w:tc>
          <w:tcPr>
            <w:tcW w:w="1324" w:type="dxa"/>
            <w:vMerge/>
            <w:tcBorders>
              <w:bottom w:val="single" w:sz="12" w:space="0" w:color="auto"/>
            </w:tcBorders>
          </w:tcPr>
          <w:p w:rsidR="0065234D" w:rsidRDefault="0065234D">
            <w:bookmarkStart w:id="4" w:name="dorlang" w:colFirst="2" w:colLast="2"/>
            <w:bookmarkEnd w:id="3"/>
          </w:p>
        </w:tc>
        <w:tc>
          <w:tcPr>
            <w:tcW w:w="3742" w:type="dxa"/>
            <w:gridSpan w:val="3"/>
            <w:vMerge/>
            <w:tcBorders>
              <w:bottom w:val="single" w:sz="12" w:space="0" w:color="auto"/>
            </w:tcBorders>
          </w:tcPr>
          <w:p w:rsidR="0065234D" w:rsidRDefault="0065234D">
            <w:pPr>
              <w:rPr>
                <w:b/>
                <w:bCs/>
                <w:sz w:val="26"/>
              </w:rPr>
            </w:pPr>
          </w:p>
        </w:tc>
        <w:tc>
          <w:tcPr>
            <w:tcW w:w="4146" w:type="dxa"/>
            <w:gridSpan w:val="2"/>
            <w:tcBorders>
              <w:bottom w:val="single" w:sz="12" w:space="0" w:color="auto"/>
            </w:tcBorders>
            <w:vAlign w:val="center"/>
          </w:tcPr>
          <w:p w:rsidR="0065234D" w:rsidRDefault="0065234D" w:rsidP="00A951BC">
            <w:pPr>
              <w:jc w:val="right"/>
              <w:rPr>
                <w:b/>
                <w:bCs/>
                <w:sz w:val="28"/>
              </w:rPr>
            </w:pPr>
            <w:r>
              <w:rPr>
                <w:b/>
                <w:bCs/>
                <w:sz w:val="28"/>
              </w:rPr>
              <w:t xml:space="preserve">Original: </w:t>
            </w:r>
            <w:r w:rsidR="00A951BC">
              <w:rPr>
                <w:b/>
                <w:bCs/>
                <w:sz w:val="28"/>
              </w:rPr>
              <w:t>English</w:t>
            </w:r>
            <w:r>
              <w:rPr>
                <w:b/>
                <w:bCs/>
                <w:sz w:val="28"/>
              </w:rPr>
              <w:t xml:space="preserve">    </w:t>
            </w:r>
          </w:p>
        </w:tc>
      </w:tr>
      <w:tr w:rsidR="00FF7E1E" w:rsidTr="0064646F">
        <w:trPr>
          <w:cantSplit/>
          <w:trHeight w:val="357"/>
        </w:trPr>
        <w:tc>
          <w:tcPr>
            <w:tcW w:w="4607" w:type="dxa"/>
            <w:gridSpan w:val="3"/>
          </w:tcPr>
          <w:p w:rsidR="00FF7E1E" w:rsidRDefault="00FF7E1E" w:rsidP="00FF7E1E">
            <w:pPr>
              <w:rPr>
                <w:b/>
                <w:bCs/>
              </w:rPr>
            </w:pPr>
            <w:bookmarkStart w:id="5" w:name="dtitle" w:colFirst="0" w:colLast="0"/>
            <w:bookmarkEnd w:id="4"/>
            <w:r>
              <w:rPr>
                <w:b/>
                <w:bCs/>
              </w:rPr>
              <w:t>WTSA/WCIT-12 Preparatory Meeting Buenos Aires, Argentina</w:t>
            </w:r>
          </w:p>
        </w:tc>
        <w:tc>
          <w:tcPr>
            <w:tcW w:w="4605" w:type="dxa"/>
            <w:gridSpan w:val="3"/>
          </w:tcPr>
          <w:p w:rsidR="00FF7E1E" w:rsidRDefault="00FF7E1E" w:rsidP="00FF7E1E">
            <w:pPr>
              <w:jc w:val="right"/>
              <w:rPr>
                <w:b/>
                <w:bCs/>
              </w:rPr>
            </w:pPr>
            <w:r>
              <w:rPr>
                <w:b/>
                <w:bCs/>
              </w:rPr>
              <w:t>14-15 May 2012</w:t>
            </w:r>
          </w:p>
        </w:tc>
      </w:tr>
      <w:tr w:rsidR="00FF7E1E" w:rsidTr="0064646F">
        <w:trPr>
          <w:cantSplit/>
          <w:trHeight w:val="357"/>
        </w:trPr>
        <w:tc>
          <w:tcPr>
            <w:tcW w:w="9212" w:type="dxa"/>
            <w:gridSpan w:val="6"/>
          </w:tcPr>
          <w:p w:rsidR="00FF7E1E" w:rsidRDefault="00FF7E1E" w:rsidP="001777E2">
            <w:pPr>
              <w:jc w:val="center"/>
            </w:pPr>
            <w:r w:rsidRPr="00FF7E1E">
              <w:t xml:space="preserve">CONTRIBUTION No </w:t>
            </w:r>
            <w:r w:rsidR="001777E2">
              <w:t>6</w:t>
            </w:r>
          </w:p>
        </w:tc>
      </w:tr>
      <w:tr w:rsidR="0065234D" w:rsidTr="0064646F">
        <w:trPr>
          <w:cantSplit/>
          <w:trHeight w:val="357"/>
        </w:trPr>
        <w:tc>
          <w:tcPr>
            <w:tcW w:w="1510" w:type="dxa"/>
            <w:gridSpan w:val="2"/>
          </w:tcPr>
          <w:p w:rsidR="0065234D" w:rsidRDefault="0065234D">
            <w:pPr>
              <w:rPr>
                <w:b/>
                <w:bCs/>
              </w:rPr>
            </w:pPr>
            <w:bookmarkStart w:id="6" w:name="dsource" w:colFirst="1" w:colLast="1"/>
            <w:bookmarkEnd w:id="5"/>
            <w:r>
              <w:rPr>
                <w:b/>
                <w:bCs/>
              </w:rPr>
              <w:t>Source:</w:t>
            </w:r>
          </w:p>
        </w:tc>
        <w:tc>
          <w:tcPr>
            <w:tcW w:w="7702" w:type="dxa"/>
            <w:gridSpan w:val="4"/>
          </w:tcPr>
          <w:p w:rsidR="0065234D" w:rsidRDefault="00A951BC">
            <w:r>
              <w:t>Brazil</w:t>
            </w:r>
          </w:p>
        </w:tc>
      </w:tr>
      <w:tr w:rsidR="0065234D" w:rsidRPr="00A951BC" w:rsidTr="0064646F">
        <w:trPr>
          <w:cantSplit/>
          <w:trHeight w:val="357"/>
        </w:trPr>
        <w:tc>
          <w:tcPr>
            <w:tcW w:w="1510" w:type="dxa"/>
            <w:gridSpan w:val="2"/>
            <w:tcBorders>
              <w:bottom w:val="single" w:sz="12" w:space="0" w:color="auto"/>
            </w:tcBorders>
          </w:tcPr>
          <w:p w:rsidR="0065234D" w:rsidRDefault="0065234D">
            <w:pPr>
              <w:spacing w:after="120"/>
            </w:pPr>
            <w:bookmarkStart w:id="7" w:name="dtitle1" w:colFirst="1" w:colLast="1"/>
            <w:bookmarkEnd w:id="6"/>
            <w:r>
              <w:rPr>
                <w:b/>
                <w:bCs/>
              </w:rPr>
              <w:t>Title:</w:t>
            </w:r>
          </w:p>
        </w:tc>
        <w:tc>
          <w:tcPr>
            <w:tcW w:w="7702" w:type="dxa"/>
            <w:gridSpan w:val="4"/>
            <w:tcBorders>
              <w:bottom w:val="single" w:sz="12" w:space="0" w:color="auto"/>
            </w:tcBorders>
          </w:tcPr>
          <w:p w:rsidR="0065234D" w:rsidRPr="00A951BC" w:rsidRDefault="001777E2" w:rsidP="00E13497">
            <w:pPr>
              <w:pStyle w:val="Equation"/>
              <w:spacing w:after="120"/>
              <w:rPr>
                <w:bCs/>
                <w:caps/>
                <w:szCs w:val="24"/>
                <w:lang w:val="en-US"/>
              </w:rPr>
            </w:pPr>
            <w:r w:rsidRPr="001777E2">
              <w:rPr>
                <w:bCs/>
                <w:szCs w:val="24"/>
                <w:lang w:val="en-US"/>
              </w:rPr>
              <w:t>International Mobile Roaming Prices</w:t>
            </w:r>
          </w:p>
        </w:tc>
      </w:tr>
      <w:bookmarkEnd w:id="2"/>
      <w:bookmarkEnd w:id="7"/>
    </w:tbl>
    <w:p w:rsidR="001777E2" w:rsidRPr="00EC3C04" w:rsidRDefault="001777E2" w:rsidP="00CA49AA">
      <w:pPr>
        <w:jc w:val="both"/>
        <w:rPr>
          <w:b/>
          <w:sz w:val="22"/>
          <w:szCs w:val="22"/>
        </w:rPr>
      </w:pPr>
    </w:p>
    <w:p w:rsidR="001777E2" w:rsidRDefault="001777E2" w:rsidP="00CA49AA">
      <w:pPr>
        <w:spacing w:after="120"/>
        <w:rPr>
          <w:b/>
          <w:sz w:val="22"/>
          <w:szCs w:val="22"/>
        </w:rPr>
      </w:pPr>
      <w:r>
        <w:rPr>
          <w:b/>
          <w:sz w:val="22"/>
          <w:szCs w:val="22"/>
        </w:rPr>
        <w:t>Background:</w:t>
      </w:r>
    </w:p>
    <w:p w:rsidR="001777E2" w:rsidRDefault="001777E2" w:rsidP="00CA49AA">
      <w:pPr>
        <w:rPr>
          <w:sz w:val="22"/>
          <w:szCs w:val="22"/>
        </w:rPr>
      </w:pPr>
      <w:r>
        <w:rPr>
          <w:sz w:val="22"/>
          <w:szCs w:val="22"/>
        </w:rPr>
        <w:t>T</w:t>
      </w:r>
      <w:r w:rsidRPr="00653C87">
        <w:rPr>
          <w:sz w:val="22"/>
          <w:szCs w:val="22"/>
        </w:rPr>
        <w:t xml:space="preserve">he Secretariat of the World Trade Organization (WTO) notes on </w:t>
      </w:r>
      <w:r>
        <w:rPr>
          <w:sz w:val="22"/>
          <w:szCs w:val="22"/>
        </w:rPr>
        <w:t>i</w:t>
      </w:r>
      <w:r w:rsidRPr="00653C87">
        <w:rPr>
          <w:sz w:val="22"/>
          <w:szCs w:val="22"/>
        </w:rPr>
        <w:t xml:space="preserve">nternational </w:t>
      </w:r>
      <w:r>
        <w:rPr>
          <w:sz w:val="22"/>
          <w:szCs w:val="22"/>
        </w:rPr>
        <w:t>m</w:t>
      </w:r>
      <w:r w:rsidRPr="00653C87">
        <w:rPr>
          <w:sz w:val="22"/>
          <w:szCs w:val="22"/>
        </w:rPr>
        <w:t xml:space="preserve">obile </w:t>
      </w:r>
      <w:r>
        <w:rPr>
          <w:sz w:val="22"/>
          <w:szCs w:val="22"/>
        </w:rPr>
        <w:t>r</w:t>
      </w:r>
      <w:r w:rsidRPr="00653C87">
        <w:rPr>
          <w:sz w:val="22"/>
          <w:szCs w:val="22"/>
        </w:rPr>
        <w:t xml:space="preserve">oaming that some governments consider </w:t>
      </w:r>
      <w:r>
        <w:rPr>
          <w:sz w:val="22"/>
          <w:szCs w:val="22"/>
        </w:rPr>
        <w:t>it</w:t>
      </w:r>
      <w:r w:rsidRPr="00653C87">
        <w:rPr>
          <w:sz w:val="22"/>
          <w:szCs w:val="22"/>
        </w:rPr>
        <w:t xml:space="preserve"> a telecommunication service in which market forces are not functioning properly. The</w:t>
      </w:r>
      <w:r>
        <w:rPr>
          <w:sz w:val="22"/>
          <w:szCs w:val="22"/>
        </w:rPr>
        <w:t>se governments, when examining international mobile roaming</w:t>
      </w:r>
      <w:r w:rsidRPr="00653C87">
        <w:rPr>
          <w:sz w:val="22"/>
          <w:szCs w:val="22"/>
        </w:rPr>
        <w:t xml:space="preserve"> rates across OECD Member States, indicate that roaming charges are unreasonably and </w:t>
      </w:r>
      <w:r>
        <w:rPr>
          <w:sz w:val="22"/>
          <w:szCs w:val="22"/>
        </w:rPr>
        <w:t>unfairly</w:t>
      </w:r>
      <w:r w:rsidRPr="00653C87">
        <w:rPr>
          <w:sz w:val="22"/>
          <w:szCs w:val="22"/>
        </w:rPr>
        <w:t xml:space="preserve"> high in the majority of cases. </w:t>
      </w:r>
      <w:r>
        <w:rPr>
          <w:sz w:val="22"/>
          <w:szCs w:val="22"/>
        </w:rPr>
        <w:t>Information document 14 (</w:t>
      </w:r>
      <w:r w:rsidRPr="00175417">
        <w:rPr>
          <w:sz w:val="22"/>
          <w:szCs w:val="22"/>
        </w:rPr>
        <w:t>CWG-WCIT12/INF</w:t>
      </w:r>
      <w:r>
        <w:rPr>
          <w:sz w:val="22"/>
          <w:szCs w:val="22"/>
        </w:rPr>
        <w:t>-</w:t>
      </w:r>
      <w:r w:rsidRPr="00175417">
        <w:rPr>
          <w:sz w:val="22"/>
          <w:szCs w:val="22"/>
        </w:rPr>
        <w:t>14</w:t>
      </w:r>
      <w:r>
        <w:rPr>
          <w:sz w:val="22"/>
          <w:szCs w:val="22"/>
        </w:rPr>
        <w:t>), presented to the 6</w:t>
      </w:r>
      <w:r w:rsidRPr="00175417">
        <w:rPr>
          <w:sz w:val="22"/>
          <w:szCs w:val="22"/>
          <w:vertAlign w:val="superscript"/>
        </w:rPr>
        <w:t>th</w:t>
      </w:r>
      <w:r>
        <w:rPr>
          <w:sz w:val="22"/>
          <w:szCs w:val="22"/>
        </w:rPr>
        <w:t xml:space="preserve"> meeting of the ITU </w:t>
      </w:r>
      <w:r w:rsidRPr="00521604">
        <w:rPr>
          <w:sz w:val="22"/>
          <w:szCs w:val="22"/>
        </w:rPr>
        <w:t>Council Working Group to Prepare for the 2012 WCIT (CWG-WCIT12)</w:t>
      </w:r>
      <w:r>
        <w:rPr>
          <w:sz w:val="22"/>
          <w:szCs w:val="22"/>
        </w:rPr>
        <w:t xml:space="preserve"> contains the Recommendations of the OCDE countries towards making international mobile roaming services more accessible to the general public, and can be seen as examples of action aimed at decreasing international mobile roaming rates at different levels of intervention.</w:t>
      </w:r>
    </w:p>
    <w:p w:rsidR="001777E2" w:rsidRDefault="001777E2" w:rsidP="00CA49AA">
      <w:pPr>
        <w:rPr>
          <w:sz w:val="22"/>
          <w:szCs w:val="22"/>
        </w:rPr>
      </w:pPr>
      <w:r>
        <w:rPr>
          <w:sz w:val="22"/>
          <w:szCs w:val="22"/>
        </w:rPr>
        <w:t>In fact, international mobile voice and data roaming services usually present prohibitive costs to end consumers traveling abroad, which, in turn, make use of alternative methods of communication that are more fairly priced</w:t>
      </w:r>
      <w:r w:rsidRPr="00175417">
        <w:rPr>
          <w:sz w:val="22"/>
          <w:szCs w:val="22"/>
        </w:rPr>
        <w:t xml:space="preserve"> (e.g., </w:t>
      </w:r>
      <w:proofErr w:type="spellStart"/>
      <w:r w:rsidRPr="00175417">
        <w:rPr>
          <w:sz w:val="22"/>
          <w:szCs w:val="22"/>
        </w:rPr>
        <w:t>Wi-fi</w:t>
      </w:r>
      <w:proofErr w:type="spellEnd"/>
      <w:r w:rsidRPr="00175417">
        <w:rPr>
          <w:sz w:val="22"/>
          <w:szCs w:val="22"/>
        </w:rPr>
        <w:t xml:space="preserve">, VoIP). </w:t>
      </w:r>
      <w:r>
        <w:rPr>
          <w:sz w:val="22"/>
          <w:szCs w:val="22"/>
        </w:rPr>
        <w:t xml:space="preserve">This situation results in </w:t>
      </w:r>
      <w:r w:rsidRPr="00521604">
        <w:rPr>
          <w:sz w:val="22"/>
          <w:szCs w:val="22"/>
        </w:rPr>
        <w:t>idleness and underutilization of the potential of global mobile technologies</w:t>
      </w:r>
      <w:r>
        <w:rPr>
          <w:sz w:val="22"/>
          <w:szCs w:val="22"/>
        </w:rPr>
        <w:t xml:space="preserve"> and networks </w:t>
      </w:r>
      <w:r w:rsidRPr="00521604">
        <w:rPr>
          <w:sz w:val="22"/>
          <w:szCs w:val="22"/>
        </w:rPr>
        <w:t xml:space="preserve">and </w:t>
      </w:r>
      <w:r>
        <w:rPr>
          <w:sz w:val="22"/>
          <w:szCs w:val="22"/>
        </w:rPr>
        <w:t xml:space="preserve">in </w:t>
      </w:r>
      <w:r w:rsidRPr="00521604">
        <w:rPr>
          <w:sz w:val="22"/>
          <w:szCs w:val="22"/>
        </w:rPr>
        <w:t>the use of imperfect substitutes.</w:t>
      </w:r>
    </w:p>
    <w:p w:rsidR="001777E2" w:rsidRPr="00175417" w:rsidRDefault="001777E2" w:rsidP="00CA49AA">
      <w:pPr>
        <w:rPr>
          <w:sz w:val="22"/>
          <w:szCs w:val="22"/>
        </w:rPr>
      </w:pPr>
      <w:r>
        <w:rPr>
          <w:sz w:val="22"/>
          <w:szCs w:val="22"/>
        </w:rPr>
        <w:t>There is no reasonable explanation as to why originating and receiving local calls or accessing mobile data should be much more expensive for users in roaming than for local users, even after the inclusion of clearing house costs and taxes. One can list the following as some of the causes for the discrepancy between local and roaming prices</w:t>
      </w:r>
      <w:r w:rsidRPr="00175417">
        <w:rPr>
          <w:sz w:val="22"/>
          <w:szCs w:val="22"/>
        </w:rPr>
        <w:t>:</w:t>
      </w:r>
    </w:p>
    <w:p w:rsidR="001777E2" w:rsidRDefault="001777E2" w:rsidP="001777E2">
      <w:pPr>
        <w:ind w:left="567"/>
        <w:rPr>
          <w:sz w:val="22"/>
          <w:szCs w:val="22"/>
        </w:rPr>
      </w:pPr>
      <w:r w:rsidRPr="00175417">
        <w:rPr>
          <w:sz w:val="22"/>
          <w:szCs w:val="22"/>
        </w:rPr>
        <w:t xml:space="preserve">- </w:t>
      </w:r>
      <w:proofErr w:type="gramStart"/>
      <w:r>
        <w:rPr>
          <w:sz w:val="22"/>
          <w:szCs w:val="22"/>
        </w:rPr>
        <w:t>lack</w:t>
      </w:r>
      <w:proofErr w:type="gramEnd"/>
      <w:r>
        <w:rPr>
          <w:sz w:val="22"/>
          <w:szCs w:val="22"/>
        </w:rPr>
        <w:t xml:space="preserve"> of choice for the end consumers;</w:t>
      </w:r>
    </w:p>
    <w:p w:rsidR="001777E2" w:rsidRDefault="001777E2" w:rsidP="001777E2">
      <w:pPr>
        <w:ind w:left="567"/>
        <w:rPr>
          <w:sz w:val="22"/>
          <w:szCs w:val="22"/>
        </w:rPr>
      </w:pPr>
      <w:r>
        <w:rPr>
          <w:sz w:val="22"/>
          <w:szCs w:val="22"/>
        </w:rPr>
        <w:t xml:space="preserve">- </w:t>
      </w:r>
      <w:proofErr w:type="gramStart"/>
      <w:r>
        <w:rPr>
          <w:sz w:val="22"/>
          <w:szCs w:val="22"/>
        </w:rPr>
        <w:t>the</w:t>
      </w:r>
      <w:proofErr w:type="gramEnd"/>
      <w:r>
        <w:rPr>
          <w:sz w:val="22"/>
          <w:szCs w:val="22"/>
        </w:rPr>
        <w:t xml:space="preserve"> practice of “cream-skimming” international mobile roaming users</w:t>
      </w:r>
      <w:r w:rsidRPr="00175417">
        <w:rPr>
          <w:sz w:val="22"/>
          <w:szCs w:val="22"/>
        </w:rPr>
        <w:t>;</w:t>
      </w:r>
    </w:p>
    <w:p w:rsidR="001777E2" w:rsidRPr="00175417" w:rsidRDefault="001777E2" w:rsidP="001777E2">
      <w:pPr>
        <w:ind w:left="567"/>
        <w:rPr>
          <w:sz w:val="22"/>
          <w:szCs w:val="22"/>
        </w:rPr>
      </w:pPr>
      <w:r>
        <w:rPr>
          <w:sz w:val="22"/>
          <w:szCs w:val="22"/>
        </w:rPr>
        <w:t xml:space="preserve">- </w:t>
      </w:r>
      <w:proofErr w:type="gramStart"/>
      <w:r>
        <w:rPr>
          <w:sz w:val="22"/>
          <w:szCs w:val="22"/>
        </w:rPr>
        <w:t>the</w:t>
      </w:r>
      <w:proofErr w:type="gramEnd"/>
      <w:r>
        <w:rPr>
          <w:sz w:val="22"/>
          <w:szCs w:val="22"/>
        </w:rPr>
        <w:t xml:space="preserve"> asymmetry of information between operators and end consumers;</w:t>
      </w:r>
    </w:p>
    <w:p w:rsidR="001777E2" w:rsidRPr="00175417" w:rsidRDefault="001777E2" w:rsidP="001777E2">
      <w:pPr>
        <w:ind w:left="567"/>
        <w:rPr>
          <w:sz w:val="22"/>
          <w:szCs w:val="22"/>
        </w:rPr>
      </w:pPr>
      <w:r w:rsidRPr="00175417">
        <w:rPr>
          <w:sz w:val="22"/>
          <w:szCs w:val="22"/>
        </w:rPr>
        <w:t xml:space="preserve">- </w:t>
      </w:r>
      <w:proofErr w:type="gramStart"/>
      <w:r>
        <w:rPr>
          <w:sz w:val="22"/>
          <w:szCs w:val="22"/>
        </w:rPr>
        <w:t>taxation</w:t>
      </w:r>
      <w:proofErr w:type="gramEnd"/>
      <w:r>
        <w:rPr>
          <w:sz w:val="22"/>
          <w:szCs w:val="22"/>
        </w:rPr>
        <w:t xml:space="preserve"> and </w:t>
      </w:r>
      <w:r w:rsidRPr="00175417">
        <w:rPr>
          <w:sz w:val="22"/>
          <w:szCs w:val="22"/>
        </w:rPr>
        <w:t>multi-</w:t>
      </w:r>
      <w:r>
        <w:rPr>
          <w:sz w:val="22"/>
          <w:szCs w:val="22"/>
        </w:rPr>
        <w:t>taxation</w:t>
      </w:r>
      <w:r w:rsidRPr="00175417">
        <w:rPr>
          <w:sz w:val="22"/>
          <w:szCs w:val="22"/>
        </w:rPr>
        <w:t>;</w:t>
      </w:r>
    </w:p>
    <w:p w:rsidR="001777E2" w:rsidRPr="00175417" w:rsidRDefault="001777E2" w:rsidP="001777E2">
      <w:pPr>
        <w:ind w:left="567"/>
        <w:rPr>
          <w:sz w:val="22"/>
          <w:szCs w:val="22"/>
        </w:rPr>
      </w:pPr>
      <w:r w:rsidRPr="00175417">
        <w:rPr>
          <w:sz w:val="22"/>
          <w:szCs w:val="22"/>
        </w:rPr>
        <w:t xml:space="preserve">- </w:t>
      </w:r>
      <w:r>
        <w:rPr>
          <w:sz w:val="22"/>
          <w:szCs w:val="22"/>
        </w:rPr>
        <w:t>billing by the “worst-case scenario” and inclusion of risks of default in the final price</w:t>
      </w:r>
      <w:r w:rsidRPr="00175417">
        <w:rPr>
          <w:sz w:val="22"/>
          <w:szCs w:val="22"/>
        </w:rPr>
        <w:t>;</w:t>
      </w:r>
    </w:p>
    <w:p w:rsidR="001777E2" w:rsidRDefault="001777E2" w:rsidP="001777E2">
      <w:pPr>
        <w:ind w:left="567"/>
        <w:rPr>
          <w:sz w:val="22"/>
          <w:szCs w:val="22"/>
        </w:rPr>
      </w:pPr>
      <w:r>
        <w:rPr>
          <w:sz w:val="22"/>
          <w:szCs w:val="22"/>
        </w:rPr>
        <w:t xml:space="preserve">- </w:t>
      </w:r>
      <w:proofErr w:type="gramStart"/>
      <w:r>
        <w:rPr>
          <w:sz w:val="22"/>
          <w:szCs w:val="22"/>
        </w:rPr>
        <w:t>the</w:t>
      </w:r>
      <w:proofErr w:type="gramEnd"/>
      <w:r>
        <w:rPr>
          <w:sz w:val="22"/>
          <w:szCs w:val="22"/>
        </w:rPr>
        <w:t xml:space="preserve"> inexistence of unified billing methodologies;</w:t>
      </w:r>
    </w:p>
    <w:p w:rsidR="001777E2" w:rsidRDefault="001777E2" w:rsidP="001777E2">
      <w:pPr>
        <w:ind w:left="567"/>
        <w:rPr>
          <w:sz w:val="22"/>
          <w:szCs w:val="22"/>
        </w:rPr>
      </w:pPr>
      <w:r>
        <w:rPr>
          <w:sz w:val="22"/>
          <w:szCs w:val="22"/>
        </w:rPr>
        <w:t xml:space="preserve">- </w:t>
      </w:r>
      <w:proofErr w:type="gramStart"/>
      <w:r>
        <w:rPr>
          <w:sz w:val="22"/>
          <w:szCs w:val="22"/>
        </w:rPr>
        <w:t>the</w:t>
      </w:r>
      <w:proofErr w:type="gramEnd"/>
      <w:r>
        <w:rPr>
          <w:sz w:val="22"/>
          <w:szCs w:val="22"/>
        </w:rPr>
        <w:t xml:space="preserve"> inexistence or inefficiency of service regulation.</w:t>
      </w:r>
    </w:p>
    <w:p w:rsidR="001777E2" w:rsidRDefault="001777E2" w:rsidP="00CA49AA">
      <w:pPr>
        <w:rPr>
          <w:sz w:val="22"/>
          <w:szCs w:val="22"/>
        </w:rPr>
      </w:pPr>
      <w:r>
        <w:rPr>
          <w:sz w:val="22"/>
          <w:szCs w:val="22"/>
        </w:rPr>
        <w:t>In order to increase the utilization of international mobile roaming services, all aspects that contribute to its unfair prices must be tackled. In parallel to dealing with the above mentioned problems, mobile operators should be encouraged to determine prices on international mobile roaming services based on reasonable and fair criteria that effectively benefit end consumers, which will be able to make full use of their mobile devices wherever they go, and mobile operators, which will</w:t>
      </w:r>
      <w:r w:rsidRPr="00634233">
        <w:rPr>
          <w:sz w:val="22"/>
          <w:szCs w:val="22"/>
        </w:rPr>
        <w:t xml:space="preserve"> fully utiliz</w:t>
      </w:r>
      <w:r>
        <w:rPr>
          <w:sz w:val="22"/>
          <w:szCs w:val="22"/>
        </w:rPr>
        <w:t>e</w:t>
      </w:r>
      <w:r w:rsidRPr="00634233">
        <w:rPr>
          <w:sz w:val="22"/>
          <w:szCs w:val="22"/>
        </w:rPr>
        <w:t xml:space="preserve"> the capacity of their networks and </w:t>
      </w:r>
      <w:r>
        <w:rPr>
          <w:sz w:val="22"/>
          <w:szCs w:val="22"/>
        </w:rPr>
        <w:t xml:space="preserve">perceive </w:t>
      </w:r>
      <w:r w:rsidRPr="00634233">
        <w:rPr>
          <w:sz w:val="22"/>
          <w:szCs w:val="22"/>
        </w:rPr>
        <w:t xml:space="preserve">economies of scale from </w:t>
      </w:r>
      <w:r>
        <w:rPr>
          <w:sz w:val="22"/>
          <w:szCs w:val="22"/>
        </w:rPr>
        <w:t>the great increase</w:t>
      </w:r>
      <w:r w:rsidRPr="00634233">
        <w:rPr>
          <w:sz w:val="22"/>
          <w:szCs w:val="22"/>
        </w:rPr>
        <w:t xml:space="preserve"> </w:t>
      </w:r>
      <w:r>
        <w:rPr>
          <w:sz w:val="22"/>
          <w:szCs w:val="22"/>
        </w:rPr>
        <w:t xml:space="preserve">in </w:t>
      </w:r>
      <w:r w:rsidRPr="00634233">
        <w:rPr>
          <w:sz w:val="22"/>
          <w:szCs w:val="22"/>
        </w:rPr>
        <w:t xml:space="preserve">the number of </w:t>
      </w:r>
      <w:r>
        <w:rPr>
          <w:sz w:val="22"/>
          <w:szCs w:val="22"/>
        </w:rPr>
        <w:t xml:space="preserve">international roaming </w:t>
      </w:r>
      <w:r w:rsidRPr="00634233">
        <w:rPr>
          <w:sz w:val="22"/>
          <w:szCs w:val="22"/>
        </w:rPr>
        <w:t>users.</w:t>
      </w:r>
    </w:p>
    <w:p w:rsidR="001777E2" w:rsidRDefault="001777E2" w:rsidP="00CA49AA">
      <w:pPr>
        <w:jc w:val="both"/>
        <w:rPr>
          <w:b/>
          <w:sz w:val="22"/>
          <w:szCs w:val="22"/>
        </w:rPr>
      </w:pPr>
      <w:r w:rsidRPr="00CD6AA7">
        <w:rPr>
          <w:b/>
          <w:sz w:val="22"/>
          <w:szCs w:val="22"/>
        </w:rPr>
        <w:lastRenderedPageBreak/>
        <w:t>Proposal</w:t>
      </w:r>
      <w:r>
        <w:rPr>
          <w:b/>
          <w:sz w:val="22"/>
          <w:szCs w:val="22"/>
        </w:rPr>
        <w:t>:</w:t>
      </w:r>
    </w:p>
    <w:p w:rsidR="001777E2" w:rsidRDefault="001777E2" w:rsidP="00CA49AA">
      <w:pPr>
        <w:rPr>
          <w:sz w:val="22"/>
          <w:szCs w:val="22"/>
        </w:rPr>
      </w:pPr>
      <w:r w:rsidRPr="00CF7343">
        <w:rPr>
          <w:sz w:val="22"/>
          <w:szCs w:val="22"/>
        </w:rPr>
        <w:t xml:space="preserve">To include </w:t>
      </w:r>
      <w:r>
        <w:rPr>
          <w:sz w:val="22"/>
          <w:szCs w:val="22"/>
        </w:rPr>
        <w:t>the following provisions</w:t>
      </w:r>
      <w:r w:rsidRPr="00CF7343">
        <w:rPr>
          <w:sz w:val="22"/>
          <w:szCs w:val="22"/>
        </w:rPr>
        <w:t xml:space="preserve"> in Article </w:t>
      </w:r>
      <w:r>
        <w:rPr>
          <w:sz w:val="22"/>
          <w:szCs w:val="22"/>
        </w:rPr>
        <w:t>6, “Charging and Accounting”,</w:t>
      </w:r>
      <w:r w:rsidRPr="00CF7343">
        <w:rPr>
          <w:sz w:val="22"/>
          <w:szCs w:val="22"/>
        </w:rPr>
        <w:t xml:space="preserve"> of the International Telecommunication Regulations</w:t>
      </w:r>
      <w:r>
        <w:rPr>
          <w:sz w:val="22"/>
          <w:szCs w:val="22"/>
        </w:rPr>
        <w:t>:</w:t>
      </w:r>
    </w:p>
    <w:p w:rsidR="001777E2" w:rsidRDefault="001777E2" w:rsidP="00CA49AA">
      <w:pPr>
        <w:rPr>
          <w:sz w:val="22"/>
          <w:szCs w:val="22"/>
        </w:rPr>
      </w:pPr>
      <w:bookmarkStart w:id="8" w:name="_GoBack"/>
      <w:bookmarkEnd w:id="8"/>
      <w:r>
        <w:rPr>
          <w:sz w:val="22"/>
          <w:szCs w:val="22"/>
        </w:rPr>
        <w:t>“Member States shall encourage Operating Agencies to establish international mobile roaming prices based on the principles of fairness, reasonability, non-discrimination and similarity to prices applied to local users of the visited Operating Agency.”</w:t>
      </w:r>
    </w:p>
    <w:p w:rsidR="001777E2" w:rsidRPr="00953DB2" w:rsidRDefault="001777E2" w:rsidP="00CA49AA">
      <w:pPr>
        <w:rPr>
          <w:sz w:val="22"/>
          <w:szCs w:val="22"/>
        </w:rPr>
      </w:pPr>
    </w:p>
    <w:p w:rsidR="001777E2" w:rsidRDefault="001777E2" w:rsidP="00CA49AA">
      <w:pPr>
        <w:jc w:val="center"/>
      </w:pPr>
      <w:r w:rsidRPr="00CD6AA7">
        <w:rPr>
          <w:sz w:val="22"/>
          <w:szCs w:val="22"/>
        </w:rPr>
        <w:t>__________</w:t>
      </w:r>
    </w:p>
    <w:p w:rsidR="0065234D" w:rsidRDefault="0065234D" w:rsidP="001777E2">
      <w:pPr>
        <w:jc w:val="both"/>
      </w:pPr>
    </w:p>
    <w:sectPr w:rsidR="0065234D">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1E" w:rsidRDefault="00FF7E1E">
      <w:r>
        <w:separator/>
      </w:r>
    </w:p>
  </w:endnote>
  <w:endnote w:type="continuationSeparator" w:id="0">
    <w:p w:rsidR="00FF7E1E" w:rsidRDefault="00F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F7E1E" w:rsidTr="005F1AC3">
      <w:trPr>
        <w:cantSplit/>
        <w:trHeight w:val="204"/>
        <w:jc w:val="center"/>
      </w:trPr>
      <w:tc>
        <w:tcPr>
          <w:tcW w:w="1617" w:type="dxa"/>
          <w:tcBorders>
            <w:top w:val="single" w:sz="12" w:space="0" w:color="auto"/>
          </w:tcBorders>
        </w:tcPr>
        <w:p w:rsidR="00FF7E1E" w:rsidRDefault="00FF7E1E" w:rsidP="005F1AC3">
          <w:pPr>
            <w:rPr>
              <w:b/>
              <w:bCs/>
              <w:sz w:val="22"/>
            </w:rPr>
          </w:pPr>
        </w:p>
      </w:tc>
      <w:tc>
        <w:tcPr>
          <w:tcW w:w="4394" w:type="dxa"/>
          <w:tcBorders>
            <w:top w:val="single" w:sz="12" w:space="0" w:color="auto"/>
          </w:tcBorders>
        </w:tcPr>
        <w:p w:rsidR="00FF7E1E" w:rsidRDefault="00FF7E1E" w:rsidP="005F1AC3">
          <w:pPr>
            <w:spacing w:before="0"/>
            <w:rPr>
              <w:sz w:val="22"/>
            </w:rPr>
          </w:pPr>
        </w:p>
      </w:tc>
      <w:tc>
        <w:tcPr>
          <w:tcW w:w="3912" w:type="dxa"/>
          <w:tcBorders>
            <w:top w:val="single" w:sz="12" w:space="0" w:color="auto"/>
          </w:tcBorders>
        </w:tcPr>
        <w:p w:rsidR="00FF7E1E" w:rsidRPr="00AB52AF" w:rsidRDefault="00FF7E1E" w:rsidP="005F1AC3">
          <w:pPr>
            <w:spacing w:before="0"/>
            <w:rPr>
              <w:sz w:val="22"/>
            </w:rPr>
          </w:pPr>
        </w:p>
      </w:tc>
    </w:tr>
    <w:tr w:rsidR="00FF7E1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F7E1E" w:rsidRDefault="00FF7E1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F7E1E" w:rsidRDefault="00FF7E1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1E" w:rsidRDefault="00FF7E1E">
      <w:r>
        <w:separator/>
      </w:r>
    </w:p>
  </w:footnote>
  <w:footnote w:type="continuationSeparator" w:id="0">
    <w:p w:rsidR="00FF7E1E" w:rsidRDefault="00FF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1E" w:rsidRDefault="00FF7E1E" w:rsidP="005F1AC3">
    <w:pPr>
      <w:pStyle w:val="Header"/>
    </w:pPr>
    <w:r>
      <w:t xml:space="preserve">- </w:t>
    </w:r>
    <w:r>
      <w:fldChar w:fldCharType="begin"/>
    </w:r>
    <w:r>
      <w:instrText xml:space="preserve"> PAGE  \* MERGEFORMAT </w:instrText>
    </w:r>
    <w:r>
      <w:fldChar w:fldCharType="separate"/>
    </w:r>
    <w:r w:rsidR="001777E2">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7">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7"/>
  </w:num>
  <w:num w:numId="8">
    <w:abstractNumId w:val="8"/>
  </w:num>
  <w:num w:numId="9">
    <w:abstractNumId w:val="1"/>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020E80"/>
    <w:rsid w:val="001777E2"/>
    <w:rsid w:val="00191E9A"/>
    <w:rsid w:val="003A6BCB"/>
    <w:rsid w:val="005F1AC3"/>
    <w:rsid w:val="00635472"/>
    <w:rsid w:val="0064646F"/>
    <w:rsid w:val="0065234D"/>
    <w:rsid w:val="0091162D"/>
    <w:rsid w:val="00A4511B"/>
    <w:rsid w:val="00A951BC"/>
    <w:rsid w:val="00C30F2A"/>
    <w:rsid w:val="00C51AB5"/>
    <w:rsid w:val="00D46733"/>
    <w:rsid w:val="00E13497"/>
    <w:rsid w:val="00EB2911"/>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99"/>
    <w:qFormat/>
    <w:rsid w:val="0091162D"/>
    <w:pPr>
      <w:ind w:left="720"/>
      <w:contextualSpacing/>
      <w:textAlignment w:val="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99"/>
    <w:qFormat/>
    <w:rsid w:val="0091162D"/>
    <w:pPr>
      <w:ind w:left="720"/>
      <w:contextualSpacing/>
      <w:textAlignment w:val="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1</TotalTime>
  <Pages>2</Pages>
  <Words>481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3</cp:revision>
  <cp:lastPrinted>2012-05-09T07:45:00Z</cp:lastPrinted>
  <dcterms:created xsi:type="dcterms:W3CDTF">2012-05-09T07:56:00Z</dcterms:created>
  <dcterms:modified xsi:type="dcterms:W3CDTF">2012-05-09T07:57:00Z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