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2" w:type="dxa"/>
        <w:tblLayout w:type="fixed"/>
        <w:tblCellMar>
          <w:left w:w="57" w:type="dxa"/>
          <w:right w:w="57" w:type="dxa"/>
        </w:tblCellMar>
        <w:tblLook w:val="0000" w:firstRow="0" w:lastRow="0" w:firstColumn="0" w:lastColumn="0" w:noHBand="0" w:noVBand="0"/>
      </w:tblPr>
      <w:tblGrid>
        <w:gridCol w:w="1324"/>
        <w:gridCol w:w="186"/>
        <w:gridCol w:w="3097"/>
        <w:gridCol w:w="459"/>
        <w:gridCol w:w="1037"/>
        <w:gridCol w:w="3109"/>
      </w:tblGrid>
      <w:tr w:rsidR="0065234D" w:rsidTr="0064646F">
        <w:trPr>
          <w:cantSplit/>
        </w:trPr>
        <w:tc>
          <w:tcPr>
            <w:tcW w:w="1324" w:type="dxa"/>
            <w:vMerge w:val="restart"/>
          </w:tcPr>
          <w:p w:rsidR="0065234D" w:rsidRDefault="003A6BCB">
            <w:bookmarkStart w:id="0" w:name="InsertLogo"/>
            <w:bookmarkStart w:id="1" w:name="dnum" w:colFirst="2" w:colLast="2"/>
            <w:bookmarkStart w:id="2" w:name="dtableau"/>
            <w:bookmarkEnd w:id="0"/>
            <w:r>
              <w:rPr>
                <w:b/>
                <w:noProof/>
                <w:sz w:val="36"/>
                <w:lang w:val="en-US" w:eastAsia="zh-CN"/>
              </w:rPr>
              <w:drawing>
                <wp:inline distT="0" distB="0" distL="0" distR="0" wp14:anchorId="0BD2AC64" wp14:editId="2C2C4235">
                  <wp:extent cx="766445" cy="843280"/>
                  <wp:effectExtent l="0" t="0" r="0" b="0"/>
                  <wp:docPr id="1" name="Picture 1" descr="itu-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o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6445" cy="843280"/>
                          </a:xfrm>
                          <a:prstGeom prst="rect">
                            <a:avLst/>
                          </a:prstGeom>
                          <a:noFill/>
                          <a:ln>
                            <a:noFill/>
                          </a:ln>
                        </pic:spPr>
                      </pic:pic>
                    </a:graphicData>
                  </a:graphic>
                </wp:inline>
              </w:drawing>
            </w:r>
          </w:p>
        </w:tc>
        <w:tc>
          <w:tcPr>
            <w:tcW w:w="4779" w:type="dxa"/>
            <w:gridSpan w:val="4"/>
          </w:tcPr>
          <w:p w:rsidR="0065234D" w:rsidRDefault="0065234D">
            <w:pPr>
              <w:rPr>
                <w:sz w:val="20"/>
              </w:rPr>
            </w:pPr>
            <w:r>
              <w:rPr>
                <w:sz w:val="20"/>
              </w:rPr>
              <w:t>INTERNATIONAL TELECOMMUNICATION UNION</w:t>
            </w:r>
          </w:p>
        </w:tc>
        <w:tc>
          <w:tcPr>
            <w:tcW w:w="3109" w:type="dxa"/>
          </w:tcPr>
          <w:p w:rsidR="0065234D" w:rsidRDefault="0065234D" w:rsidP="00191E9A">
            <w:pPr>
              <w:jc w:val="right"/>
              <w:rPr>
                <w:b/>
                <w:sz w:val="28"/>
              </w:rPr>
            </w:pPr>
            <w:r>
              <w:rPr>
                <w:b/>
                <w:sz w:val="28"/>
              </w:rPr>
              <w:t xml:space="preserve">Document No </w:t>
            </w:r>
            <w:r w:rsidR="00191E9A">
              <w:rPr>
                <w:b/>
                <w:sz w:val="28"/>
              </w:rPr>
              <w:t>4</w:t>
            </w:r>
          </w:p>
        </w:tc>
      </w:tr>
      <w:tr w:rsidR="0065234D" w:rsidTr="0064646F">
        <w:trPr>
          <w:cantSplit/>
          <w:trHeight w:val="355"/>
        </w:trPr>
        <w:tc>
          <w:tcPr>
            <w:tcW w:w="1324" w:type="dxa"/>
            <w:vMerge/>
          </w:tcPr>
          <w:p w:rsidR="0065234D" w:rsidRDefault="0065234D">
            <w:bookmarkStart w:id="3" w:name="ddate" w:colFirst="2" w:colLast="2"/>
            <w:bookmarkEnd w:id="1"/>
          </w:p>
        </w:tc>
        <w:tc>
          <w:tcPr>
            <w:tcW w:w="3742" w:type="dxa"/>
            <w:gridSpan w:val="3"/>
            <w:vMerge w:val="restart"/>
          </w:tcPr>
          <w:p w:rsidR="0065234D" w:rsidRDefault="0065234D">
            <w:pPr>
              <w:rPr>
                <w:b/>
                <w:bCs/>
                <w:sz w:val="26"/>
              </w:rPr>
            </w:pPr>
            <w:r>
              <w:rPr>
                <w:b/>
                <w:bCs/>
                <w:sz w:val="26"/>
              </w:rPr>
              <w:t>TELECOMMUNICATION</w:t>
            </w:r>
            <w:r>
              <w:rPr>
                <w:b/>
                <w:bCs/>
                <w:sz w:val="26"/>
              </w:rPr>
              <w:br/>
              <w:t>STANDARDIZATION SECTOR</w:t>
            </w:r>
          </w:p>
          <w:p w:rsidR="0065234D" w:rsidRDefault="003A6BCB">
            <w:pPr>
              <w:rPr>
                <w:smallCaps/>
                <w:sz w:val="20"/>
              </w:rPr>
            </w:pPr>
            <w:r w:rsidRPr="003A6BCB">
              <w:rPr>
                <w:sz w:val="20"/>
              </w:rPr>
              <w:t>STUDY PERIOD 2009-2012</w:t>
            </w:r>
          </w:p>
        </w:tc>
        <w:tc>
          <w:tcPr>
            <w:tcW w:w="4146" w:type="dxa"/>
            <w:gridSpan w:val="2"/>
          </w:tcPr>
          <w:p w:rsidR="0065234D" w:rsidRDefault="00FF7E1E" w:rsidP="00FF7E1E">
            <w:pPr>
              <w:jc w:val="right"/>
              <w:rPr>
                <w:b/>
                <w:bCs/>
                <w:sz w:val="28"/>
              </w:rPr>
            </w:pPr>
            <w:r>
              <w:rPr>
                <w:b/>
                <w:bCs/>
                <w:sz w:val="28"/>
              </w:rPr>
              <w:t xml:space="preserve">9 </w:t>
            </w:r>
            <w:r w:rsidR="003A6BCB">
              <w:rPr>
                <w:b/>
                <w:bCs/>
                <w:sz w:val="28"/>
              </w:rPr>
              <w:t>May 2012</w:t>
            </w:r>
          </w:p>
        </w:tc>
      </w:tr>
      <w:tr w:rsidR="0065234D" w:rsidTr="0064646F">
        <w:trPr>
          <w:cantSplit/>
          <w:trHeight w:val="780"/>
        </w:trPr>
        <w:tc>
          <w:tcPr>
            <w:tcW w:w="1324" w:type="dxa"/>
            <w:vMerge/>
            <w:tcBorders>
              <w:bottom w:val="single" w:sz="12" w:space="0" w:color="auto"/>
            </w:tcBorders>
          </w:tcPr>
          <w:p w:rsidR="0065234D" w:rsidRDefault="0065234D">
            <w:bookmarkStart w:id="4" w:name="dorlang" w:colFirst="2" w:colLast="2"/>
            <w:bookmarkEnd w:id="3"/>
          </w:p>
        </w:tc>
        <w:tc>
          <w:tcPr>
            <w:tcW w:w="3742" w:type="dxa"/>
            <w:gridSpan w:val="3"/>
            <w:vMerge/>
            <w:tcBorders>
              <w:bottom w:val="single" w:sz="12" w:space="0" w:color="auto"/>
            </w:tcBorders>
          </w:tcPr>
          <w:p w:rsidR="0065234D" w:rsidRDefault="0065234D">
            <w:pPr>
              <w:rPr>
                <w:b/>
                <w:bCs/>
                <w:sz w:val="26"/>
              </w:rPr>
            </w:pPr>
          </w:p>
        </w:tc>
        <w:tc>
          <w:tcPr>
            <w:tcW w:w="4146" w:type="dxa"/>
            <w:gridSpan w:val="2"/>
            <w:tcBorders>
              <w:bottom w:val="single" w:sz="12" w:space="0" w:color="auto"/>
            </w:tcBorders>
            <w:vAlign w:val="center"/>
          </w:tcPr>
          <w:p w:rsidR="0065234D" w:rsidRDefault="0065234D" w:rsidP="00A951BC">
            <w:pPr>
              <w:jc w:val="right"/>
              <w:rPr>
                <w:b/>
                <w:bCs/>
                <w:sz w:val="28"/>
              </w:rPr>
            </w:pPr>
            <w:r>
              <w:rPr>
                <w:b/>
                <w:bCs/>
                <w:sz w:val="28"/>
              </w:rPr>
              <w:t xml:space="preserve">Original: </w:t>
            </w:r>
            <w:r w:rsidR="00A951BC">
              <w:rPr>
                <w:b/>
                <w:bCs/>
                <w:sz w:val="28"/>
              </w:rPr>
              <w:t>English</w:t>
            </w:r>
            <w:r>
              <w:rPr>
                <w:b/>
                <w:bCs/>
                <w:sz w:val="28"/>
              </w:rPr>
              <w:t xml:space="preserve">    </w:t>
            </w:r>
          </w:p>
        </w:tc>
      </w:tr>
      <w:tr w:rsidR="00FF7E1E" w:rsidTr="0064646F">
        <w:trPr>
          <w:cantSplit/>
          <w:trHeight w:val="357"/>
        </w:trPr>
        <w:tc>
          <w:tcPr>
            <w:tcW w:w="4607" w:type="dxa"/>
            <w:gridSpan w:val="3"/>
          </w:tcPr>
          <w:p w:rsidR="00FF7E1E" w:rsidRDefault="00FF7E1E" w:rsidP="00FF7E1E">
            <w:pPr>
              <w:rPr>
                <w:b/>
                <w:bCs/>
              </w:rPr>
            </w:pPr>
            <w:bookmarkStart w:id="5" w:name="dtitle" w:colFirst="0" w:colLast="0"/>
            <w:bookmarkEnd w:id="4"/>
            <w:r>
              <w:rPr>
                <w:b/>
                <w:bCs/>
              </w:rPr>
              <w:t>WTSA/WCIT-12 Preparatory Meeting Buenos Aires, Argentina</w:t>
            </w:r>
          </w:p>
        </w:tc>
        <w:tc>
          <w:tcPr>
            <w:tcW w:w="4605" w:type="dxa"/>
            <w:gridSpan w:val="3"/>
          </w:tcPr>
          <w:p w:rsidR="00FF7E1E" w:rsidRDefault="00FF7E1E" w:rsidP="00FF7E1E">
            <w:pPr>
              <w:jc w:val="right"/>
              <w:rPr>
                <w:b/>
                <w:bCs/>
              </w:rPr>
            </w:pPr>
            <w:r>
              <w:rPr>
                <w:b/>
                <w:bCs/>
              </w:rPr>
              <w:t>14-15 May 2012</w:t>
            </w:r>
          </w:p>
        </w:tc>
      </w:tr>
      <w:tr w:rsidR="00FF7E1E" w:rsidTr="0064646F">
        <w:trPr>
          <w:cantSplit/>
          <w:trHeight w:val="357"/>
        </w:trPr>
        <w:tc>
          <w:tcPr>
            <w:tcW w:w="9212" w:type="dxa"/>
            <w:gridSpan w:val="6"/>
          </w:tcPr>
          <w:p w:rsidR="00FF7E1E" w:rsidRDefault="00FF7E1E" w:rsidP="00191E9A">
            <w:pPr>
              <w:jc w:val="center"/>
            </w:pPr>
            <w:r w:rsidRPr="00FF7E1E">
              <w:t xml:space="preserve">CONTRIBUTION No </w:t>
            </w:r>
            <w:r w:rsidR="00191E9A">
              <w:t>4</w:t>
            </w:r>
          </w:p>
        </w:tc>
      </w:tr>
      <w:tr w:rsidR="0065234D" w:rsidTr="0064646F">
        <w:trPr>
          <w:cantSplit/>
          <w:trHeight w:val="357"/>
        </w:trPr>
        <w:tc>
          <w:tcPr>
            <w:tcW w:w="1510" w:type="dxa"/>
            <w:gridSpan w:val="2"/>
          </w:tcPr>
          <w:p w:rsidR="0065234D" w:rsidRDefault="0065234D">
            <w:pPr>
              <w:rPr>
                <w:b/>
                <w:bCs/>
              </w:rPr>
            </w:pPr>
            <w:bookmarkStart w:id="6" w:name="dsource" w:colFirst="1" w:colLast="1"/>
            <w:bookmarkEnd w:id="5"/>
            <w:r>
              <w:rPr>
                <w:b/>
                <w:bCs/>
              </w:rPr>
              <w:t>Source:</w:t>
            </w:r>
          </w:p>
        </w:tc>
        <w:tc>
          <w:tcPr>
            <w:tcW w:w="7702" w:type="dxa"/>
            <w:gridSpan w:val="4"/>
          </w:tcPr>
          <w:p w:rsidR="0065234D" w:rsidRDefault="00A951BC">
            <w:r>
              <w:t>Brazil</w:t>
            </w:r>
          </w:p>
        </w:tc>
      </w:tr>
      <w:tr w:rsidR="0065234D" w:rsidRPr="00A951BC" w:rsidTr="0064646F">
        <w:trPr>
          <w:cantSplit/>
          <w:trHeight w:val="357"/>
        </w:trPr>
        <w:tc>
          <w:tcPr>
            <w:tcW w:w="1510" w:type="dxa"/>
            <w:gridSpan w:val="2"/>
            <w:tcBorders>
              <w:bottom w:val="single" w:sz="12" w:space="0" w:color="auto"/>
            </w:tcBorders>
          </w:tcPr>
          <w:p w:rsidR="0065234D" w:rsidRDefault="0065234D">
            <w:pPr>
              <w:spacing w:after="120"/>
            </w:pPr>
            <w:bookmarkStart w:id="7" w:name="dtitle1" w:colFirst="1" w:colLast="1"/>
            <w:bookmarkEnd w:id="6"/>
            <w:r>
              <w:rPr>
                <w:b/>
                <w:bCs/>
              </w:rPr>
              <w:t>Title:</w:t>
            </w:r>
          </w:p>
        </w:tc>
        <w:tc>
          <w:tcPr>
            <w:tcW w:w="7702" w:type="dxa"/>
            <w:gridSpan w:val="4"/>
            <w:tcBorders>
              <w:bottom w:val="single" w:sz="12" w:space="0" w:color="auto"/>
            </w:tcBorders>
          </w:tcPr>
          <w:p w:rsidR="0065234D" w:rsidRPr="00A951BC" w:rsidRDefault="00191E9A" w:rsidP="00A951BC">
            <w:pPr>
              <w:pStyle w:val="Equation"/>
              <w:spacing w:after="120"/>
              <w:rPr>
                <w:bCs/>
                <w:caps/>
                <w:szCs w:val="24"/>
                <w:lang w:val="en-US"/>
              </w:rPr>
            </w:pPr>
            <w:r w:rsidRPr="00191E9A">
              <w:rPr>
                <w:bCs/>
                <w:szCs w:val="24"/>
                <w:lang w:val="en-US"/>
              </w:rPr>
              <w:t>Measures to increase the efficiency of international mobile services on border zones</w:t>
            </w:r>
          </w:p>
        </w:tc>
      </w:tr>
      <w:bookmarkEnd w:id="2"/>
      <w:bookmarkEnd w:id="7"/>
    </w:tbl>
    <w:p w:rsidR="00191E9A" w:rsidRDefault="00191E9A" w:rsidP="00717282">
      <w:pPr>
        <w:spacing w:after="120"/>
        <w:rPr>
          <w:b/>
          <w:sz w:val="22"/>
          <w:szCs w:val="22"/>
        </w:rPr>
      </w:pPr>
    </w:p>
    <w:p w:rsidR="00191E9A" w:rsidRDefault="00191E9A" w:rsidP="00717282">
      <w:pPr>
        <w:spacing w:after="120"/>
        <w:rPr>
          <w:b/>
          <w:sz w:val="22"/>
          <w:szCs w:val="22"/>
        </w:rPr>
      </w:pPr>
      <w:bookmarkStart w:id="8" w:name="_GoBack"/>
      <w:bookmarkEnd w:id="8"/>
      <w:r>
        <w:rPr>
          <w:b/>
          <w:sz w:val="22"/>
          <w:szCs w:val="22"/>
        </w:rPr>
        <w:t>Background:</w:t>
      </w:r>
    </w:p>
    <w:p w:rsidR="00191E9A" w:rsidRPr="00766B79" w:rsidRDefault="00191E9A" w:rsidP="00717282">
      <w:pPr>
        <w:rPr>
          <w:sz w:val="22"/>
          <w:szCs w:val="22"/>
        </w:rPr>
      </w:pPr>
      <w:r>
        <w:rPr>
          <w:sz w:val="22"/>
          <w:szCs w:val="22"/>
        </w:rPr>
        <w:t>The provision of mobile services on countries’ border zones presents specific problems related to the identification of users’ home networks and the consequent charging of calls originated at those locations. Users at border zones can often be inadvertently identified as being in roaming by the networks of mobile operators from the neighbouring countries, when in fact they are within the borders of their own country, and are wrongly charged as in roaming by the neighbouring countries’ operator.</w:t>
      </w:r>
    </w:p>
    <w:p w:rsidR="00191E9A" w:rsidRDefault="00191E9A" w:rsidP="00717282">
      <w:pPr>
        <w:rPr>
          <w:sz w:val="22"/>
          <w:szCs w:val="22"/>
        </w:rPr>
      </w:pPr>
      <w:r>
        <w:rPr>
          <w:sz w:val="22"/>
          <w:szCs w:val="22"/>
        </w:rPr>
        <w:t>This situation of inadvertent international roaming is a service inefficiency that, taking into consideration the high prices of international roaming service, results in bill-shock to the end consumers. Solving this inefficiency is a challenge to both policy makers and mobile operators.</w:t>
      </w:r>
    </w:p>
    <w:p w:rsidR="00191E9A" w:rsidRDefault="00191E9A" w:rsidP="00717282">
      <w:pPr>
        <w:rPr>
          <w:sz w:val="22"/>
          <w:szCs w:val="22"/>
        </w:rPr>
      </w:pPr>
      <w:r>
        <w:rPr>
          <w:sz w:val="22"/>
          <w:szCs w:val="22"/>
        </w:rPr>
        <w:t>The establishment of agreements between Operating Agencies of bordering Member States on the pricing of calls originated at a predetermined “border zone” can mitigate the problem of inadvertent international roaming and the consequent bill-shock on end consumers. The definition of an agreed charging methodology at the border zones would not only alleviate the problems described above, but would also encourage and increase the usage of mobile services on border zones.</w:t>
      </w:r>
    </w:p>
    <w:p w:rsidR="00191E9A" w:rsidRDefault="00191E9A" w:rsidP="00717282">
      <w:pPr>
        <w:jc w:val="both"/>
        <w:rPr>
          <w:b/>
          <w:sz w:val="22"/>
          <w:szCs w:val="22"/>
        </w:rPr>
      </w:pPr>
    </w:p>
    <w:p w:rsidR="00191E9A" w:rsidRDefault="00191E9A" w:rsidP="00717282">
      <w:pPr>
        <w:jc w:val="both"/>
        <w:rPr>
          <w:b/>
          <w:sz w:val="22"/>
          <w:szCs w:val="22"/>
        </w:rPr>
      </w:pPr>
      <w:r w:rsidRPr="00CD6AA7">
        <w:rPr>
          <w:b/>
          <w:sz w:val="22"/>
          <w:szCs w:val="22"/>
        </w:rPr>
        <w:t>Proposal</w:t>
      </w:r>
      <w:r>
        <w:rPr>
          <w:b/>
          <w:sz w:val="22"/>
          <w:szCs w:val="22"/>
        </w:rPr>
        <w:t>:</w:t>
      </w:r>
    </w:p>
    <w:p w:rsidR="00191E9A" w:rsidRDefault="00191E9A" w:rsidP="00717282">
      <w:pPr>
        <w:rPr>
          <w:sz w:val="22"/>
          <w:szCs w:val="22"/>
        </w:rPr>
      </w:pPr>
      <w:r w:rsidRPr="00CF7343">
        <w:rPr>
          <w:sz w:val="22"/>
          <w:szCs w:val="22"/>
        </w:rPr>
        <w:t xml:space="preserve">To include </w:t>
      </w:r>
      <w:r>
        <w:rPr>
          <w:sz w:val="22"/>
          <w:szCs w:val="22"/>
        </w:rPr>
        <w:t>the following provisions</w:t>
      </w:r>
      <w:r w:rsidRPr="00CF7343">
        <w:rPr>
          <w:sz w:val="22"/>
          <w:szCs w:val="22"/>
        </w:rPr>
        <w:t xml:space="preserve"> in Article 4</w:t>
      </w:r>
      <w:r>
        <w:rPr>
          <w:sz w:val="22"/>
          <w:szCs w:val="22"/>
        </w:rPr>
        <w:t>, “International Telecommunication Services”,</w:t>
      </w:r>
      <w:r w:rsidRPr="00CF7343">
        <w:rPr>
          <w:sz w:val="22"/>
          <w:szCs w:val="22"/>
        </w:rPr>
        <w:t xml:space="preserve"> of the International Telecommunication Regulations</w:t>
      </w:r>
      <w:r>
        <w:rPr>
          <w:sz w:val="22"/>
          <w:szCs w:val="22"/>
        </w:rPr>
        <w:t>:</w:t>
      </w:r>
    </w:p>
    <w:p w:rsidR="00191E9A" w:rsidRDefault="00191E9A" w:rsidP="00717282">
      <w:pPr>
        <w:rPr>
          <w:sz w:val="22"/>
          <w:szCs w:val="22"/>
        </w:rPr>
      </w:pPr>
      <w:r>
        <w:rPr>
          <w:sz w:val="22"/>
          <w:szCs w:val="22"/>
        </w:rPr>
        <w:t>“Member States shall ensure that Operating Agencies establish mutual agreements on charging local prices on mobile services accessed within a predetermined border zone.”</w:t>
      </w:r>
    </w:p>
    <w:p w:rsidR="00191E9A" w:rsidRDefault="00191E9A" w:rsidP="00717282">
      <w:pPr>
        <w:rPr>
          <w:b/>
          <w:sz w:val="22"/>
          <w:szCs w:val="22"/>
        </w:rPr>
      </w:pPr>
    </w:p>
    <w:p w:rsidR="00191E9A" w:rsidRDefault="00191E9A" w:rsidP="00717282">
      <w:pPr>
        <w:rPr>
          <w:b/>
          <w:sz w:val="22"/>
          <w:szCs w:val="22"/>
        </w:rPr>
      </w:pPr>
    </w:p>
    <w:p w:rsidR="00191E9A" w:rsidRDefault="00191E9A" w:rsidP="00486F91">
      <w:pPr>
        <w:jc w:val="center"/>
      </w:pPr>
      <w:r w:rsidRPr="00CD6AA7">
        <w:rPr>
          <w:sz w:val="22"/>
          <w:szCs w:val="22"/>
        </w:rPr>
        <w:t>__________</w:t>
      </w:r>
    </w:p>
    <w:p w:rsidR="0065234D" w:rsidRDefault="0065234D" w:rsidP="00191E9A">
      <w:pPr>
        <w:spacing w:after="120"/>
      </w:pPr>
    </w:p>
    <w:sectPr w:rsidR="0065234D">
      <w:headerReference w:type="default" r:id="rId9"/>
      <w:footerReference w:type="first" r:id="rId10"/>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E1E" w:rsidRDefault="00FF7E1E">
      <w:r>
        <w:separator/>
      </w:r>
    </w:p>
  </w:endnote>
  <w:endnote w:type="continuationSeparator" w:id="0">
    <w:p w:rsidR="00FF7E1E" w:rsidRDefault="00FF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jc w:val="center"/>
      <w:tblLayout w:type="fixed"/>
      <w:tblCellMar>
        <w:left w:w="57" w:type="dxa"/>
        <w:right w:w="57" w:type="dxa"/>
      </w:tblCellMar>
      <w:tblLook w:val="0000" w:firstRow="0" w:lastRow="0" w:firstColumn="0" w:lastColumn="0" w:noHBand="0" w:noVBand="0"/>
    </w:tblPr>
    <w:tblGrid>
      <w:gridCol w:w="1617"/>
      <w:gridCol w:w="4394"/>
      <w:gridCol w:w="3912"/>
    </w:tblGrid>
    <w:tr w:rsidR="00FF7E1E" w:rsidTr="005F1AC3">
      <w:trPr>
        <w:cantSplit/>
        <w:trHeight w:val="204"/>
        <w:jc w:val="center"/>
      </w:trPr>
      <w:tc>
        <w:tcPr>
          <w:tcW w:w="1617" w:type="dxa"/>
          <w:tcBorders>
            <w:top w:val="single" w:sz="12" w:space="0" w:color="auto"/>
          </w:tcBorders>
        </w:tcPr>
        <w:p w:rsidR="00FF7E1E" w:rsidRDefault="00FF7E1E" w:rsidP="005F1AC3">
          <w:pPr>
            <w:rPr>
              <w:b/>
              <w:bCs/>
              <w:sz w:val="22"/>
            </w:rPr>
          </w:pPr>
        </w:p>
      </w:tc>
      <w:tc>
        <w:tcPr>
          <w:tcW w:w="4394" w:type="dxa"/>
          <w:tcBorders>
            <w:top w:val="single" w:sz="12" w:space="0" w:color="auto"/>
          </w:tcBorders>
        </w:tcPr>
        <w:p w:rsidR="00FF7E1E" w:rsidRDefault="00FF7E1E" w:rsidP="005F1AC3">
          <w:pPr>
            <w:spacing w:before="0"/>
            <w:rPr>
              <w:sz w:val="22"/>
            </w:rPr>
          </w:pPr>
        </w:p>
      </w:tc>
      <w:tc>
        <w:tcPr>
          <w:tcW w:w="3912" w:type="dxa"/>
          <w:tcBorders>
            <w:top w:val="single" w:sz="12" w:space="0" w:color="auto"/>
          </w:tcBorders>
        </w:tcPr>
        <w:p w:rsidR="00FF7E1E" w:rsidRPr="00AB52AF" w:rsidRDefault="00FF7E1E" w:rsidP="005F1AC3">
          <w:pPr>
            <w:spacing w:before="0"/>
            <w:rPr>
              <w:sz w:val="22"/>
            </w:rPr>
          </w:pPr>
        </w:p>
      </w:tc>
    </w:tr>
    <w:tr w:rsidR="00FF7E1E" w:rsidTr="005F1AC3">
      <w:tblPrEx>
        <w:tblCellMar>
          <w:left w:w="108" w:type="dxa"/>
          <w:right w:w="108" w:type="dxa"/>
        </w:tblCellMar>
      </w:tblPrEx>
      <w:trPr>
        <w:cantSplit/>
        <w:jc w:val="center"/>
      </w:trPr>
      <w:tc>
        <w:tcPr>
          <w:tcW w:w="9923"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FF7E1E" w:rsidRDefault="00FF7E1E" w:rsidP="005F1AC3">
          <w:pPr>
            <w:spacing w:before="0"/>
            <w:rPr>
              <w:sz w:val="18"/>
            </w:rPr>
          </w:pPr>
          <w:r>
            <w:rPr>
              <w:b/>
              <w:bCs/>
              <w:sz w:val="18"/>
            </w:rPr>
            <w:t>Attention:</w:t>
          </w:r>
          <w:r>
            <w:rPr>
              <w:sz w:val="18"/>
            </w:rPr>
            <w:t xml:space="preserve"> This is not a publication made available to the public, but </w:t>
          </w:r>
          <w:r>
            <w:rPr>
              <w:b/>
              <w:bCs/>
              <w:sz w:val="18"/>
            </w:rPr>
            <w:t>an internal ITU-T Document</w:t>
          </w:r>
          <w:r>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FF7E1E" w:rsidRDefault="00FF7E1E">
    <w:pPr>
      <w:spacing w:before="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E1E" w:rsidRDefault="00FF7E1E">
      <w:r>
        <w:separator/>
      </w:r>
    </w:p>
  </w:footnote>
  <w:footnote w:type="continuationSeparator" w:id="0">
    <w:p w:rsidR="00FF7E1E" w:rsidRDefault="00FF7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1E" w:rsidRDefault="00FF7E1E" w:rsidP="005F1AC3">
    <w:pPr>
      <w:pStyle w:val="Header"/>
    </w:pPr>
    <w:r>
      <w:t xml:space="preserve">- </w:t>
    </w:r>
    <w:r>
      <w:fldChar w:fldCharType="begin"/>
    </w:r>
    <w:r>
      <w:instrText xml:space="preserve"> PAGE  \* MERGEFORMAT </w:instrText>
    </w:r>
    <w:r>
      <w:fldChar w:fldCharType="separate"/>
    </w:r>
    <w:r w:rsidR="00191E9A">
      <w:rPr>
        <w:noProof/>
      </w:rPr>
      <w:t>2</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0FF0447"/>
    <w:multiLevelType w:val="hybridMultilevel"/>
    <w:tmpl w:val="6F824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1F25DA6"/>
    <w:multiLevelType w:val="hybridMultilevel"/>
    <w:tmpl w:val="FF4A7712"/>
    <w:lvl w:ilvl="0" w:tplc="04160001">
      <w:start w:val="1"/>
      <w:numFmt w:val="bullet"/>
      <w:lvlText w:val=""/>
      <w:lvlJc w:val="left"/>
      <w:pPr>
        <w:tabs>
          <w:tab w:val="num" w:pos="1068"/>
        </w:tabs>
        <w:ind w:left="1068" w:hanging="360"/>
      </w:pPr>
      <w:rPr>
        <w:rFonts w:ascii="Symbol" w:hAnsi="Symbol" w:hint="default"/>
      </w:rPr>
    </w:lvl>
    <w:lvl w:ilvl="1" w:tplc="04160003" w:tentative="1">
      <w:start w:val="1"/>
      <w:numFmt w:val="bullet"/>
      <w:lvlText w:val="o"/>
      <w:lvlJc w:val="left"/>
      <w:pPr>
        <w:tabs>
          <w:tab w:val="num" w:pos="1788"/>
        </w:tabs>
        <w:ind w:left="1788" w:hanging="360"/>
      </w:pPr>
      <w:rPr>
        <w:rFonts w:ascii="Courier New" w:hAnsi="Courier New" w:cs="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3">
    <w:nsid w:val="3D8962ED"/>
    <w:multiLevelType w:val="hybridMultilevel"/>
    <w:tmpl w:val="DF488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6EE49E7"/>
    <w:multiLevelType w:val="hybridMultilevel"/>
    <w:tmpl w:val="B52E48B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596E2707"/>
    <w:multiLevelType w:val="hybridMultilevel"/>
    <w:tmpl w:val="EB2A6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6B3219C"/>
    <w:multiLevelType w:val="hybridMultilevel"/>
    <w:tmpl w:val="3654C64C"/>
    <w:lvl w:ilvl="0" w:tplc="39806B70">
      <w:start w:val="1"/>
      <w:numFmt w:val="bullet"/>
      <w:lvlText w:val="-"/>
      <w:lvlJc w:val="left"/>
      <w:pPr>
        <w:ind w:left="1080" w:hanging="360"/>
      </w:pPr>
      <w:rPr>
        <w:rFonts w:ascii="Times New Roman" w:eastAsia="Calibri" w:hAnsi="Times New Roman" w:cs="Times New Roman" w:hint="default"/>
      </w:rPr>
    </w:lvl>
    <w:lvl w:ilvl="1" w:tplc="3C0A0003">
      <w:start w:val="1"/>
      <w:numFmt w:val="decimal"/>
      <w:lvlText w:val="%2."/>
      <w:lvlJc w:val="left"/>
      <w:pPr>
        <w:tabs>
          <w:tab w:val="num" w:pos="1440"/>
        </w:tabs>
        <w:ind w:left="1440" w:hanging="360"/>
      </w:pPr>
    </w:lvl>
    <w:lvl w:ilvl="2" w:tplc="3C0A0005">
      <w:start w:val="1"/>
      <w:numFmt w:val="decimal"/>
      <w:lvlText w:val="%3."/>
      <w:lvlJc w:val="left"/>
      <w:pPr>
        <w:tabs>
          <w:tab w:val="num" w:pos="2160"/>
        </w:tabs>
        <w:ind w:left="2160" w:hanging="360"/>
      </w:pPr>
    </w:lvl>
    <w:lvl w:ilvl="3" w:tplc="3C0A0001">
      <w:start w:val="1"/>
      <w:numFmt w:val="decimal"/>
      <w:lvlText w:val="%4."/>
      <w:lvlJc w:val="left"/>
      <w:pPr>
        <w:tabs>
          <w:tab w:val="num" w:pos="2880"/>
        </w:tabs>
        <w:ind w:left="2880" w:hanging="360"/>
      </w:pPr>
    </w:lvl>
    <w:lvl w:ilvl="4" w:tplc="3C0A0003">
      <w:start w:val="1"/>
      <w:numFmt w:val="decimal"/>
      <w:lvlText w:val="%5."/>
      <w:lvlJc w:val="left"/>
      <w:pPr>
        <w:tabs>
          <w:tab w:val="num" w:pos="3600"/>
        </w:tabs>
        <w:ind w:left="3600" w:hanging="360"/>
      </w:pPr>
    </w:lvl>
    <w:lvl w:ilvl="5" w:tplc="3C0A0005">
      <w:start w:val="1"/>
      <w:numFmt w:val="decimal"/>
      <w:lvlText w:val="%6."/>
      <w:lvlJc w:val="left"/>
      <w:pPr>
        <w:tabs>
          <w:tab w:val="num" w:pos="4320"/>
        </w:tabs>
        <w:ind w:left="4320" w:hanging="360"/>
      </w:pPr>
    </w:lvl>
    <w:lvl w:ilvl="6" w:tplc="3C0A0001">
      <w:start w:val="1"/>
      <w:numFmt w:val="decimal"/>
      <w:lvlText w:val="%7."/>
      <w:lvlJc w:val="left"/>
      <w:pPr>
        <w:tabs>
          <w:tab w:val="num" w:pos="5040"/>
        </w:tabs>
        <w:ind w:left="5040" w:hanging="360"/>
      </w:pPr>
    </w:lvl>
    <w:lvl w:ilvl="7" w:tplc="3C0A0003">
      <w:start w:val="1"/>
      <w:numFmt w:val="decimal"/>
      <w:lvlText w:val="%8."/>
      <w:lvlJc w:val="left"/>
      <w:pPr>
        <w:tabs>
          <w:tab w:val="num" w:pos="5760"/>
        </w:tabs>
        <w:ind w:left="5760" w:hanging="360"/>
      </w:pPr>
    </w:lvl>
    <w:lvl w:ilvl="8" w:tplc="3C0A0005">
      <w:start w:val="1"/>
      <w:numFmt w:val="decimal"/>
      <w:lvlText w:val="%9."/>
      <w:lvlJc w:val="left"/>
      <w:pPr>
        <w:tabs>
          <w:tab w:val="num" w:pos="6480"/>
        </w:tabs>
        <w:ind w:left="6480" w:hanging="360"/>
      </w:pPr>
    </w:lvl>
  </w:abstractNum>
  <w:abstractNum w:abstractNumId="7">
    <w:nsid w:val="7079325F"/>
    <w:multiLevelType w:val="hybridMultilevel"/>
    <w:tmpl w:val="54CEB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15E6394"/>
    <w:multiLevelType w:val="hybridMultilevel"/>
    <w:tmpl w:val="D7DA7F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5"/>
  </w:num>
  <w:num w:numId="7">
    <w:abstractNumId w:val="7"/>
  </w:num>
  <w:num w:numId="8">
    <w:abstractNumId w:val="8"/>
  </w:num>
  <w:num w:numId="9">
    <w:abstractNumId w:val="1"/>
  </w:num>
  <w:num w:numId="10">
    <w:abstractNumId w:val="3"/>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intFractionalCharacterWidth/>
  <w:activeWritingStyle w:appName="MSWord" w:lang="de-DE" w:vendorID="9" w:dllVersion="512" w:checkStyle="0"/>
  <w:activeWritingStyle w:appName="MSWord" w:lang="pt-BR"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34D"/>
    <w:rsid w:val="00020E80"/>
    <w:rsid w:val="00191E9A"/>
    <w:rsid w:val="003A6BCB"/>
    <w:rsid w:val="005F1AC3"/>
    <w:rsid w:val="0064646F"/>
    <w:rsid w:val="0065234D"/>
    <w:rsid w:val="0091162D"/>
    <w:rsid w:val="00A4511B"/>
    <w:rsid w:val="00A951BC"/>
    <w:rsid w:val="00C30F2A"/>
    <w:rsid w:val="00C51AB5"/>
    <w:rsid w:val="00D46733"/>
    <w:rsid w:val="00FF7E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pPr>
      <w:keepNext/>
      <w:keepLines/>
      <w:spacing w:before="48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
    <w:name w:val="Figure"/>
    <w:basedOn w:val="Normal"/>
    <w:next w:val="Normal"/>
    <w:pPr>
      <w:keepNext/>
      <w:keepLines/>
      <w:spacing w:before="240" w:after="120"/>
      <w:jc w:val="center"/>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pPr>
      <w:keepLines/>
      <w:spacing w:before="240" w:after="120"/>
      <w:jc w:val="center"/>
    </w:pPr>
    <w:rPr>
      <w:b/>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Pr>
      <w:position w:val="6"/>
      <w:sz w:val="18"/>
    </w:rPr>
  </w:style>
  <w:style w:type="paragraph" w:customStyle="1" w:styleId="Note">
    <w:name w:val="Note"/>
    <w:basedOn w:val="Normal"/>
    <w:pPr>
      <w:spacing w:before="80"/>
    </w:pPr>
  </w:style>
  <w:style w:type="paragraph" w:styleId="FootnoteText">
    <w:name w:val="footnote text"/>
    <w:basedOn w:val="Note"/>
    <w:semiHidden/>
    <w:pPr>
      <w:keepLines/>
      <w:tabs>
        <w:tab w:val="left" w:pos="255"/>
      </w:tabs>
      <w:ind w:left="255" w:hanging="255"/>
    </w:pPr>
  </w:style>
  <w:style w:type="paragraph" w:customStyle="1" w:styleId="Formal">
    <w:name w:val="Formal"/>
    <w:basedOn w:val="ASN1"/>
    <w:rPr>
      <w:b w:val="0"/>
    </w:r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pPr>
      <w:keepNext/>
      <w:keepLines/>
      <w:spacing w:before="0"/>
    </w:pPr>
    <w:rPr>
      <w:b/>
      <w:sz w:val="28"/>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clear" w:pos="794"/>
        <w:tab w:val="clear" w:pos="1191"/>
        <w:tab w:val="clear" w:pos="1588"/>
        <w:tab w:val="clear" w:pos="1985"/>
      </w:tabs>
      <w:overflowPunct/>
      <w:autoSpaceDE/>
      <w:autoSpaceDN/>
      <w:adjustRightInd/>
      <w:spacing w:before="0" w:after="120"/>
      <w:ind w:firstLine="720"/>
      <w:textAlignment w:val="auto"/>
    </w:pPr>
    <w:rPr>
      <w:sz w:val="26"/>
      <w:szCs w:val="24"/>
      <w:lang w:val="en-US" w:eastAsia="pt-BR"/>
    </w:rPr>
  </w:style>
  <w:style w:type="paragraph" w:customStyle="1" w:styleId="Normalaftertitle0">
    <w:name w:val="Normal after title"/>
    <w:basedOn w:val="Normal"/>
    <w:next w:val="Normal"/>
    <w:pPr>
      <w:tabs>
        <w:tab w:val="clear" w:pos="794"/>
        <w:tab w:val="clear" w:pos="1191"/>
        <w:tab w:val="clear" w:pos="1588"/>
        <w:tab w:val="clear" w:pos="1985"/>
        <w:tab w:val="left" w:pos="567"/>
        <w:tab w:val="left" w:pos="1134"/>
        <w:tab w:val="left" w:pos="1701"/>
        <w:tab w:val="left" w:pos="2268"/>
        <w:tab w:val="left" w:pos="2835"/>
      </w:tabs>
      <w:spacing w:before="240"/>
      <w:textAlignment w:val="auto"/>
    </w:pPr>
  </w:style>
  <w:style w:type="paragraph" w:styleId="ListParagraph">
    <w:name w:val="List Paragraph"/>
    <w:basedOn w:val="Normal"/>
    <w:uiPriority w:val="99"/>
    <w:qFormat/>
    <w:rsid w:val="0091162D"/>
    <w:pPr>
      <w:ind w:left="720"/>
      <w:contextualSpacing/>
      <w:textAlignment w:val="auto"/>
    </w:pPr>
    <w:rPr>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pPr>
      <w:keepNext/>
      <w:keepLines/>
      <w:spacing w:before="48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
    <w:name w:val="Figure"/>
    <w:basedOn w:val="Normal"/>
    <w:next w:val="Normal"/>
    <w:pPr>
      <w:keepNext/>
      <w:keepLines/>
      <w:spacing w:before="240" w:after="120"/>
      <w:jc w:val="center"/>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pPr>
      <w:keepLines/>
      <w:spacing w:before="240" w:after="120"/>
      <w:jc w:val="center"/>
    </w:pPr>
    <w:rPr>
      <w:b/>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Pr>
      <w:position w:val="6"/>
      <w:sz w:val="18"/>
    </w:rPr>
  </w:style>
  <w:style w:type="paragraph" w:customStyle="1" w:styleId="Note">
    <w:name w:val="Note"/>
    <w:basedOn w:val="Normal"/>
    <w:pPr>
      <w:spacing w:before="80"/>
    </w:pPr>
  </w:style>
  <w:style w:type="paragraph" w:styleId="FootnoteText">
    <w:name w:val="footnote text"/>
    <w:basedOn w:val="Note"/>
    <w:semiHidden/>
    <w:pPr>
      <w:keepLines/>
      <w:tabs>
        <w:tab w:val="left" w:pos="255"/>
      </w:tabs>
      <w:ind w:left="255" w:hanging="255"/>
    </w:pPr>
  </w:style>
  <w:style w:type="paragraph" w:customStyle="1" w:styleId="Formal">
    <w:name w:val="Formal"/>
    <w:basedOn w:val="ASN1"/>
    <w:rPr>
      <w:b w:val="0"/>
    </w:r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pPr>
      <w:keepNext/>
      <w:keepLines/>
      <w:spacing w:before="0"/>
    </w:pPr>
    <w:rPr>
      <w:b/>
      <w:sz w:val="28"/>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clear" w:pos="794"/>
        <w:tab w:val="clear" w:pos="1191"/>
        <w:tab w:val="clear" w:pos="1588"/>
        <w:tab w:val="clear" w:pos="1985"/>
      </w:tabs>
      <w:overflowPunct/>
      <w:autoSpaceDE/>
      <w:autoSpaceDN/>
      <w:adjustRightInd/>
      <w:spacing w:before="0" w:after="120"/>
      <w:ind w:firstLine="720"/>
      <w:textAlignment w:val="auto"/>
    </w:pPr>
    <w:rPr>
      <w:sz w:val="26"/>
      <w:szCs w:val="24"/>
      <w:lang w:val="en-US" w:eastAsia="pt-BR"/>
    </w:rPr>
  </w:style>
  <w:style w:type="paragraph" w:customStyle="1" w:styleId="Normalaftertitle0">
    <w:name w:val="Normal after title"/>
    <w:basedOn w:val="Normal"/>
    <w:next w:val="Normal"/>
    <w:pPr>
      <w:tabs>
        <w:tab w:val="clear" w:pos="794"/>
        <w:tab w:val="clear" w:pos="1191"/>
        <w:tab w:val="clear" w:pos="1588"/>
        <w:tab w:val="clear" w:pos="1985"/>
        <w:tab w:val="left" w:pos="567"/>
        <w:tab w:val="left" w:pos="1134"/>
        <w:tab w:val="left" w:pos="1701"/>
        <w:tab w:val="left" w:pos="2268"/>
        <w:tab w:val="left" w:pos="2835"/>
      </w:tabs>
      <w:spacing w:before="240"/>
      <w:textAlignment w:val="auto"/>
    </w:pPr>
  </w:style>
  <w:style w:type="paragraph" w:styleId="ListParagraph">
    <w:name w:val="List Paragraph"/>
    <w:basedOn w:val="Normal"/>
    <w:uiPriority w:val="99"/>
    <w:qFormat/>
    <w:rsid w:val="0091162D"/>
    <w:pPr>
      <w:ind w:left="720"/>
      <w:contextualSpacing/>
      <w:textAlignment w:val="auto"/>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ItutBasic-Template.dot</Template>
  <TotalTime>1</TotalTime>
  <Pages>1</Pages>
  <Words>274</Words>
  <Characters>1699</Characters>
  <Application>Microsoft Office Word</Application>
  <DocSecurity>0</DocSecurity>
  <Lines>14</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Allocation and Management of IP addresses</vt:lpstr>
      <vt:lpstr>Allocation and Management of IP addresses</vt:lpstr>
    </vt:vector>
  </TitlesOfParts>
  <Manager>ITU-T</Manager>
  <Company>International Telecommunication Union (ITU)</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Allocation and Management of IP addresses</dc:title>
  <dc:creator>United States of America</dc:creator>
  <cp:keywords>2/3</cp:keywords>
  <dc:description>COM 3 – C 57 – E  For: _x000d_Document date: March 2008_x000d_Saved by MCB106896 at 10:51:29 on 25.03.2008</dc:description>
  <cp:lastModifiedBy>Jones, Leslie</cp:lastModifiedBy>
  <cp:revision>3</cp:revision>
  <cp:lastPrinted>2012-05-09T07:45:00Z</cp:lastPrinted>
  <dcterms:created xsi:type="dcterms:W3CDTF">2012-05-09T07:53:00Z</dcterms:created>
  <dcterms:modified xsi:type="dcterms:W3CDTF">2012-05-09T07:54:00Z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COM 3 – C 57 – E</vt:lpwstr>
  </property>
  <property fmtid="{D5CDD505-2E9C-101B-9397-08002B2CF9AE}" pid="3" name="Docdate">
    <vt:lpwstr>March 2008</vt:lpwstr>
  </property>
  <property fmtid="{D5CDD505-2E9C-101B-9397-08002B2CF9AE}" pid="4" name="Docorlang">
    <vt:lpwstr>English only Original: English</vt:lpwstr>
  </property>
  <property fmtid="{D5CDD505-2E9C-101B-9397-08002B2CF9AE}" pid="5" name="Docbluepink">
    <vt:lpwstr>2/3</vt:lpwstr>
  </property>
  <property fmtid="{D5CDD505-2E9C-101B-9397-08002B2CF9AE}" pid="6" name="Docdest">
    <vt:lpwstr/>
  </property>
  <property fmtid="{D5CDD505-2E9C-101B-9397-08002B2CF9AE}" pid="7" name="Docauthor">
    <vt:lpwstr>United States of America</vt:lpwstr>
  </property>
</Properties>
</file>