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76"/>
        <w:gridCol w:w="3793"/>
        <w:gridCol w:w="284"/>
        <w:gridCol w:w="4536"/>
      </w:tblGrid>
      <w:tr w:rsidR="00E70808" w:rsidRPr="007B3DB1" w:rsidTr="00EA15B3">
        <w:tc>
          <w:tcPr>
            <w:tcW w:w="9889" w:type="dxa"/>
            <w:gridSpan w:val="4"/>
          </w:tcPr>
          <w:p w:rsidR="00E70808" w:rsidRPr="007B3DB1" w:rsidRDefault="00E70808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Logo"/>
            <w:bookmarkStart w:id="1" w:name="Origine"/>
            <w:bookmarkEnd w:id="0"/>
            <w:bookmarkEnd w:id="1"/>
            <w:r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General Secretariat (SG)</w:t>
            </w:r>
          </w:p>
        </w:tc>
      </w:tr>
      <w:tr w:rsidR="00E70808" w:rsidRPr="007B3DB1" w:rsidTr="005F3443">
        <w:trPr>
          <w:trHeight w:val="80"/>
        </w:trPr>
        <w:tc>
          <w:tcPr>
            <w:tcW w:w="9889" w:type="dxa"/>
            <w:gridSpan w:val="4"/>
          </w:tcPr>
          <w:p w:rsidR="00E70808" w:rsidRPr="007B3DB1" w:rsidRDefault="00E70808" w:rsidP="000955B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E70808" w:rsidRPr="00F11CCE" w:rsidTr="00651777">
        <w:tc>
          <w:tcPr>
            <w:tcW w:w="5353" w:type="dxa"/>
            <w:gridSpan w:val="3"/>
          </w:tcPr>
          <w:p w:rsidR="00E70808" w:rsidRPr="00D7066D" w:rsidRDefault="00E70808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</w:tcPr>
          <w:p w:rsidR="00E70808" w:rsidRPr="00D7066D" w:rsidRDefault="00E70808" w:rsidP="00157954">
            <w:pPr>
              <w:rPr>
                <w:lang w:val="en-GB"/>
              </w:rPr>
            </w:pPr>
            <w:r w:rsidRPr="00D7066D">
              <w:rPr>
                <w:lang w:val="en-GB"/>
              </w:rPr>
              <w:t xml:space="preserve">Geneva, </w:t>
            </w:r>
            <w:r w:rsidR="00157954">
              <w:rPr>
                <w:rFonts w:cs="Arial"/>
              </w:rPr>
              <w:t>2</w:t>
            </w:r>
            <w:r w:rsidR="00766685">
              <w:rPr>
                <w:rFonts w:cs="Arial"/>
              </w:rPr>
              <w:t xml:space="preserve"> March</w:t>
            </w:r>
            <w:r w:rsidRPr="00D7066D">
              <w:rPr>
                <w:rFonts w:cs="Arial"/>
              </w:rPr>
              <w:t xml:space="preserve"> 2012</w:t>
            </w:r>
          </w:p>
        </w:tc>
      </w:tr>
      <w:tr w:rsidR="00E70808" w:rsidRPr="00F11CCE" w:rsidTr="00435930">
        <w:trPr>
          <w:trHeight w:val="542"/>
        </w:trPr>
        <w:tc>
          <w:tcPr>
            <w:tcW w:w="5353" w:type="dxa"/>
            <w:gridSpan w:val="3"/>
          </w:tcPr>
          <w:p w:rsidR="00E70808" w:rsidRPr="00D7066D" w:rsidRDefault="00E70808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</w:tcPr>
          <w:p w:rsidR="00E70808" w:rsidRPr="00D7066D" w:rsidRDefault="00E70808" w:rsidP="00651777">
            <w:pPr>
              <w:jc w:val="left"/>
              <w:rPr>
                <w:rFonts w:cs="Arial"/>
                <w:lang w:val="en-GB"/>
              </w:rPr>
            </w:pPr>
          </w:p>
        </w:tc>
      </w:tr>
      <w:tr w:rsidR="00E70808" w:rsidRPr="00F11CCE" w:rsidTr="00651777">
        <w:tc>
          <w:tcPr>
            <w:tcW w:w="1276" w:type="dxa"/>
          </w:tcPr>
          <w:p w:rsidR="00E70808" w:rsidRPr="00D7066D" w:rsidRDefault="00E70808" w:rsidP="00651777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Ref:</w:t>
            </w:r>
          </w:p>
        </w:tc>
        <w:tc>
          <w:tcPr>
            <w:tcW w:w="3793" w:type="dxa"/>
          </w:tcPr>
          <w:p w:rsidR="00E70808" w:rsidRPr="00D7066D" w:rsidRDefault="00E70808" w:rsidP="0043593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2" w:name="Contact"/>
            <w:bookmarkEnd w:id="2"/>
            <w:r w:rsidRPr="00D7066D">
              <w:rPr>
                <w:b/>
                <w:bCs/>
                <w:lang w:val="en-GB"/>
              </w:rPr>
              <w:t>DM-12/</w:t>
            </w:r>
            <w:r w:rsidR="006E192E">
              <w:rPr>
                <w:b/>
                <w:bCs/>
                <w:lang w:val="en-GB"/>
              </w:rPr>
              <w:t>1008</w:t>
            </w:r>
          </w:p>
        </w:tc>
        <w:tc>
          <w:tcPr>
            <w:tcW w:w="284" w:type="dxa"/>
          </w:tcPr>
          <w:p w:rsidR="00E70808" w:rsidRPr="00D7066D" w:rsidRDefault="00E7080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</w:tcPr>
          <w:p w:rsidR="00C11CCD" w:rsidRDefault="00E70808" w:rsidP="00030430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To</w:t>
            </w:r>
            <w:r w:rsidR="00C11CCD">
              <w:rPr>
                <w:lang w:val="en-GB"/>
              </w:rPr>
              <w:t>:</w:t>
            </w:r>
          </w:p>
          <w:p w:rsidR="00E70808" w:rsidRDefault="00E70808" w:rsidP="00030430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 xml:space="preserve">Administrations of Member States of ITU in </w:t>
            </w:r>
            <w:r>
              <w:rPr>
                <w:lang w:val="en-GB"/>
              </w:rPr>
              <w:t>the Americas Region</w:t>
            </w:r>
          </w:p>
          <w:p w:rsidR="00E70808" w:rsidRPr="00D7066D" w:rsidRDefault="00E70808" w:rsidP="00D83C4E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 xml:space="preserve">ITU Sector Members in </w:t>
            </w:r>
            <w:r>
              <w:rPr>
                <w:lang w:val="en-GB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Americas</w:t>
                </w:r>
              </w:smartTag>
            </w:smartTag>
            <w:r>
              <w:rPr>
                <w:lang w:val="en-GB"/>
              </w:rPr>
              <w:t xml:space="preserve"> Region</w:t>
            </w:r>
          </w:p>
        </w:tc>
      </w:tr>
      <w:tr w:rsidR="00E70808" w:rsidRPr="00F11CCE" w:rsidTr="00651777">
        <w:tc>
          <w:tcPr>
            <w:tcW w:w="1276" w:type="dxa"/>
          </w:tcPr>
          <w:p w:rsidR="00E70808" w:rsidRPr="00D7066D" w:rsidRDefault="00E70808" w:rsidP="00651777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Contact:</w:t>
            </w:r>
          </w:p>
        </w:tc>
        <w:tc>
          <w:tcPr>
            <w:tcW w:w="3793" w:type="dxa"/>
          </w:tcPr>
          <w:p w:rsidR="00E70808" w:rsidRPr="00D7066D" w:rsidRDefault="00E70808" w:rsidP="00C12AA5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Arthur Levin</w:t>
            </w:r>
          </w:p>
        </w:tc>
        <w:tc>
          <w:tcPr>
            <w:tcW w:w="284" w:type="dxa"/>
          </w:tcPr>
          <w:p w:rsidR="00E70808" w:rsidRPr="00D7066D" w:rsidRDefault="00E7080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</w:tcPr>
          <w:p w:rsidR="00E70808" w:rsidRPr="00D7066D" w:rsidRDefault="00E70808" w:rsidP="00294BB2">
            <w:pPr>
              <w:tabs>
                <w:tab w:val="clear" w:pos="794"/>
                <w:tab w:val="left" w:pos="284"/>
              </w:tabs>
              <w:jc w:val="left"/>
              <w:rPr>
                <w:lang w:val="en-GB"/>
              </w:rPr>
            </w:pPr>
            <w:r w:rsidRPr="00D7066D">
              <w:rPr>
                <w:b/>
                <w:bCs/>
                <w:lang w:val="en-GB"/>
              </w:rPr>
              <w:t>Copy:</w:t>
            </w:r>
            <w:r w:rsidRPr="00D7066D">
              <w:rPr>
                <w:lang w:val="en-GB"/>
              </w:rPr>
              <w:t xml:space="preserve"> </w:t>
            </w:r>
            <w:r>
              <w:rPr>
                <w:lang w:val="en-GB"/>
              </w:rPr>
              <w:br/>
            </w:r>
            <w:r w:rsidRPr="00152D46">
              <w:t>Chairmen and Vice-Chairmen of ITU</w:t>
            </w:r>
            <w:r w:rsidR="001078B6">
              <w:t>-T</w:t>
            </w:r>
            <w:bookmarkStart w:id="3" w:name="_GoBack"/>
            <w:bookmarkEnd w:id="3"/>
            <w:r w:rsidRPr="00152D46">
              <w:t xml:space="preserve"> Study Groups</w:t>
            </w:r>
            <w:r>
              <w:t>;</w:t>
            </w:r>
            <w:r>
              <w:br/>
            </w:r>
            <w:r w:rsidRPr="00152D46">
              <w:t>Director of the Radiocommunication, Standardization and Development Bureaux;</w:t>
            </w:r>
            <w:r>
              <w:br/>
            </w:r>
            <w:r w:rsidRPr="00152D46">
              <w:t>Head of the ITU Regional Office, Brazil</w:t>
            </w:r>
            <w:r w:rsidR="006E192E">
              <w:t>;</w:t>
            </w:r>
            <w:r>
              <w:br/>
            </w:r>
            <w:r w:rsidRPr="00152D46">
              <w:t>The Permanent Mission of Argentina in Geneva</w:t>
            </w:r>
          </w:p>
        </w:tc>
      </w:tr>
      <w:tr w:rsidR="00E70808" w:rsidRPr="00F11CCE" w:rsidTr="00651777">
        <w:tc>
          <w:tcPr>
            <w:tcW w:w="1276" w:type="dxa"/>
          </w:tcPr>
          <w:p w:rsidR="00E70808" w:rsidRPr="00D7066D" w:rsidRDefault="00E70808" w:rsidP="001251AD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Telephone:</w:t>
            </w:r>
            <w:r w:rsidRPr="00D7066D">
              <w:rPr>
                <w:lang w:val="en-GB"/>
              </w:rPr>
              <w:tab/>
            </w:r>
          </w:p>
        </w:tc>
        <w:tc>
          <w:tcPr>
            <w:tcW w:w="3793" w:type="dxa"/>
          </w:tcPr>
          <w:p w:rsidR="00E70808" w:rsidRPr="00D7066D" w:rsidRDefault="00E70808" w:rsidP="001251AD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+41 22 730 6113</w:t>
            </w:r>
          </w:p>
        </w:tc>
        <w:tc>
          <w:tcPr>
            <w:tcW w:w="284" w:type="dxa"/>
          </w:tcPr>
          <w:p w:rsidR="00E70808" w:rsidRPr="00D7066D" w:rsidRDefault="00E7080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</w:tcPr>
          <w:p w:rsidR="00E70808" w:rsidRPr="00D7066D" w:rsidRDefault="00E70808" w:rsidP="00651777">
            <w:pPr>
              <w:spacing w:before="0"/>
              <w:rPr>
                <w:lang w:val="en-GB"/>
              </w:rPr>
            </w:pPr>
          </w:p>
        </w:tc>
      </w:tr>
      <w:tr w:rsidR="00E70808" w:rsidRPr="00F11CCE" w:rsidTr="00197324">
        <w:tc>
          <w:tcPr>
            <w:tcW w:w="1276" w:type="dxa"/>
          </w:tcPr>
          <w:p w:rsidR="00E70808" w:rsidRPr="00D7066D" w:rsidRDefault="00E70808" w:rsidP="00C12AA5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Telefax:</w:t>
            </w:r>
          </w:p>
          <w:p w:rsidR="00E70808" w:rsidRPr="00D7066D" w:rsidRDefault="00E70808" w:rsidP="00C12AA5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E-mail:</w:t>
            </w:r>
          </w:p>
        </w:tc>
        <w:tc>
          <w:tcPr>
            <w:tcW w:w="3793" w:type="dxa"/>
          </w:tcPr>
          <w:p w:rsidR="00E70808" w:rsidRPr="00D7066D" w:rsidRDefault="00E70808" w:rsidP="00C12AA5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+41 22 730 5853</w:t>
            </w:r>
          </w:p>
          <w:p w:rsidR="00E70808" w:rsidRDefault="001078B6" w:rsidP="00B72932">
            <w:pPr>
              <w:spacing w:before="0"/>
              <w:jc w:val="left"/>
              <w:rPr>
                <w:lang w:val="en-GB"/>
              </w:rPr>
            </w:pPr>
            <w:hyperlink r:id="rId9" w:history="1">
              <w:r w:rsidR="00E70808" w:rsidRPr="00D25253">
                <w:rPr>
                  <w:rStyle w:val="Hyperlink"/>
                  <w:rFonts w:cs="Calibri"/>
                  <w:lang w:val="en-GB"/>
                </w:rPr>
                <w:t>tsbpromo@itu.int</w:t>
              </w:r>
            </w:hyperlink>
            <w:r w:rsidR="00E70808">
              <w:rPr>
                <w:lang w:val="en-GB"/>
              </w:rPr>
              <w:t xml:space="preserve"> </w:t>
            </w:r>
          </w:p>
          <w:p w:rsidR="00D97349" w:rsidRPr="00D7066D" w:rsidRDefault="00D97349" w:rsidP="00B72932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</w:tcPr>
          <w:p w:rsidR="00E70808" w:rsidRPr="00D7066D" w:rsidRDefault="00E7080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</w:tcPr>
          <w:p w:rsidR="00E70808" w:rsidRPr="00D7066D" w:rsidRDefault="00E70808" w:rsidP="00651777">
            <w:pPr>
              <w:spacing w:before="0"/>
              <w:rPr>
                <w:lang w:val="en-GB"/>
              </w:rPr>
            </w:pPr>
          </w:p>
        </w:tc>
      </w:tr>
      <w:tr w:rsidR="00D97349" w:rsidRPr="00F11CCE" w:rsidTr="00651777">
        <w:tc>
          <w:tcPr>
            <w:tcW w:w="1276" w:type="dxa"/>
          </w:tcPr>
          <w:p w:rsidR="00D97349" w:rsidRPr="00D7066D" w:rsidRDefault="00D97349" w:rsidP="00BB3D76">
            <w:pPr>
              <w:spacing w:before="0"/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Contact: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 w:rsidRPr="00D7066D">
              <w:rPr>
                <w:lang w:val="en-GB"/>
              </w:rPr>
              <w:t>Telephone:</w:t>
            </w:r>
            <w:r>
              <w:rPr>
                <w:lang w:val="en-GB"/>
              </w:rPr>
              <w:br/>
            </w:r>
            <w:r w:rsidRPr="00D7066D">
              <w:rPr>
                <w:lang w:val="en-GB"/>
              </w:rPr>
              <w:t>Telefax:</w:t>
            </w:r>
            <w:r>
              <w:rPr>
                <w:lang w:val="en-GB"/>
              </w:rPr>
              <w:br/>
            </w:r>
            <w:r w:rsidRPr="00D7066D">
              <w:rPr>
                <w:lang w:val="en-GB"/>
              </w:rPr>
              <w:t>E-mail:</w:t>
            </w:r>
          </w:p>
          <w:p w:rsidR="00D97349" w:rsidRPr="00D7066D" w:rsidRDefault="00D97349" w:rsidP="00BB3D76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3793" w:type="dxa"/>
          </w:tcPr>
          <w:p w:rsidR="00D97349" w:rsidRPr="00AC4C77" w:rsidRDefault="00D97349" w:rsidP="00D97349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Héctor Huerta</w:t>
            </w:r>
          </w:p>
          <w:p w:rsidR="00D97349" w:rsidRPr="00AC4C77" w:rsidRDefault="00D97349" w:rsidP="00D97349">
            <w:pPr>
              <w:spacing w:before="0"/>
              <w:jc w:val="left"/>
              <w:rPr>
                <w:lang w:val="en-GB"/>
              </w:rPr>
            </w:pPr>
            <w:r w:rsidRPr="00AC4C77">
              <w:rPr>
                <w:lang w:val="en-GB"/>
              </w:rPr>
              <w:t xml:space="preserve">ITU Area Office for the </w:t>
            </w:r>
            <w:r>
              <w:rPr>
                <w:lang w:val="en-GB"/>
              </w:rPr>
              <w:t>Americas</w:t>
            </w:r>
          </w:p>
          <w:p w:rsidR="00D97349" w:rsidRPr="00AC4C77" w:rsidRDefault="00D97349" w:rsidP="00D97349">
            <w:pPr>
              <w:spacing w:before="0"/>
              <w:jc w:val="left"/>
              <w:rPr>
                <w:lang w:val="en-GB"/>
              </w:rPr>
            </w:pPr>
            <w:r w:rsidRPr="00AC4C77">
              <w:rPr>
                <w:lang w:val="en-GB"/>
              </w:rPr>
              <w:t>+</w:t>
            </w:r>
            <w:r>
              <w:t>55 61 2312-2730</w:t>
            </w:r>
          </w:p>
          <w:p w:rsidR="00D97349" w:rsidRPr="00AC4C77" w:rsidRDefault="00D97349" w:rsidP="00D97349">
            <w:pPr>
              <w:spacing w:before="0"/>
              <w:jc w:val="left"/>
              <w:rPr>
                <w:lang w:val="en-GB"/>
              </w:rPr>
            </w:pPr>
            <w:r w:rsidRPr="00AC4C77">
              <w:rPr>
                <w:lang w:val="en-GB"/>
              </w:rPr>
              <w:t>+</w:t>
            </w:r>
            <w:r>
              <w:t>55 61 2312-2738</w:t>
            </w:r>
          </w:p>
          <w:p w:rsidR="00D97349" w:rsidRPr="00D7066D" w:rsidRDefault="001078B6" w:rsidP="00BB3D76">
            <w:pPr>
              <w:spacing w:before="0"/>
              <w:jc w:val="left"/>
              <w:rPr>
                <w:lang w:val="en-GB"/>
              </w:rPr>
            </w:pPr>
            <w:hyperlink r:id="rId10" w:history="1">
              <w:r w:rsidR="00D97349">
                <w:rPr>
                  <w:rStyle w:val="Hyperlink"/>
                </w:rPr>
                <w:t>hector.huerta@itu.int</w:t>
              </w:r>
            </w:hyperlink>
          </w:p>
        </w:tc>
        <w:tc>
          <w:tcPr>
            <w:tcW w:w="284" w:type="dxa"/>
          </w:tcPr>
          <w:p w:rsidR="00D97349" w:rsidRPr="00D7066D" w:rsidRDefault="00D97349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</w:tcPr>
          <w:p w:rsidR="00D97349" w:rsidRPr="00D7066D" w:rsidRDefault="00D97349" w:rsidP="00651777">
            <w:pPr>
              <w:spacing w:before="0"/>
              <w:rPr>
                <w:lang w:val="en-GB"/>
              </w:rPr>
            </w:pPr>
          </w:p>
        </w:tc>
      </w:tr>
      <w:tr w:rsidR="00D97349" w:rsidRPr="003B365C" w:rsidTr="00651777">
        <w:tc>
          <w:tcPr>
            <w:tcW w:w="1276" w:type="dxa"/>
          </w:tcPr>
          <w:p w:rsidR="00D97349" w:rsidRPr="00D7066D" w:rsidRDefault="00D97349" w:rsidP="00651777">
            <w:pPr>
              <w:jc w:val="left"/>
              <w:rPr>
                <w:lang w:val="en-GB"/>
              </w:rPr>
            </w:pPr>
            <w:r w:rsidRPr="00D7066D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</w:tcPr>
          <w:p w:rsidR="00D97349" w:rsidRPr="00D7066D" w:rsidRDefault="006E192E" w:rsidP="00B273B2">
            <w:pPr>
              <w:jc w:val="left"/>
              <w:rPr>
                <w:b/>
                <w:bCs/>
                <w:spacing w:val="6"/>
                <w:lang w:val="en-GB"/>
              </w:rPr>
            </w:pPr>
            <w:r>
              <w:rPr>
                <w:b/>
                <w:bCs/>
                <w:spacing w:val="6"/>
                <w:lang w:val="en-GB"/>
              </w:rPr>
              <w:t xml:space="preserve">Americas Region </w:t>
            </w:r>
            <w:r w:rsidR="00D97349" w:rsidRPr="00D7066D">
              <w:rPr>
                <w:b/>
                <w:bCs/>
                <w:spacing w:val="6"/>
                <w:lang w:val="en-GB"/>
              </w:rPr>
              <w:t>Preparatory Meeting for the World Telecommunication Standardization Assembly (WTSA-12) and</w:t>
            </w:r>
            <w:r w:rsidR="00D97349">
              <w:rPr>
                <w:b/>
                <w:bCs/>
                <w:spacing w:val="6"/>
                <w:lang w:val="en-GB"/>
              </w:rPr>
              <w:t xml:space="preserve"> </w:t>
            </w:r>
            <w:r w:rsidR="00D97349" w:rsidRPr="00D7066D">
              <w:rPr>
                <w:b/>
                <w:bCs/>
                <w:spacing w:val="6"/>
                <w:lang w:val="en-GB"/>
              </w:rPr>
              <w:t xml:space="preserve">Preparatory Meeting for the World Conference on International Telecommunications (WCIT-12), </w:t>
            </w:r>
            <w:r w:rsidR="00D97349">
              <w:rPr>
                <w:b/>
                <w:bCs/>
                <w:spacing w:val="6"/>
                <w:lang w:val="en-GB"/>
              </w:rPr>
              <w:br/>
              <w:t>Buenos Aires, Argentina, 14-15</w:t>
            </w:r>
            <w:r w:rsidR="00D97349" w:rsidRPr="00D7066D">
              <w:rPr>
                <w:b/>
                <w:bCs/>
                <w:spacing w:val="6"/>
                <w:lang w:val="en-GB"/>
              </w:rPr>
              <w:t xml:space="preserve"> </w:t>
            </w:r>
            <w:r w:rsidR="00D97349">
              <w:rPr>
                <w:b/>
                <w:bCs/>
                <w:spacing w:val="6"/>
                <w:lang w:val="en-GB"/>
              </w:rPr>
              <w:t xml:space="preserve">May </w:t>
            </w:r>
            <w:r w:rsidR="00D97349" w:rsidRPr="00D7066D">
              <w:rPr>
                <w:b/>
                <w:bCs/>
                <w:spacing w:val="6"/>
                <w:lang w:val="en-GB"/>
              </w:rPr>
              <w:t>2012</w:t>
            </w:r>
          </w:p>
        </w:tc>
      </w:tr>
    </w:tbl>
    <w:p w:rsidR="00E70808" w:rsidRPr="00D7066D" w:rsidRDefault="00E70808" w:rsidP="00953AB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 w:line="240" w:lineRule="auto"/>
      </w:pPr>
      <w:r w:rsidRPr="00D7066D">
        <w:t>Dear Sir/Madam,</w:t>
      </w:r>
    </w:p>
    <w:p w:rsidR="00E70808" w:rsidRPr="003B365C" w:rsidRDefault="00E70808" w:rsidP="00B97BAE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</w:pPr>
      <w:r w:rsidRPr="00D7066D">
        <w:rPr>
          <w:bCs/>
        </w:rPr>
        <w:t>1</w:t>
      </w:r>
      <w:r w:rsidRPr="00D7066D">
        <w:tab/>
        <w:t>By means of this letter, the ITU has the</w:t>
      </w:r>
      <w:r w:rsidRPr="003B365C">
        <w:t xml:space="preserve"> pleasure to invite your administration or organization to attend </w:t>
      </w:r>
      <w:r>
        <w:t xml:space="preserve">the Americas Region </w:t>
      </w:r>
      <w:r w:rsidRPr="00E66CEC">
        <w:rPr>
          <w:spacing w:val="6"/>
          <w:lang w:val="en-GB"/>
        </w:rPr>
        <w:t xml:space="preserve">Preparatory Meeting for the World Telecommunication Standardization Assembly (WTSA-12), and </w:t>
      </w:r>
      <w:r>
        <w:rPr>
          <w:spacing w:val="6"/>
          <w:lang w:val="en-GB"/>
        </w:rPr>
        <w:t xml:space="preserve">the </w:t>
      </w:r>
      <w:r w:rsidRPr="00E66CEC">
        <w:rPr>
          <w:spacing w:val="6"/>
          <w:lang w:val="en-GB"/>
        </w:rPr>
        <w:t>Preparatory Meeting for the World Conference on International Telecommunications (WCIT-12), 14-15 May 2012 in Buenos Aires, Argentina</w:t>
      </w:r>
      <w:r w:rsidRPr="003B365C">
        <w:t>.</w:t>
      </w:r>
      <w:r w:rsidR="00B97BAE">
        <w:t xml:space="preserve">  These meetings will be followed by the XX Meeting of PCC.I of the Inter-American Telecommunication Commission – CITEL.</w:t>
      </w:r>
    </w:p>
    <w:p w:rsidR="00E70808" w:rsidRPr="003B365C" w:rsidRDefault="00E70808" w:rsidP="0015795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</w:pPr>
      <w:r>
        <w:t>2</w:t>
      </w:r>
      <w:r>
        <w:tab/>
      </w:r>
      <w:r w:rsidRPr="00580396">
        <w:t>The meetings are organized by the ITU</w:t>
      </w:r>
      <w:r w:rsidR="00BF6056">
        <w:t xml:space="preserve"> and the </w:t>
      </w:r>
      <w:r w:rsidRPr="002D6973">
        <w:rPr>
          <w:lang w:val="en-GB"/>
        </w:rPr>
        <w:t xml:space="preserve">hosts are Secretaría de Comunicaciones and Comisión Nacional de Comunicaciones. </w:t>
      </w:r>
      <w:r w:rsidRPr="003B365C">
        <w:t xml:space="preserve">The </w:t>
      </w:r>
      <w:r w:rsidR="00766685">
        <w:t xml:space="preserve">exact </w:t>
      </w:r>
      <w:r>
        <w:t xml:space="preserve">venue of the </w:t>
      </w:r>
      <w:r w:rsidRPr="003B365C">
        <w:t>meetings will</w:t>
      </w:r>
      <w:r>
        <w:t xml:space="preserve"> be confirmed at a later date</w:t>
      </w:r>
      <w:r w:rsidR="00C11CCD">
        <w:t>.</w:t>
      </w:r>
      <w:r>
        <w:t xml:space="preserve"> </w:t>
      </w:r>
      <w:r w:rsidR="00C11CCD">
        <w:t>P</w:t>
      </w:r>
      <w:r>
        <w:t xml:space="preserve">lease check our website: </w:t>
      </w:r>
      <w:hyperlink r:id="rId11" w:history="1">
        <w:r w:rsidR="00953AB7" w:rsidRPr="00DF408F">
          <w:rPr>
            <w:rStyle w:val="Hyperlink"/>
            <w:rFonts w:cs="Calibri"/>
          </w:rPr>
          <w:t>http://itu.int/en/ITU-T/wtsa-12/prepmeet/Pages/americas.aspx</w:t>
        </w:r>
      </w:hyperlink>
      <w:r w:rsidR="000B71A2">
        <w:t xml:space="preserve"> </w:t>
      </w:r>
      <w:r w:rsidRPr="001C0701">
        <w:t>.</w:t>
      </w:r>
      <w:r w:rsidRPr="003B365C">
        <w:t xml:space="preserve"> ITU will be represented at the meeting</w:t>
      </w:r>
      <w:r>
        <w:t>s</w:t>
      </w:r>
      <w:r w:rsidRPr="003B365C">
        <w:t xml:space="preserve"> by Malcolm Johnson, Director</w:t>
      </w:r>
      <w:r>
        <w:t xml:space="preserve"> of the</w:t>
      </w:r>
      <w:r w:rsidRPr="003B365C">
        <w:t xml:space="preserve"> Telecommunication Standardization Bureau.</w:t>
      </w:r>
    </w:p>
    <w:p w:rsidR="00E70808" w:rsidRDefault="00E70808" w:rsidP="004D1823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</w:pPr>
      <w:r>
        <w:t>3</w:t>
      </w:r>
      <w:r>
        <w:tab/>
      </w:r>
      <w:r w:rsidRPr="003B365C">
        <w:t xml:space="preserve">Participation in the Preparatory Meeting for WTSA-12 is free and </w:t>
      </w:r>
      <w:r w:rsidRPr="003B365C">
        <w:rPr>
          <w:b/>
          <w:bCs/>
        </w:rPr>
        <w:t>restricted</w:t>
      </w:r>
      <w:r w:rsidRPr="003B365C">
        <w:t xml:space="preserve"> to ITU Member States and </w:t>
      </w:r>
      <w:r w:rsidR="004D1823">
        <w:t xml:space="preserve">ITU-T </w:t>
      </w:r>
      <w:r w:rsidRPr="003B365C">
        <w:t xml:space="preserve">Sector Members of </w:t>
      </w:r>
      <w:r>
        <w:t>the Americas</w:t>
      </w:r>
      <w:r w:rsidRPr="003B365C">
        <w:t xml:space="preserve"> Region, and representatives of other regional organizations</w:t>
      </w:r>
      <w:r w:rsidR="000B3696">
        <w:t>.</w:t>
      </w:r>
    </w:p>
    <w:p w:rsidR="00E70808" w:rsidRDefault="00E70808" w:rsidP="00294BB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</w:pPr>
      <w:r>
        <w:t>4</w:t>
      </w:r>
      <w:r>
        <w:tab/>
      </w:r>
      <w:r w:rsidRPr="003B365C">
        <w:t xml:space="preserve">Participation in the Preparatory Meetings for WCIT-12 is free and </w:t>
      </w:r>
      <w:r w:rsidRPr="003B365C">
        <w:rPr>
          <w:b/>
          <w:bCs/>
        </w:rPr>
        <w:t>restricted</w:t>
      </w:r>
      <w:r w:rsidRPr="003B365C">
        <w:t xml:space="preserve"> to ITU Member States and Sector Members of </w:t>
      </w:r>
      <w:r>
        <w:t>the Americas</w:t>
      </w:r>
      <w:r w:rsidRPr="003B365C">
        <w:t xml:space="preserve"> Region, and representatives of other regional organizations</w:t>
      </w:r>
      <w:r w:rsidR="000B3696">
        <w:t>.</w:t>
      </w:r>
    </w:p>
    <w:p w:rsidR="00E70808" w:rsidRDefault="00E70808" w:rsidP="00294BB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</w:pPr>
      <w:r>
        <w:t>5</w:t>
      </w:r>
      <w:r w:rsidRPr="003B365C">
        <w:tab/>
        <w:t>The ITU World Telecommunication Standardization Assembly (WTSA-12) will be held in Dubai, United Arab Emirates, 20-29 November 2012, and will be preceded by the Global Standards Symposium (GSS-12) (</w:t>
      </w:r>
      <w:hyperlink r:id="rId12" w:history="1">
        <w:r w:rsidR="00157954" w:rsidRPr="00BE29F1">
          <w:rPr>
            <w:rStyle w:val="Hyperlink"/>
            <w:rFonts w:cs="Calibri"/>
          </w:rPr>
          <w:t>http://itu.int/en/ITU-T/wtsa-12/pages/default.aspx</w:t>
        </w:r>
      </w:hyperlink>
      <w:r w:rsidRPr="003B365C">
        <w:t xml:space="preserve">). The Preparatory Meeting for WTSA-12 </w:t>
      </w:r>
      <w:r>
        <w:t>for the Americas Region, to be held on 14 May</w:t>
      </w:r>
      <w:r w:rsidRPr="003B365C">
        <w:t xml:space="preserve"> 2012</w:t>
      </w:r>
      <w:r>
        <w:t>,</w:t>
      </w:r>
      <w:r w:rsidRPr="003B365C">
        <w:t xml:space="preserve"> will provide information about WTSA</w:t>
      </w:r>
      <w:r>
        <w:t>-12</w:t>
      </w:r>
      <w:r w:rsidRPr="003B365C">
        <w:t xml:space="preserve"> and </w:t>
      </w:r>
      <w:r>
        <w:t xml:space="preserve">will </w:t>
      </w:r>
      <w:r w:rsidRPr="003B365C">
        <w:t xml:space="preserve">aim at </w:t>
      </w:r>
      <w:r w:rsidRPr="003B365C">
        <w:lastRenderedPageBreak/>
        <w:t xml:space="preserve">coordinating the views of the region on issues considered to be of particular relevance for consolidation and presentation as regional proposals </w:t>
      </w:r>
      <w:r>
        <w:t>to</w:t>
      </w:r>
      <w:r w:rsidRPr="003B365C">
        <w:t xml:space="preserve"> the Assembly. </w:t>
      </w:r>
    </w:p>
    <w:p w:rsidR="00E70808" w:rsidRPr="003B365C" w:rsidRDefault="00E70808" w:rsidP="00B273B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b/>
        </w:rPr>
      </w:pPr>
      <w:r>
        <w:t>6</w:t>
      </w:r>
      <w:r w:rsidRPr="003B365C">
        <w:tab/>
        <w:t>The first-ever World Conference on International Telecommunications (WCIT-12) will be held from 3-14 December 2012, also in Dubai (</w:t>
      </w:r>
      <w:hyperlink r:id="rId13" w:history="1">
        <w:r w:rsidR="00953AB7" w:rsidRPr="00DF408F">
          <w:rPr>
            <w:rStyle w:val="Hyperlink"/>
            <w:rFonts w:cs="Calibri"/>
          </w:rPr>
          <w:t>http://itu.int/en/wcit-12/Pages/default.aspx</w:t>
        </w:r>
      </w:hyperlink>
      <w:r w:rsidRPr="003B365C">
        <w:t xml:space="preserve">). The </w:t>
      </w:r>
      <w:r w:rsidRPr="003B365C">
        <w:rPr>
          <w:rStyle w:val="Strong"/>
          <w:rFonts w:cs="Calibri"/>
          <w:b w:val="0"/>
          <w:bCs/>
        </w:rPr>
        <w:t xml:space="preserve">International Telecommunication Regulations (ITRs) will be revised at WCIT-12.  </w:t>
      </w:r>
      <w:r w:rsidRPr="003B365C">
        <w:rPr>
          <w:bCs/>
        </w:rPr>
        <w:t xml:space="preserve">The </w:t>
      </w:r>
      <w:r w:rsidRPr="003B365C">
        <w:rPr>
          <w:bCs/>
          <w:color w:val="000000"/>
        </w:rPr>
        <w:t xml:space="preserve">Regional Preparatory Meeting for WCIT-12 </w:t>
      </w:r>
      <w:r>
        <w:t xml:space="preserve">for the Americas Region, to be held on </w:t>
      </w:r>
      <w:r>
        <w:rPr>
          <w:bCs/>
          <w:color w:val="000000"/>
        </w:rPr>
        <w:t>15 May</w:t>
      </w:r>
      <w:r w:rsidRPr="003B365C">
        <w:rPr>
          <w:bCs/>
          <w:color w:val="000000"/>
        </w:rPr>
        <w:t xml:space="preserve"> 2012</w:t>
      </w:r>
      <w:r>
        <w:rPr>
          <w:bCs/>
          <w:color w:val="000000"/>
        </w:rPr>
        <w:t>,</w:t>
      </w:r>
      <w:r w:rsidRPr="003B365C">
        <w:rPr>
          <w:b/>
          <w:color w:val="000000"/>
        </w:rPr>
        <w:t xml:space="preserve"> </w:t>
      </w:r>
      <w:r w:rsidRPr="003B365C">
        <w:rPr>
          <w:rStyle w:val="Strong"/>
          <w:rFonts w:cs="Calibri"/>
          <w:b w:val="0"/>
          <w:bCs/>
        </w:rPr>
        <w:t>will provide important information about this event and its preparations, including background on the issues to be discussed and the ITRs</w:t>
      </w:r>
      <w:r>
        <w:rPr>
          <w:rStyle w:val="Strong"/>
          <w:rFonts w:cs="Calibri"/>
          <w:b w:val="0"/>
          <w:bCs/>
        </w:rPr>
        <w:t xml:space="preserve">, and will </w:t>
      </w:r>
      <w:r w:rsidRPr="003B365C">
        <w:rPr>
          <w:rStyle w:val="Strong"/>
          <w:rFonts w:cs="Calibri"/>
          <w:b w:val="0"/>
          <w:bCs/>
        </w:rPr>
        <w:t xml:space="preserve">aim at coordinating regional views which will be presented </w:t>
      </w:r>
      <w:r>
        <w:rPr>
          <w:rStyle w:val="Strong"/>
          <w:rFonts w:cs="Calibri"/>
          <w:b w:val="0"/>
          <w:bCs/>
        </w:rPr>
        <w:t>to</w:t>
      </w:r>
      <w:r w:rsidRPr="003B365C">
        <w:rPr>
          <w:rStyle w:val="Strong"/>
          <w:rFonts w:cs="Calibri"/>
          <w:b w:val="0"/>
          <w:bCs/>
        </w:rPr>
        <w:t xml:space="preserve"> the Conference.</w:t>
      </w:r>
    </w:p>
    <w:p w:rsidR="00E70808" w:rsidRDefault="00E70808" w:rsidP="000B71A2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</w:pPr>
      <w:r>
        <w:t>7</w:t>
      </w:r>
      <w:r w:rsidRPr="003B365C">
        <w:tab/>
      </w:r>
      <w:r>
        <w:rPr>
          <w:b/>
          <w:bCs/>
        </w:rPr>
        <w:t xml:space="preserve">Preliminary Programmes </w:t>
      </w:r>
      <w:r w:rsidRPr="003B365C">
        <w:t xml:space="preserve">for </w:t>
      </w:r>
      <w:r>
        <w:t xml:space="preserve">these meetings are set out in </w:t>
      </w:r>
      <w:r w:rsidRPr="007E1A9A">
        <w:rPr>
          <w:b/>
          <w:bCs/>
        </w:rPr>
        <w:t>Annex 1</w:t>
      </w:r>
      <w:r>
        <w:t xml:space="preserve">. Updated versions </w:t>
      </w:r>
      <w:r w:rsidRPr="003B365C">
        <w:t xml:space="preserve">and further information about the meetings will be available at the </w:t>
      </w:r>
      <w:r>
        <w:t>ITU</w:t>
      </w:r>
      <w:r w:rsidRPr="003B365C">
        <w:t xml:space="preserve"> website </w:t>
      </w:r>
      <w:hyperlink r:id="rId14" w:history="1">
        <w:r w:rsidR="001E4CCC" w:rsidRPr="00DF408F">
          <w:rPr>
            <w:rStyle w:val="Hyperlink"/>
            <w:rFonts w:cs="Calibri"/>
          </w:rPr>
          <w:t>http://itu.int/en/ITU-T/wtsa-12/prepmeet/Pages/americas.aspx</w:t>
        </w:r>
      </w:hyperlink>
      <w:r w:rsidR="000B71A2">
        <w:t xml:space="preserve"> </w:t>
      </w:r>
      <w:r w:rsidRPr="003B365C">
        <w:t>. The information will be updated as new or modified information becomes available.</w:t>
      </w:r>
    </w:p>
    <w:p w:rsidR="00E70808" w:rsidRPr="003B365C" w:rsidRDefault="00E70808" w:rsidP="001903D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jc w:val="both"/>
      </w:pPr>
      <w:r>
        <w:t>8</w:t>
      </w:r>
      <w:r w:rsidRPr="003B365C">
        <w:tab/>
      </w:r>
      <w:r w:rsidRPr="006B35BF">
        <w:rPr>
          <w:b/>
          <w:bCs/>
        </w:rPr>
        <w:t>Interpretation and documentation:</w:t>
      </w:r>
      <w:r>
        <w:t xml:space="preserve">  Discussions at the meetings will be held in English and Spanish. Simultaneous interpretation will be provided.</w:t>
      </w:r>
      <w:r w:rsidRPr="003B365C">
        <w:t xml:space="preserve"> </w:t>
      </w:r>
      <w:r w:rsidRPr="003B365C">
        <w:rPr>
          <w:color w:val="0000FF"/>
          <w:u w:val="single"/>
        </w:rPr>
        <w:t>Please note that this will be a paperless meeting</w:t>
      </w:r>
      <w:r w:rsidRPr="003B365C">
        <w:t xml:space="preserve"> and in order to facilitate meeting management and document handling process, ITU encourages the use of electronic documents during the meeting. </w:t>
      </w:r>
      <w:r w:rsidRPr="003B365C">
        <w:rPr>
          <w:color w:val="0000FF"/>
          <w:u w:val="single"/>
        </w:rPr>
        <w:t>Electronic copies of the meeting documents will be made available on the website</w:t>
      </w:r>
      <w:r w:rsidRPr="003B365C">
        <w:t xml:space="preserve">. Delegates are encouraged to bring their laptop computers for the meeting. </w:t>
      </w:r>
    </w:p>
    <w:p w:rsidR="00E70808" w:rsidRPr="003B365C" w:rsidRDefault="00E70808" w:rsidP="00C060C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jc w:val="both"/>
      </w:pPr>
      <w:r>
        <w:t>9</w:t>
      </w:r>
      <w:r w:rsidRPr="003B365C">
        <w:tab/>
      </w:r>
      <w:r w:rsidRPr="003B365C">
        <w:rPr>
          <w:b/>
          <w:bCs/>
        </w:rPr>
        <w:t>Fellowships:</w:t>
      </w:r>
      <w:r w:rsidRPr="003B365C">
        <w:t xml:space="preserve"> </w:t>
      </w:r>
      <w:r w:rsidRPr="00F75008">
        <w:t xml:space="preserve">ITU will provide one full </w:t>
      </w:r>
      <w:r>
        <w:t xml:space="preserve">or two partial </w:t>
      </w:r>
      <w:r w:rsidRPr="00F75008">
        <w:t>fellowship</w:t>
      </w:r>
      <w:r>
        <w:t>s</w:t>
      </w:r>
      <w:r w:rsidRPr="00F75008">
        <w:t xml:space="preserve"> covering return</w:t>
      </w:r>
      <w:r>
        <w:t xml:space="preserve"> air ticket and daily allowance for each eligible country within the </w:t>
      </w:r>
      <w:smartTag w:uri="urn:schemas-microsoft-com:office:smarttags" w:element="City">
        <w:r>
          <w:t>Americas</w:t>
        </w:r>
      </w:smartTag>
      <w:r w:rsidRPr="00D71CB5">
        <w:t xml:space="preserve"> only and within the available budget. The participants must be duly authorized by the respective </w:t>
      </w:r>
      <w:r>
        <w:t xml:space="preserve">eligible </w:t>
      </w:r>
      <w:r w:rsidRPr="00D71CB5">
        <w:t>Administration</w:t>
      </w:r>
      <w:r>
        <w:t xml:space="preserve"> (low-Income developing countries with per-capita income under US 2,000).  While the provision of </w:t>
      </w:r>
      <w:r w:rsidRPr="00B82370">
        <w:t>fellowship</w:t>
      </w:r>
      <w:r>
        <w:t>s</w:t>
      </w:r>
      <w:r w:rsidRPr="00B82370">
        <w:t xml:space="preserve"> is</w:t>
      </w:r>
      <w:r>
        <w:t xml:space="preserve"> </w:t>
      </w:r>
      <w:r w:rsidRPr="00B82370">
        <w:t xml:space="preserve">limited to only one </w:t>
      </w:r>
      <w:r>
        <w:t>full or two partial</w:t>
      </w:r>
      <w:r w:rsidRPr="00B82370">
        <w:t xml:space="preserve"> per country, the number of delegates from a country is not limited</w:t>
      </w:r>
      <w:r w:rsidRPr="00D76538">
        <w:t xml:space="preserve"> </w:t>
      </w:r>
      <w:r w:rsidRPr="00B82370">
        <w:t>provided the expenses of additional delegates are borne by the country.</w:t>
      </w:r>
      <w:r>
        <w:t xml:space="preserve"> </w:t>
      </w:r>
      <w:r w:rsidRPr="00B82370">
        <w:t>Participants requiring a</w:t>
      </w:r>
      <w:r>
        <w:t xml:space="preserve"> </w:t>
      </w:r>
      <w:r w:rsidRPr="00B82370">
        <w:t>fellowship are</w:t>
      </w:r>
      <w:r>
        <w:t xml:space="preserve"> requested to complete the </w:t>
      </w:r>
      <w:r w:rsidRPr="00782663">
        <w:t>Fellowship Request Form in</w:t>
      </w:r>
      <w:r w:rsidRPr="00B82370">
        <w:t xml:space="preserve"> </w:t>
      </w:r>
      <w:r w:rsidRPr="006348AD">
        <w:rPr>
          <w:b/>
          <w:bCs/>
        </w:rPr>
        <w:t xml:space="preserve">Annex </w:t>
      </w:r>
      <w:r>
        <w:rPr>
          <w:b/>
          <w:bCs/>
        </w:rPr>
        <w:t>3</w:t>
      </w:r>
      <w:r w:rsidRPr="00B82370">
        <w:rPr>
          <w:b/>
          <w:bCs/>
        </w:rPr>
        <w:t xml:space="preserve"> </w:t>
      </w:r>
      <w:r w:rsidRPr="00B82370">
        <w:t xml:space="preserve">and return it to the </w:t>
      </w:r>
      <w:r w:rsidRPr="00782663">
        <w:t xml:space="preserve">ITU by </w:t>
      </w:r>
      <w:r w:rsidRPr="00782663">
        <w:rPr>
          <w:rFonts w:cs="Arial"/>
        </w:rPr>
        <w:t>e-mail to:</w:t>
      </w:r>
      <w:r w:rsidRPr="00B82370">
        <w:rPr>
          <w:rFonts w:cs="Arial"/>
          <w:b/>
          <w:bCs/>
        </w:rPr>
        <w:t xml:space="preserve"> </w:t>
      </w:r>
      <w:hyperlink r:id="rId15" w:history="1">
        <w:r w:rsidRPr="00B82370">
          <w:rPr>
            <w:rStyle w:val="Hyperlink"/>
            <w:rFonts w:cs="Arial"/>
          </w:rPr>
          <w:t>bdtfellowships@itu.int</w:t>
        </w:r>
      </w:hyperlink>
      <w:r w:rsidRPr="00B82370">
        <w:rPr>
          <w:rFonts w:cs="Arial"/>
          <w:b/>
          <w:bCs/>
        </w:rPr>
        <w:t xml:space="preserve"> </w:t>
      </w:r>
      <w:r w:rsidRPr="00782663">
        <w:rPr>
          <w:rFonts w:cs="Arial"/>
        </w:rPr>
        <w:t>or by</w:t>
      </w:r>
      <w:r w:rsidRPr="00B82370">
        <w:rPr>
          <w:rFonts w:cs="Arial"/>
          <w:b/>
          <w:bCs/>
        </w:rPr>
        <w:t xml:space="preserve"> </w:t>
      </w:r>
      <w:r w:rsidRPr="00B82370">
        <w:t xml:space="preserve">fax to +41 22 730 5778 </w:t>
      </w:r>
      <w:r w:rsidRPr="006F050B">
        <w:t xml:space="preserve">by </w:t>
      </w:r>
      <w:r w:rsidRPr="006B35BF">
        <w:rPr>
          <w:b/>
          <w:bCs/>
        </w:rPr>
        <w:t>15 April 2012</w:t>
      </w:r>
      <w:r w:rsidRPr="006F050B">
        <w:rPr>
          <w:b/>
          <w:bCs/>
        </w:rPr>
        <w:t xml:space="preserve"> </w:t>
      </w:r>
      <w:r w:rsidRPr="006F050B">
        <w:t>at the</w:t>
      </w:r>
      <w:r w:rsidRPr="00782663">
        <w:t xml:space="preserve"> latest</w:t>
      </w:r>
      <w:r>
        <w:rPr>
          <w:b/>
          <w:bCs/>
        </w:rPr>
        <w:t>.</w:t>
      </w:r>
    </w:p>
    <w:p w:rsidR="00E70808" w:rsidRPr="003B365C" w:rsidRDefault="00E70808" w:rsidP="006425E5">
      <w:r>
        <w:t>10</w:t>
      </w:r>
      <w:r w:rsidRPr="003B365C">
        <w:tab/>
      </w:r>
      <w:r w:rsidRPr="003B365C">
        <w:rPr>
          <w:b/>
          <w:bCs/>
        </w:rPr>
        <w:t>Registration:</w:t>
      </w:r>
      <w:r w:rsidRPr="003B365C">
        <w:t xml:space="preserve">  Please note that registration of participants for the meeting </w:t>
      </w:r>
      <w:r>
        <w:t>will be</w:t>
      </w:r>
      <w:r w:rsidRPr="003B365C">
        <w:t xml:space="preserve"> done </w:t>
      </w:r>
      <w:r>
        <w:t xml:space="preserve">exclusively </w:t>
      </w:r>
      <w:r w:rsidRPr="003B365C">
        <w:t>online at the following website:</w:t>
      </w:r>
      <w:r>
        <w:t xml:space="preserve"> </w:t>
      </w:r>
      <w:hyperlink r:id="rId16" w:history="1">
        <w:r w:rsidR="005F3443" w:rsidRPr="00A54E2F">
          <w:rPr>
            <w:rStyle w:val="Hyperlink"/>
            <w:rFonts w:cs="Calibri"/>
          </w:rPr>
          <w:t>http://itu.int/reg/wcit/3000363</w:t>
        </w:r>
      </w:hyperlink>
      <w:r>
        <w:t xml:space="preserve"> .</w:t>
      </w:r>
      <w:r w:rsidRPr="003B365C">
        <w:t xml:space="preserve"> To make the necessary arrangements concerning the organization of WTSA-12 and WCIT-12 Preparatory Meetings, we should be grateful if you would register as soon as possible, but not later than </w:t>
      </w:r>
      <w:r w:rsidRPr="006B35BF">
        <w:rPr>
          <w:b/>
          <w:bCs/>
        </w:rPr>
        <w:t>1</w:t>
      </w:r>
      <w:r>
        <w:rPr>
          <w:b/>
          <w:bCs/>
        </w:rPr>
        <w:t>4</w:t>
      </w:r>
      <w:r w:rsidRPr="006B35BF">
        <w:rPr>
          <w:b/>
          <w:bCs/>
        </w:rPr>
        <w:t xml:space="preserve"> Ap</w:t>
      </w:r>
      <w:r>
        <w:rPr>
          <w:b/>
          <w:bCs/>
        </w:rPr>
        <w:t>r</w:t>
      </w:r>
      <w:r w:rsidRPr="006B35BF">
        <w:rPr>
          <w:b/>
          <w:bCs/>
        </w:rPr>
        <w:t xml:space="preserve">il </w:t>
      </w:r>
      <w:r w:rsidRPr="003F4FB6">
        <w:rPr>
          <w:b/>
          <w:bCs/>
        </w:rPr>
        <w:t>2012</w:t>
      </w:r>
      <w:r w:rsidRPr="003B365C">
        <w:rPr>
          <w:b/>
          <w:bCs/>
        </w:rPr>
        <w:t>.</w:t>
      </w:r>
    </w:p>
    <w:p w:rsidR="00E70808" w:rsidRDefault="00E70808" w:rsidP="00C060C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jc w:val="both"/>
      </w:pPr>
      <w:r>
        <w:t>11</w:t>
      </w:r>
      <w:r w:rsidRPr="00B20A29">
        <w:tab/>
      </w:r>
      <w:r w:rsidRPr="006425E5">
        <w:rPr>
          <w:b/>
          <w:bCs/>
        </w:rPr>
        <w:t>Visas:</w:t>
      </w:r>
      <w:r w:rsidRPr="006425E5">
        <w:t xml:space="preserve">  There may be visa requirements for citizens of some countries to enter </w:t>
      </w:r>
      <w:smartTag w:uri="urn:schemas-microsoft-com:office:smarttags" w:element="City">
        <w:r w:rsidRPr="006425E5">
          <w:t>Argentina</w:t>
        </w:r>
      </w:smartTag>
      <w:r w:rsidRPr="006425E5">
        <w:t xml:space="preserve">. Where that is the case, the visa must be requested and obtained from the office (embassy or consulate) representing </w:t>
      </w:r>
      <w:smartTag w:uri="urn:schemas-microsoft-com:office:smarttags" w:element="City">
        <w:r w:rsidRPr="006425E5">
          <w:t>Argentina</w:t>
        </w:r>
      </w:smartTag>
      <w:r w:rsidRPr="006425E5">
        <w:t xml:space="preserve"> in your country. Participants who need support from the host country to obtain an entry visa should provide their passport information and fax number, to </w:t>
      </w:r>
      <w:r w:rsidRPr="000B71A2">
        <w:t>Mr. Luciano Intelesano</w:t>
      </w:r>
      <w:r>
        <w:rPr>
          <w:color w:val="000080"/>
        </w:rPr>
        <w:t xml:space="preserve">: </w:t>
      </w:r>
      <w:r w:rsidRPr="006425E5">
        <w:rPr>
          <w:color w:val="000080"/>
        </w:rPr>
        <w:t xml:space="preserve"> </w:t>
      </w:r>
      <w:hyperlink r:id="rId17" w:history="1">
        <w:r w:rsidRPr="006425E5">
          <w:rPr>
            <w:rStyle w:val="Hyperlink"/>
            <w:rFonts w:cs="Calibri"/>
          </w:rPr>
          <w:t>lintelesano@cnc.gov.ar</w:t>
        </w:r>
      </w:hyperlink>
      <w:r w:rsidRPr="006425E5">
        <w:rPr>
          <w:color w:val="000080"/>
        </w:rPr>
        <w:t xml:space="preserve"> </w:t>
      </w:r>
      <w:r w:rsidRPr="006425E5">
        <w:t xml:space="preserve">before </w:t>
      </w:r>
      <w:r w:rsidRPr="006425E5">
        <w:rPr>
          <w:b/>
          <w:bCs/>
        </w:rPr>
        <w:t>10 April</w:t>
      </w:r>
      <w:r w:rsidRPr="006425E5">
        <w:rPr>
          <w:b/>
        </w:rPr>
        <w:t xml:space="preserve"> 2012</w:t>
      </w:r>
      <w:r w:rsidRPr="006F050B">
        <w:rPr>
          <w:b/>
        </w:rPr>
        <w:t>.</w:t>
      </w:r>
      <w:r w:rsidRPr="006F050B">
        <w:t xml:space="preserve"> </w:t>
      </w:r>
      <w:r>
        <w:t xml:space="preserve">Information on visa requirements </w:t>
      </w:r>
      <w:r w:rsidR="000B71A2">
        <w:t>appears</w:t>
      </w:r>
      <w:r>
        <w:t xml:space="preserve"> in </w:t>
      </w:r>
      <w:r w:rsidRPr="00D43904">
        <w:rPr>
          <w:b/>
          <w:bCs/>
        </w:rPr>
        <w:t>Annex 2</w:t>
      </w:r>
      <w:r>
        <w:t>.</w:t>
      </w:r>
    </w:p>
    <w:p w:rsidR="00E70808" w:rsidRDefault="00E70808" w:rsidP="001C0701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b/>
          <w:szCs w:val="24"/>
        </w:rPr>
      </w:pPr>
      <w:r>
        <w:t>12</w:t>
      </w:r>
      <w:r w:rsidRPr="006D32D4">
        <w:tab/>
      </w:r>
      <w:r w:rsidRPr="006D32D4">
        <w:rPr>
          <w:b/>
          <w:bCs/>
        </w:rPr>
        <w:t xml:space="preserve">Accommodation:  </w:t>
      </w:r>
      <w:r w:rsidRPr="006D32D4">
        <w:t xml:space="preserve">Participants </w:t>
      </w:r>
      <w:r>
        <w:t>will be responsible for meeting their accommodation costs</w:t>
      </w:r>
      <w:r w:rsidRPr="006D32D4">
        <w:t>.</w:t>
      </w:r>
      <w:r>
        <w:t xml:space="preserve"> </w:t>
      </w:r>
      <w:r>
        <w:br/>
      </w:r>
      <w:r w:rsidRPr="004D6EE1">
        <w:t xml:space="preserve">A list of suggested hotels in </w:t>
      </w:r>
      <w:smartTag w:uri="urn:schemas-microsoft-com:office:smarttags" w:element="City">
        <w:r w:rsidRPr="004D6EE1">
          <w:t>Buenos Aires</w:t>
        </w:r>
      </w:smartTag>
      <w:r w:rsidRPr="004D6EE1">
        <w:t xml:space="preserve"> will appear on the website at a later date.  </w:t>
      </w:r>
      <w:r w:rsidRPr="004D6EE1">
        <w:rPr>
          <w:szCs w:val="24"/>
        </w:rPr>
        <w:t>In</w:t>
      </w:r>
      <w:r w:rsidRPr="00AA5BBA">
        <w:rPr>
          <w:szCs w:val="24"/>
        </w:rPr>
        <w:t xml:space="preserve"> order to ensure </w:t>
      </w:r>
      <w:r>
        <w:rPr>
          <w:szCs w:val="24"/>
        </w:rPr>
        <w:t xml:space="preserve">help with hotel reservations and airport transfers please contact </w:t>
      </w:r>
      <w:r w:rsidRPr="000B71A2">
        <w:t>Mrs. Verónica Sabas</w:t>
      </w:r>
      <w:r w:rsidRPr="004D6EE1">
        <w:rPr>
          <w:color w:val="000080"/>
        </w:rPr>
        <w:t xml:space="preserve"> </w:t>
      </w:r>
      <w:hyperlink r:id="rId18" w:history="1">
        <w:r w:rsidRPr="004D6EE1">
          <w:rPr>
            <w:rStyle w:val="Hyperlink"/>
            <w:rFonts w:cs="Calibri"/>
          </w:rPr>
          <w:t>vsabas@cnc.gov.ar</w:t>
        </w:r>
      </w:hyperlink>
      <w:r>
        <w:rPr>
          <w:rStyle w:val="Hyperlink"/>
          <w:rFonts w:cs="Calibri"/>
        </w:rPr>
        <w:t xml:space="preserve"> </w:t>
      </w:r>
      <w:r w:rsidRPr="004D6EE1">
        <w:t xml:space="preserve">by </w:t>
      </w:r>
      <w:r w:rsidRPr="004D6EE1">
        <w:rPr>
          <w:b/>
          <w:bCs/>
        </w:rPr>
        <w:t>14</w:t>
      </w:r>
      <w:r>
        <w:rPr>
          <w:b/>
          <w:bCs/>
        </w:rPr>
        <w:t> </w:t>
      </w:r>
      <w:r w:rsidRPr="006B35BF">
        <w:rPr>
          <w:b/>
          <w:bCs/>
          <w:szCs w:val="24"/>
        </w:rPr>
        <w:t>April</w:t>
      </w:r>
      <w:r w:rsidRPr="00265DCB">
        <w:rPr>
          <w:b/>
          <w:bCs/>
          <w:szCs w:val="24"/>
        </w:rPr>
        <w:t xml:space="preserve"> 2012 </w:t>
      </w:r>
      <w:r w:rsidRPr="00F27FC3">
        <w:rPr>
          <w:szCs w:val="24"/>
        </w:rPr>
        <w:t>at the latest</w:t>
      </w:r>
      <w:r w:rsidRPr="00265DCB">
        <w:rPr>
          <w:szCs w:val="24"/>
        </w:rPr>
        <w:t xml:space="preserve">. </w:t>
      </w:r>
    </w:p>
    <w:p w:rsidR="00E70808" w:rsidRPr="003B365C" w:rsidRDefault="00E70808" w:rsidP="00FC5C13">
      <w:pPr>
        <w:tabs>
          <w:tab w:val="left" w:pos="284"/>
        </w:tabs>
        <w:spacing w:before="240"/>
        <w:ind w:left="-426" w:firstLine="426"/>
      </w:pPr>
      <w:r w:rsidRPr="003B365C">
        <w:t>Yours faithfully,</w:t>
      </w:r>
    </w:p>
    <w:p w:rsidR="00E70808" w:rsidRPr="00157954" w:rsidRDefault="005F3443" w:rsidP="0053792B">
      <w:pPr>
        <w:spacing w:before="480"/>
        <w:jc w:val="left"/>
      </w:pPr>
      <w:r w:rsidRPr="00157954">
        <w:br/>
      </w:r>
      <w:r w:rsidRPr="00157954">
        <w:br/>
      </w:r>
      <w:r w:rsidRPr="00157954">
        <w:br/>
      </w:r>
      <w:r w:rsidR="00E70808" w:rsidRPr="00157954">
        <w:t>Dr. Hamadoun I. Touré</w:t>
      </w:r>
      <w:r w:rsidR="00E70808" w:rsidRPr="00157954">
        <w:br/>
        <w:t>Secretary-General</w:t>
      </w:r>
    </w:p>
    <w:p w:rsidR="005F3443" w:rsidRPr="00157954" w:rsidRDefault="005F3443" w:rsidP="0053792B">
      <w:pPr>
        <w:tabs>
          <w:tab w:val="clear" w:pos="794"/>
          <w:tab w:val="left" w:pos="284"/>
        </w:tabs>
        <w:spacing w:before="0"/>
        <w:jc w:val="left"/>
        <w:rPr>
          <w:b/>
          <w:bCs/>
        </w:rPr>
      </w:pPr>
    </w:p>
    <w:p w:rsidR="00E70808" w:rsidRPr="007B3DB1" w:rsidRDefault="00E70808" w:rsidP="0053792B">
      <w:pPr>
        <w:tabs>
          <w:tab w:val="clear" w:pos="794"/>
          <w:tab w:val="left" w:pos="284"/>
        </w:tabs>
        <w:spacing w:before="0"/>
        <w:jc w:val="left"/>
        <w:rPr>
          <w:lang w:val="en-GB"/>
        </w:rPr>
      </w:pPr>
      <w:r w:rsidRPr="00D83C4E">
        <w:rPr>
          <w:b/>
          <w:bCs/>
        </w:rPr>
        <w:t>Annex</w:t>
      </w:r>
      <w:r>
        <w:rPr>
          <w:b/>
          <w:bCs/>
        </w:rPr>
        <w:t>es</w:t>
      </w:r>
      <w:r w:rsidRPr="00D83C4E">
        <w:rPr>
          <w:b/>
          <w:bCs/>
        </w:rPr>
        <w:t>:</w:t>
      </w:r>
      <w:r w:rsidRPr="00D83C4E">
        <w:rPr>
          <w:b/>
          <w:bCs/>
        </w:rPr>
        <w:tab/>
      </w:r>
      <w:r>
        <w:rPr>
          <w:b/>
          <w:bCs/>
        </w:rPr>
        <w:t>3</w:t>
      </w:r>
      <w:r w:rsidRPr="00D83C4E">
        <w:rPr>
          <w:b/>
          <w:bCs/>
          <w:sz w:val="24"/>
          <w:szCs w:val="24"/>
        </w:rPr>
        <w:br w:type="page"/>
      </w:r>
    </w:p>
    <w:p w:rsidR="005B0CF0" w:rsidRDefault="005B0CF0" w:rsidP="0080400C">
      <w:pPr>
        <w:pStyle w:val="AnnexNoTitle"/>
      </w:pPr>
    </w:p>
    <w:p w:rsidR="00E70808" w:rsidRPr="000712CB" w:rsidRDefault="00E70808" w:rsidP="0080400C">
      <w:pPr>
        <w:pStyle w:val="AnnexNoTitle"/>
      </w:pPr>
      <w:r>
        <w:t xml:space="preserve">ANNEX </w:t>
      </w:r>
      <w:r w:rsidR="004D1823">
        <w:t>1</w:t>
      </w:r>
    </w:p>
    <w:p w:rsidR="00E70808" w:rsidRPr="0080400C" w:rsidRDefault="00E70808" w:rsidP="001C0701">
      <w:pPr>
        <w:pStyle w:val="AnnexNoTitle"/>
        <w:rPr>
          <w:sz w:val="28"/>
          <w:szCs w:val="28"/>
        </w:rPr>
      </w:pPr>
      <w:r w:rsidRPr="0080400C">
        <w:rPr>
          <w:sz w:val="28"/>
          <w:szCs w:val="28"/>
        </w:rPr>
        <w:t>Draft Programmes</w:t>
      </w:r>
    </w:p>
    <w:p w:rsidR="00E70808" w:rsidRDefault="00E70808" w:rsidP="001C0701">
      <w:pPr>
        <w:spacing w:before="0"/>
        <w:ind w:right="453"/>
        <w:jc w:val="center"/>
        <w:rPr>
          <w:b/>
        </w:rPr>
      </w:pPr>
    </w:p>
    <w:p w:rsidR="00E70808" w:rsidRPr="00AB0F14" w:rsidRDefault="00E70808" w:rsidP="001C0701">
      <w:pPr>
        <w:tabs>
          <w:tab w:val="left" w:pos="138"/>
          <w:tab w:val="left" w:pos="305"/>
        </w:tabs>
        <w:spacing w:line="240" w:lineRule="atLeast"/>
        <w:ind w:right="101"/>
        <w:jc w:val="center"/>
        <w:rPr>
          <w:b/>
          <w:bCs/>
          <w:color w:val="000000"/>
          <w:sz w:val="28"/>
          <w:szCs w:val="28"/>
        </w:rPr>
      </w:pPr>
      <w:smartTag w:uri="urn:schemas-microsoft-com:office:smarttags" w:element="City">
        <w:r>
          <w:rPr>
            <w:b/>
            <w:bCs/>
            <w:color w:val="000000"/>
            <w:sz w:val="28"/>
            <w:szCs w:val="28"/>
          </w:rPr>
          <w:t>Americas</w:t>
        </w:r>
      </w:smartTag>
      <w:r>
        <w:rPr>
          <w:b/>
          <w:bCs/>
          <w:color w:val="000000"/>
          <w:sz w:val="28"/>
          <w:szCs w:val="28"/>
        </w:rPr>
        <w:t xml:space="preserve"> Region </w:t>
      </w:r>
      <w:r w:rsidRPr="00AB0F14">
        <w:rPr>
          <w:b/>
          <w:bCs/>
          <w:color w:val="000000"/>
          <w:sz w:val="28"/>
          <w:szCs w:val="28"/>
        </w:rPr>
        <w:t xml:space="preserve">Preparatory Meeting for </w:t>
      </w:r>
      <w:r w:rsidRPr="00AB0F14">
        <w:rPr>
          <w:b/>
          <w:bCs/>
          <w:spacing w:val="6"/>
          <w:sz w:val="28"/>
          <w:szCs w:val="28"/>
        </w:rPr>
        <w:t xml:space="preserve">the </w:t>
      </w:r>
      <w:r w:rsidRPr="00AB0F14">
        <w:rPr>
          <w:b/>
          <w:bCs/>
          <w:spacing w:val="6"/>
          <w:sz w:val="28"/>
          <w:szCs w:val="28"/>
        </w:rPr>
        <w:br/>
        <w:t xml:space="preserve">World Telecommunication Standardization Assembly (WTSA-12) </w:t>
      </w:r>
      <w:r>
        <w:rPr>
          <w:b/>
          <w:bCs/>
          <w:spacing w:val="6"/>
          <w:sz w:val="28"/>
          <w:szCs w:val="28"/>
        </w:rPr>
        <w:br/>
      </w:r>
      <w:r w:rsidRPr="00AB0F14">
        <w:rPr>
          <w:b/>
          <w:bCs/>
          <w:color w:val="000000"/>
          <w:sz w:val="28"/>
          <w:szCs w:val="28"/>
        </w:rPr>
        <w:t>(14 May 2012)</w:t>
      </w:r>
    </w:p>
    <w:p w:rsidR="00E70808" w:rsidRDefault="00E70808" w:rsidP="001C0701">
      <w:pPr>
        <w:tabs>
          <w:tab w:val="left" w:pos="138"/>
          <w:tab w:val="left" w:pos="305"/>
        </w:tabs>
        <w:spacing w:line="240" w:lineRule="atLeast"/>
        <w:ind w:right="101"/>
        <w:jc w:val="center"/>
        <w:rPr>
          <w:b/>
          <w:bCs/>
          <w:sz w:val="21"/>
          <w:szCs w:val="21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3"/>
        <w:gridCol w:w="8029"/>
        <w:gridCol w:w="18"/>
      </w:tblGrid>
      <w:tr w:rsidR="005F3443" w:rsidTr="003F1FCD">
        <w:trPr>
          <w:gridAfter w:val="1"/>
          <w:wAfter w:w="18" w:type="dxa"/>
          <w:jc w:val="center"/>
        </w:trPr>
        <w:tc>
          <w:tcPr>
            <w:tcW w:w="9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5F3443" w:rsidRPr="005F3443" w:rsidRDefault="005F3443" w:rsidP="005F3443">
            <w:pPr>
              <w:tabs>
                <w:tab w:val="left" w:pos="305"/>
              </w:tabs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1: WTSA-12 Regional Preparatory Meeting</w:t>
            </w:r>
            <w:r>
              <w:rPr>
                <w:b/>
                <w:bCs/>
                <w:sz w:val="28"/>
                <w:szCs w:val="28"/>
              </w:rPr>
              <w:br/>
              <w:t>(14 May 2012)</w:t>
            </w:r>
          </w:p>
        </w:tc>
      </w:tr>
      <w:tr w:rsidR="00E70808" w:rsidRPr="005F3443" w:rsidTr="005F3443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808" w:rsidRPr="005F3443" w:rsidRDefault="00E70808" w:rsidP="005F3443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jc w:val="left"/>
              <w:rPr>
                <w:color w:val="000000"/>
              </w:rPr>
            </w:pPr>
            <w:r w:rsidRPr="005F3443">
              <w:rPr>
                <w:color w:val="000000"/>
              </w:rPr>
              <w:t>09:00 – 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left="258" w:right="101"/>
              <w:jc w:val="left"/>
              <w:rPr>
                <w:b/>
                <w:bCs/>
              </w:rPr>
            </w:pPr>
            <w:r w:rsidRPr="005F3443">
              <w:rPr>
                <w:b/>
                <w:bCs/>
              </w:rPr>
              <w:t>Opening and introductory remarks</w:t>
            </w:r>
          </w:p>
        </w:tc>
      </w:tr>
      <w:tr w:rsidR="00E70808" w:rsidRPr="005F3443" w:rsidTr="001C0701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rPr>
                <w:color w:val="000000"/>
              </w:rPr>
            </w:pPr>
            <w:r w:rsidRPr="005F3443">
              <w:rPr>
                <w:color w:val="000000"/>
              </w:rPr>
              <w:t>09</w:t>
            </w:r>
            <w:r w:rsidRPr="005F3443">
              <w:t>:</w:t>
            </w:r>
            <w:r w:rsidRPr="005F3443">
              <w:rPr>
                <w:color w:val="000000"/>
              </w:rPr>
              <w:t>20 – 10</w:t>
            </w:r>
            <w:r w:rsidRPr="005F3443">
              <w:t>:</w:t>
            </w:r>
            <w:r w:rsidRPr="005F3443">
              <w:rPr>
                <w:color w:val="000000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>Session A: Briefing on Preparations for WTSA-12 and major issues for the ITU-T work programme and working methods</w:t>
            </w:r>
          </w:p>
          <w:p w:rsidR="00E70808" w:rsidRPr="005F3443" w:rsidRDefault="00E70808" w:rsidP="005F3443">
            <w:pPr>
              <w:spacing w:before="120" w:after="120" w:line="240" w:lineRule="auto"/>
              <w:ind w:right="101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F3443">
              <w:rPr>
                <w:rFonts w:asciiTheme="minorHAnsi" w:hAnsiTheme="minorHAnsi" w:cstheme="minorHAnsi"/>
                <w:u w:val="single"/>
              </w:rPr>
              <w:t>Objectives</w:t>
            </w:r>
            <w:r w:rsidRPr="005F3443">
              <w:rPr>
                <w:rFonts w:asciiTheme="minorHAnsi" w:hAnsiTheme="minorHAnsi" w:cstheme="minorHAnsi"/>
              </w:rPr>
              <w:t xml:space="preserve">: This session will review the major outcomes of WTSA-08 (Johannesburg, 2008) and the preparations for WTSA-12, including expected participants, structure, objectives of WTSA-12, and logistics. There will be information on the Global Standardization Symposium (GSS-12) to be organized the day before WTSA-12. </w:t>
            </w:r>
          </w:p>
        </w:tc>
      </w:tr>
      <w:tr w:rsidR="00E70808" w:rsidRPr="005F3443" w:rsidTr="001C0701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70808" w:rsidRPr="005F3443" w:rsidRDefault="00E70808" w:rsidP="005F3443">
            <w:pPr>
              <w:tabs>
                <w:tab w:val="left" w:pos="138"/>
                <w:tab w:val="left" w:pos="305"/>
              </w:tabs>
              <w:spacing w:before="120" w:after="120" w:line="240" w:lineRule="auto"/>
              <w:ind w:right="101"/>
            </w:pPr>
            <w:r w:rsidRPr="005F3443">
              <w:t>10:45 – 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3F3F3"/>
          </w:tcPr>
          <w:p w:rsidR="00E70808" w:rsidRPr="005F3443" w:rsidRDefault="00E70808" w:rsidP="005F3443">
            <w:pPr>
              <w:spacing w:before="120" w:after="120" w:line="240" w:lineRule="auto"/>
              <w:ind w:left="258" w:right="453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>Coffee break</w:t>
            </w:r>
          </w:p>
        </w:tc>
      </w:tr>
      <w:tr w:rsidR="00E70808" w:rsidRPr="005F3443" w:rsidTr="001C0701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219"/>
              </w:tabs>
              <w:spacing w:before="120" w:after="120" w:line="240" w:lineRule="auto"/>
            </w:pPr>
            <w:r w:rsidRPr="005F3443">
              <w:t>11:00 – 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>Session B:  Key issues for the ITU-T work programme and working methods</w:t>
            </w:r>
          </w:p>
          <w:p w:rsidR="00E70808" w:rsidRPr="005F3443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2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u w:val="single"/>
              </w:rPr>
              <w:t>Objectives:</w:t>
            </w:r>
            <w:r w:rsidRPr="005F3443">
              <w:rPr>
                <w:rFonts w:asciiTheme="minorHAnsi" w:hAnsiTheme="minorHAnsi" w:cstheme="minorHAnsi"/>
              </w:rPr>
              <w:t xml:space="preserve"> This session will review the major WTSA Resolutions and Recommendations, and examine changes that have been proposed for WTSA-12. It will examine likely hot topics on the agenda of WTSA-12.  It will also explain the importance of regional preparations and TSAG preparations for the WTSA-12, and activities to facilitate the participation of developing countries in the activities of ITU-T. </w:t>
            </w:r>
          </w:p>
        </w:tc>
      </w:tr>
      <w:tr w:rsidR="00E70808" w:rsidRPr="005F3443" w:rsidTr="001C0701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</w:pPr>
            <w:r w:rsidRPr="005F3443">
              <w:t>12:30 – 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left="244"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  <w:tr w:rsidR="00E70808" w:rsidRPr="005F3443" w:rsidTr="001C0701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</w:pPr>
            <w:r w:rsidRPr="005F3443">
              <w:t>14:00 – 15:30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138"/>
                <w:tab w:val="num" w:pos="70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</w:rPr>
            </w:pPr>
            <w:r w:rsidRPr="005F3443">
              <w:rPr>
                <w:rFonts w:asciiTheme="minorHAnsi" w:hAnsiTheme="minorHAnsi" w:cstheme="minorHAnsi"/>
                <w:b/>
                <w:bCs/>
              </w:rPr>
              <w:t xml:space="preserve">Session C: WTSA-12 – Regional Preparations </w:t>
            </w:r>
          </w:p>
          <w:p w:rsidR="00E70808" w:rsidRPr="005F3443" w:rsidRDefault="00E70808" w:rsidP="005F3443">
            <w:pPr>
              <w:tabs>
                <w:tab w:val="left" w:pos="0"/>
                <w:tab w:val="num" w:pos="708"/>
              </w:tabs>
              <w:spacing w:before="120" w:after="120" w:line="240" w:lineRule="auto"/>
              <w:ind w:right="101"/>
              <w:rPr>
                <w:rFonts w:asciiTheme="minorHAnsi" w:hAnsiTheme="minorHAnsi" w:cstheme="minorHAnsi"/>
                <w:b/>
                <w:bCs/>
              </w:rPr>
            </w:pPr>
            <w:r w:rsidRPr="005F3443">
              <w:rPr>
                <w:rFonts w:asciiTheme="minorHAnsi" w:hAnsiTheme="minorHAnsi" w:cstheme="minorHAnsi"/>
                <w:u w:val="single"/>
              </w:rPr>
              <w:t xml:space="preserve">Objectives: </w:t>
            </w:r>
            <w:r w:rsidRPr="005F3443">
              <w:rPr>
                <w:rFonts w:asciiTheme="minorHAnsi" w:hAnsiTheme="minorHAnsi" w:cstheme="minorHAnsi"/>
              </w:rPr>
              <w:t xml:space="preserve">This session will review proposals from all Regions. </w:t>
            </w:r>
          </w:p>
          <w:p w:rsidR="00E70808" w:rsidRPr="005F3443" w:rsidRDefault="00E70808" w:rsidP="005F3443">
            <w:pPr>
              <w:tabs>
                <w:tab w:val="left" w:pos="138"/>
                <w:tab w:val="num" w:pos="708"/>
              </w:tabs>
              <w:spacing w:before="120" w:after="120" w:line="240" w:lineRule="auto"/>
              <w:ind w:left="244" w:right="101"/>
              <w:rPr>
                <w:rFonts w:asciiTheme="minorHAnsi" w:hAnsiTheme="minorHAnsi" w:cstheme="minorHAnsi"/>
              </w:rPr>
            </w:pPr>
          </w:p>
        </w:tc>
      </w:tr>
      <w:tr w:rsidR="00E70808" w:rsidRPr="005F3443" w:rsidTr="001C0701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</w:pPr>
            <w:r w:rsidRPr="005F3443">
              <w:t>15:30 – 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E70808" w:rsidRPr="005F3443" w:rsidRDefault="00E70808" w:rsidP="005F3443">
            <w:pPr>
              <w:tabs>
                <w:tab w:val="left" w:pos="138"/>
              </w:tabs>
              <w:spacing w:before="120" w:after="120" w:line="240" w:lineRule="auto"/>
              <w:ind w:left="244" w:right="101"/>
              <w:rPr>
                <w:b/>
                <w:bCs/>
              </w:rPr>
            </w:pPr>
            <w:r w:rsidRPr="005F3443">
              <w:rPr>
                <w:b/>
                <w:bCs/>
              </w:rPr>
              <w:t>Coffee break</w:t>
            </w:r>
          </w:p>
        </w:tc>
      </w:tr>
      <w:tr w:rsidR="00E70808" w:rsidRPr="005F3443" w:rsidTr="001C0701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-65"/>
              </w:tabs>
              <w:spacing w:before="120" w:after="120" w:line="240" w:lineRule="auto"/>
              <w:ind w:right="101"/>
            </w:pPr>
            <w:r w:rsidRPr="005F3443">
              <w:t>16:00 – 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0808" w:rsidRPr="005F3443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rPr>
                <w:b/>
                <w:bCs/>
              </w:rPr>
            </w:pPr>
            <w:r w:rsidRPr="005F3443">
              <w:rPr>
                <w:b/>
                <w:bCs/>
              </w:rPr>
              <w:t>Session D: WTSA-12 – Regional Preparations</w:t>
            </w:r>
          </w:p>
          <w:p w:rsidR="00E70808" w:rsidRPr="005F3443" w:rsidRDefault="00E70808" w:rsidP="005F3443">
            <w:pPr>
              <w:tabs>
                <w:tab w:val="left" w:pos="0"/>
                <w:tab w:val="num" w:pos="708"/>
              </w:tabs>
              <w:spacing w:before="120" w:after="120" w:line="240" w:lineRule="auto"/>
              <w:ind w:right="101"/>
              <w:rPr>
                <w:b/>
                <w:bCs/>
              </w:rPr>
            </w:pPr>
            <w:r w:rsidRPr="005F3443">
              <w:rPr>
                <w:u w:val="single"/>
              </w:rPr>
              <w:t>Objectives:</w:t>
            </w:r>
            <w:r w:rsidRPr="005F3443">
              <w:t xml:space="preserve">  This session will discuss regional concerns with regards to the Americas , determine issues on which proposals should be drafted, consider and adopt texts of proposals.</w:t>
            </w:r>
            <w:r w:rsidRPr="005F3443">
              <w:rPr>
                <w:b/>
                <w:bCs/>
              </w:rPr>
              <w:t xml:space="preserve"> </w:t>
            </w:r>
          </w:p>
          <w:p w:rsidR="00E70808" w:rsidRPr="005F3443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rPr>
                <w:bCs/>
              </w:rPr>
            </w:pPr>
          </w:p>
        </w:tc>
      </w:tr>
    </w:tbl>
    <w:p w:rsidR="00E70808" w:rsidRDefault="00E70808" w:rsidP="001C070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</w:rPr>
      </w:pPr>
    </w:p>
    <w:p w:rsidR="005F3443" w:rsidRDefault="005F34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F3443" w:rsidRDefault="005F3443" w:rsidP="001C0701">
      <w:pPr>
        <w:spacing w:before="0" w:line="240" w:lineRule="atLeast"/>
        <w:ind w:right="4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</w:p>
    <w:p w:rsidR="00E70808" w:rsidRPr="00A678D0" w:rsidRDefault="00E70808" w:rsidP="001C0701">
      <w:pPr>
        <w:spacing w:before="0" w:line="240" w:lineRule="atLeast"/>
        <w:ind w:right="45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Americas Region </w:t>
      </w:r>
      <w:r w:rsidRPr="00A678D0">
        <w:rPr>
          <w:b/>
          <w:bCs/>
          <w:color w:val="000000"/>
          <w:sz w:val="28"/>
          <w:szCs w:val="28"/>
        </w:rPr>
        <w:t xml:space="preserve">Preparatory Meeting for the </w:t>
      </w:r>
      <w:r>
        <w:rPr>
          <w:b/>
          <w:bCs/>
          <w:color w:val="000000"/>
          <w:sz w:val="28"/>
          <w:szCs w:val="28"/>
        </w:rPr>
        <w:br/>
      </w:r>
      <w:r w:rsidRPr="00A678D0">
        <w:rPr>
          <w:b/>
          <w:bCs/>
          <w:spacing w:val="6"/>
          <w:sz w:val="28"/>
          <w:szCs w:val="28"/>
        </w:rPr>
        <w:t>World Conference on International Telecommunications</w:t>
      </w:r>
      <w:r w:rsidRPr="00A678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A678D0">
        <w:rPr>
          <w:b/>
          <w:bCs/>
          <w:sz w:val="28"/>
          <w:szCs w:val="28"/>
        </w:rPr>
        <w:t>W</w:t>
      </w:r>
      <w:r w:rsidRPr="00A678D0">
        <w:rPr>
          <w:b/>
          <w:bCs/>
          <w:color w:val="000000"/>
          <w:sz w:val="28"/>
          <w:szCs w:val="28"/>
        </w:rPr>
        <w:t>CIT</w:t>
      </w:r>
      <w:r w:rsidRPr="00A678D0">
        <w:rPr>
          <w:b/>
          <w:bCs/>
          <w:sz w:val="28"/>
          <w:szCs w:val="28"/>
        </w:rPr>
        <w:t xml:space="preserve">-12 </w:t>
      </w:r>
      <w:r>
        <w:rPr>
          <w:b/>
          <w:bCs/>
          <w:sz w:val="28"/>
          <w:szCs w:val="28"/>
        </w:rPr>
        <w:t>)</w:t>
      </w:r>
    </w:p>
    <w:p w:rsidR="00E70808" w:rsidRDefault="00E70808" w:rsidP="001C0701">
      <w:pPr>
        <w:spacing w:before="0" w:line="240" w:lineRule="atLeast"/>
        <w:ind w:right="454"/>
        <w:jc w:val="center"/>
        <w:rPr>
          <w:b/>
          <w:bCs/>
          <w:color w:val="000000"/>
          <w:szCs w:val="24"/>
        </w:rPr>
      </w:pPr>
      <w:r w:rsidRPr="00A678D0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15 May 2012</w:t>
      </w:r>
      <w:r w:rsidRPr="00A678D0">
        <w:rPr>
          <w:b/>
          <w:bCs/>
          <w:color w:val="000000"/>
          <w:sz w:val="28"/>
          <w:szCs w:val="28"/>
        </w:rPr>
        <w:t>)</w:t>
      </w:r>
      <w:r w:rsidRPr="004C3954">
        <w:rPr>
          <w:b/>
          <w:bCs/>
          <w:color w:val="000000"/>
          <w:szCs w:val="24"/>
        </w:rPr>
        <w:t xml:space="preserve"> </w:t>
      </w:r>
    </w:p>
    <w:p w:rsidR="00E70808" w:rsidRDefault="00E70808" w:rsidP="001C0701">
      <w:pPr>
        <w:spacing w:before="0" w:line="240" w:lineRule="atLeast"/>
        <w:ind w:right="454"/>
        <w:jc w:val="center"/>
        <w:rPr>
          <w:b/>
          <w:bCs/>
          <w:sz w:val="21"/>
          <w:szCs w:val="21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3"/>
        <w:gridCol w:w="8029"/>
        <w:gridCol w:w="18"/>
      </w:tblGrid>
      <w:tr w:rsidR="005F3443" w:rsidTr="005019D8">
        <w:trPr>
          <w:gridAfter w:val="1"/>
          <w:wAfter w:w="18" w:type="dxa"/>
          <w:jc w:val="center"/>
        </w:trPr>
        <w:tc>
          <w:tcPr>
            <w:tcW w:w="9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5F3443" w:rsidRDefault="005F3443" w:rsidP="001C0701">
            <w:pPr>
              <w:tabs>
                <w:tab w:val="left" w:pos="305"/>
              </w:tabs>
              <w:spacing w:before="12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Day 2: WCIT-12 Regional Preparatory Meeting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15 May 2012</w:t>
            </w:r>
          </w:p>
        </w:tc>
      </w:tr>
      <w:tr w:rsidR="00E70808" w:rsidTr="001C0701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0808" w:rsidRDefault="00E70808" w:rsidP="001C0701">
            <w:pPr>
              <w:tabs>
                <w:tab w:val="left" w:pos="138"/>
              </w:tabs>
              <w:spacing w:before="0" w:line="240" w:lineRule="atLeast"/>
              <w:ind w:left="-28" w:right="-28"/>
              <w:rPr>
                <w:sz w:val="21"/>
                <w:szCs w:val="21"/>
              </w:rPr>
            </w:pP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0808" w:rsidRDefault="00E70808" w:rsidP="001C0701">
            <w:pPr>
              <w:tabs>
                <w:tab w:val="left" w:pos="14"/>
              </w:tabs>
              <w:spacing w:before="0" w:line="240" w:lineRule="atLeast"/>
              <w:rPr>
                <w:sz w:val="21"/>
                <w:szCs w:val="21"/>
              </w:rPr>
            </w:pPr>
          </w:p>
        </w:tc>
      </w:tr>
      <w:tr w:rsidR="00E70808" w:rsidTr="005F3443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09:00 – 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0808" w:rsidRPr="005F3443" w:rsidRDefault="00E70808" w:rsidP="005F3443">
            <w:pPr>
              <w:tabs>
                <w:tab w:val="left" w:pos="305"/>
              </w:tabs>
              <w:spacing w:before="120" w:after="120" w:line="240" w:lineRule="auto"/>
              <w:ind w:left="258" w:right="125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Opening Session and Introductory Remarks</w:t>
            </w:r>
          </w:p>
        </w:tc>
      </w:tr>
      <w:tr w:rsidR="00E70808" w:rsidTr="005F3443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</w:t>
            </w:r>
            <w:r>
              <w:rPr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20 – 10</w:t>
            </w:r>
            <w:r>
              <w:rPr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Session A: WCIT Information Session</w:t>
            </w:r>
          </w:p>
          <w:p w:rsidR="00E70808" w:rsidRDefault="00E70808" w:rsidP="005F3443">
            <w:pPr>
              <w:spacing w:before="120" w:after="120" w:line="240" w:lineRule="auto"/>
              <w:ind w:right="101"/>
              <w:jc w:val="left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u w:val="single"/>
              </w:rPr>
              <w:t xml:space="preserve">Objectives: </w:t>
            </w:r>
            <w:r>
              <w:rPr>
                <w:sz w:val="21"/>
                <w:szCs w:val="21"/>
              </w:rPr>
              <w:t>Introduction to process, proposals and themes</w:t>
            </w:r>
          </w:p>
        </w:tc>
      </w:tr>
      <w:tr w:rsidR="00E70808" w:rsidTr="005F3443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E70808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10:45 –11:00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E70808" w:rsidRDefault="00E70808" w:rsidP="005F3443">
            <w:pPr>
              <w:tabs>
                <w:tab w:val="left" w:pos="138"/>
              </w:tabs>
              <w:spacing w:before="120" w:after="120" w:line="240" w:lineRule="auto"/>
              <w:ind w:left="244" w:right="101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Coffee break</w:t>
            </w:r>
          </w:p>
        </w:tc>
      </w:tr>
      <w:tr w:rsidR="00E70808" w:rsidTr="005F3443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0808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11:00 - 12:30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0808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Session B: WCIT-12 preparation briefing</w:t>
            </w:r>
          </w:p>
          <w:p w:rsidR="00E70808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Cs/>
                <w:sz w:val="21"/>
                <w:szCs w:val="21"/>
              </w:rPr>
            </w:pPr>
            <w:r w:rsidRPr="006B787A">
              <w:rPr>
                <w:sz w:val="21"/>
                <w:szCs w:val="21"/>
                <w:u w:val="single"/>
              </w:rPr>
              <w:t>Objectives:</w:t>
            </w:r>
            <w:r w:rsidRPr="000C41AB">
              <w:rPr>
                <w:sz w:val="21"/>
                <w:szCs w:val="21"/>
              </w:rPr>
              <w:t xml:space="preserve">  This session will review the major outcomes of Council Working Group WCIT (CWG-WCIT) and the preparation status of WCIT-12, including expected participants, objectives of WCIT-12 and logistics information.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70808" w:rsidTr="005F3443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70808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12:30-14:00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E70808" w:rsidRDefault="00E70808" w:rsidP="005F3443">
            <w:pPr>
              <w:tabs>
                <w:tab w:val="left" w:pos="305"/>
              </w:tabs>
              <w:spacing w:before="120" w:after="120" w:line="240" w:lineRule="auto"/>
              <w:ind w:left="244" w:right="125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</w:tr>
      <w:tr w:rsidR="00E70808" w:rsidTr="005F3443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138"/>
              </w:tabs>
              <w:spacing w:before="120" w:after="120" w:line="240" w:lineRule="auto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14:00 – 15</w:t>
            </w:r>
            <w:r>
              <w:rPr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Session C: WCIT-12 – Major Issues</w:t>
            </w:r>
          </w:p>
          <w:p w:rsidR="00E70808" w:rsidRDefault="00E70808" w:rsidP="005F3443">
            <w:pPr>
              <w:tabs>
                <w:tab w:val="left" w:pos="138"/>
                <w:tab w:val="num" w:pos="708"/>
              </w:tabs>
              <w:spacing w:before="120" w:after="120" w:line="240" w:lineRule="auto"/>
              <w:ind w:right="101"/>
              <w:jc w:val="left"/>
              <w:rPr>
                <w:b/>
                <w:bCs/>
                <w:sz w:val="21"/>
                <w:szCs w:val="21"/>
              </w:rPr>
            </w:pPr>
            <w:r w:rsidRPr="006B787A">
              <w:rPr>
                <w:sz w:val="21"/>
                <w:szCs w:val="21"/>
                <w:u w:val="single"/>
              </w:rPr>
              <w:t>Objectives:</w:t>
            </w:r>
            <w:r w:rsidRPr="000C41AB">
              <w:rPr>
                <w:sz w:val="21"/>
                <w:szCs w:val="21"/>
              </w:rPr>
              <w:t xml:space="preserve">  This session will review the major issues likely to be discussed at WCIT-12 and look at the changes that have been proposed with respect to the 1988 ITRs, as well as the proposals of </w:t>
            </w:r>
            <w:r>
              <w:rPr>
                <w:sz w:val="21"/>
                <w:szCs w:val="21"/>
              </w:rPr>
              <w:t xml:space="preserve">CITEL and </w:t>
            </w:r>
            <w:r w:rsidRPr="000C41AB">
              <w:rPr>
                <w:sz w:val="21"/>
                <w:szCs w:val="21"/>
              </w:rPr>
              <w:t>other regional organizations.</w:t>
            </w:r>
          </w:p>
        </w:tc>
      </w:tr>
      <w:tr w:rsidR="00E70808" w:rsidTr="005F3443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E70808" w:rsidRDefault="00E70808" w:rsidP="005F3443">
            <w:pPr>
              <w:tabs>
                <w:tab w:val="left" w:pos="138"/>
                <w:tab w:val="left" w:pos="305"/>
              </w:tabs>
              <w:spacing w:before="120" w:after="120"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15:30 –16:00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E70808" w:rsidRDefault="00E70808" w:rsidP="005F3443">
            <w:pPr>
              <w:spacing w:before="120" w:after="120" w:line="240" w:lineRule="auto"/>
              <w:ind w:left="244" w:right="453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Coffee break</w:t>
            </w:r>
          </w:p>
        </w:tc>
      </w:tr>
      <w:tr w:rsidR="00E70808" w:rsidTr="005F3443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138"/>
                <w:tab w:val="left" w:pos="305"/>
              </w:tabs>
              <w:spacing w:before="120" w:after="120"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16:00 – 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0808" w:rsidRDefault="00E70808" w:rsidP="005F3443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Session D: WCIT-12 –Major Issues (Continuation) </w:t>
            </w:r>
          </w:p>
          <w:p w:rsidR="00E70808" w:rsidRDefault="00E70808" w:rsidP="005F3443">
            <w:pPr>
              <w:spacing w:before="120" w:after="120" w:line="240" w:lineRule="auto"/>
              <w:ind w:right="453"/>
              <w:jc w:val="left"/>
              <w:rPr>
                <w:b/>
                <w:bCs/>
                <w:sz w:val="21"/>
                <w:szCs w:val="21"/>
              </w:rPr>
            </w:pPr>
            <w:r w:rsidRPr="000C41AB">
              <w:rPr>
                <w:sz w:val="21"/>
                <w:szCs w:val="21"/>
              </w:rPr>
              <w:t xml:space="preserve">This session will review the major issues likely to be discussed at WCIT-12 and look at the changes that have been proposed with respect to the 1988 ITRs, as well as the proposals of </w:t>
            </w:r>
            <w:r>
              <w:rPr>
                <w:sz w:val="21"/>
                <w:szCs w:val="21"/>
              </w:rPr>
              <w:t>CITEL and other</w:t>
            </w:r>
            <w:r w:rsidRPr="000C41AB">
              <w:rPr>
                <w:sz w:val="21"/>
                <w:szCs w:val="21"/>
              </w:rPr>
              <w:t xml:space="preserve"> regional organizations.</w:t>
            </w:r>
          </w:p>
        </w:tc>
      </w:tr>
    </w:tbl>
    <w:p w:rsidR="00E70808" w:rsidRDefault="00E70808"/>
    <w:p w:rsidR="00E70808" w:rsidRDefault="00E70808" w:rsidP="00BB3D76">
      <w:pPr>
        <w:pStyle w:val="AnnexNoTitle"/>
      </w:pPr>
      <w:r>
        <w:br w:type="page"/>
      </w:r>
      <w:r w:rsidR="00BB3D76">
        <w:lastRenderedPageBreak/>
        <w:t>ANNEX</w:t>
      </w:r>
      <w:r>
        <w:t xml:space="preserve"> 2</w:t>
      </w:r>
    </w:p>
    <w:p w:rsidR="00E70808" w:rsidRDefault="00E70808" w:rsidP="00C060C2">
      <w:pPr>
        <w:pStyle w:val="Normalaftertitle"/>
        <w:jc w:val="center"/>
        <w:rPr>
          <w:b/>
          <w:bCs/>
        </w:rPr>
      </w:pPr>
      <w:r w:rsidRPr="00C060C2">
        <w:rPr>
          <w:b/>
          <w:bCs/>
        </w:rPr>
        <w:t>Visa requirements</w:t>
      </w:r>
    </w:p>
    <w:p w:rsidR="00E70808" w:rsidRPr="00C060C2" w:rsidRDefault="00E70808" w:rsidP="00C060C2">
      <w:pPr>
        <w:pStyle w:val="Normalaftertitle"/>
        <w:rPr>
          <w:lang w:val="en-GB"/>
        </w:rPr>
      </w:pPr>
      <w:r>
        <w:t>The following countries do not require visas for stays of less than 90 days: The European Union and Switzerland, the United States of America, Australia, Canada, Japan, Korea, South Africa and the following Latin American countries: Bolivia, Brazil,</w:t>
      </w:r>
      <w:r w:rsidRPr="00C060C2">
        <w:rPr>
          <w:lang w:val="en-GB"/>
        </w:rPr>
        <w:t>Chile, Paraguay, Uruguay, Colombia, Costa Rica, Dominican Republic, Ecuador, El Salvador, Guatemala, Honduras, Mexico, Nicaragua, Panama, Peru and Venezuela.</w:t>
      </w:r>
    </w:p>
    <w:p w:rsidR="00E70808" w:rsidRDefault="00E70808" w:rsidP="00C060C2">
      <w:pPr>
        <w:pStyle w:val="Normalaftertitle"/>
      </w:pPr>
      <w:r>
        <w:t>All other countries should consult with consular representatives in Argentina www.mrecic.gov.ar/portal/</w:t>
      </w:r>
    </w:p>
    <w:p w:rsidR="00E70808" w:rsidRPr="00C060C2" w:rsidRDefault="00E70808" w:rsidP="00C060C2">
      <w:r>
        <w:t>Requirements for Visa:</w:t>
      </w:r>
    </w:p>
    <w:p w:rsidR="00E70808" w:rsidRDefault="00E70808" w:rsidP="008835D4">
      <w:pPr>
        <w:pStyle w:val="Normalaftertitle"/>
      </w:pPr>
      <w:r>
        <w:t>• Valid passport or other travel document recognized by the Republic of Argentina.</w:t>
      </w:r>
    </w:p>
    <w:p w:rsidR="00E70808" w:rsidRDefault="00E70808" w:rsidP="008835D4">
      <w:pPr>
        <w:pStyle w:val="Normalaftertitle"/>
      </w:pPr>
      <w:r>
        <w:t>• Application form (provided by the consulate).</w:t>
      </w:r>
    </w:p>
    <w:p w:rsidR="00E70808" w:rsidRDefault="00E70808" w:rsidP="008835D4">
      <w:pPr>
        <w:pStyle w:val="Normalaftertitle"/>
      </w:pPr>
      <w:r>
        <w:t>• 1 photograph 4 x 4.</w:t>
      </w:r>
    </w:p>
    <w:p w:rsidR="00E70808" w:rsidRDefault="00E70808" w:rsidP="008835D4">
      <w:pPr>
        <w:pStyle w:val="Normalaftertitle"/>
      </w:pPr>
      <w:r>
        <w:t>• Roundtrip ticket.</w:t>
      </w:r>
    </w:p>
    <w:p w:rsidR="00E70808" w:rsidRDefault="00E70808" w:rsidP="008835D4">
      <w:pPr>
        <w:pStyle w:val="Normalaftertitle"/>
      </w:pPr>
      <w:r>
        <w:t>• Payment of consular fee (USD 50 .-)</w:t>
      </w:r>
    </w:p>
    <w:p w:rsidR="00E70808" w:rsidRDefault="00E70808" w:rsidP="00D43904">
      <w:pPr>
        <w:pStyle w:val="Normalaftertitle"/>
      </w:pPr>
      <w:r>
        <w:t xml:space="preserve">• Letter of invitation (please </w:t>
      </w:r>
      <w:r w:rsidR="001E4CCC">
        <w:t xml:space="preserve">contact Mr. Luciano Intelesano </w:t>
      </w:r>
      <w:r>
        <w:t xml:space="preserve">at: </w:t>
      </w:r>
      <w:hyperlink r:id="rId19" w:history="1">
        <w:r w:rsidRPr="006425E5">
          <w:rPr>
            <w:rStyle w:val="Hyperlink"/>
            <w:rFonts w:cs="Calibri"/>
          </w:rPr>
          <w:t>lintelesano@cnc.gov.ar</w:t>
        </w:r>
      </w:hyperlink>
      <w:r>
        <w:t>).</w:t>
      </w:r>
    </w:p>
    <w:p w:rsidR="00E70808" w:rsidRDefault="00E708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:rsidR="00766685" w:rsidRDefault="007666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lastRenderedPageBreak/>
        <w:br w:type="page"/>
      </w:r>
    </w:p>
    <w:p w:rsidR="00E70808" w:rsidRPr="0070339E" w:rsidRDefault="005F3443" w:rsidP="00BB3D76">
      <w:pPr>
        <w:pStyle w:val="AnnexNoTitle"/>
      </w:pPr>
      <w:r>
        <w:lastRenderedPageBreak/>
        <w:br/>
      </w:r>
      <w:r w:rsidR="00E70808">
        <w:t>A</w:t>
      </w:r>
      <w:r w:rsidR="00BB3D76">
        <w:t>NNEX</w:t>
      </w:r>
      <w:r w:rsidR="00E70808">
        <w:t xml:space="preserve"> </w:t>
      </w:r>
      <w:r w:rsidR="000B71A2">
        <w:t>3</w:t>
      </w:r>
    </w:p>
    <w:p w:rsidR="00E70808" w:rsidRPr="00265DCB" w:rsidRDefault="00E70808" w:rsidP="00B00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Cs w:val="24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35"/>
        <w:gridCol w:w="3708"/>
        <w:gridCol w:w="2554"/>
        <w:gridCol w:w="1851"/>
      </w:tblGrid>
      <w:tr w:rsidR="00E70808" w:rsidRPr="00265DCB" w:rsidTr="00C060C2">
        <w:tc>
          <w:tcPr>
            <w:tcW w:w="1808" w:type="dxa"/>
          </w:tcPr>
          <w:p w:rsidR="00E70808" w:rsidRPr="00265DCB" w:rsidRDefault="007575BF" w:rsidP="00C060C2">
            <w:pPr>
              <w:spacing w:line="240" w:lineRule="auto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A0C87C8" wp14:editId="2DC1DFE5">
                  <wp:extent cx="791845" cy="856615"/>
                  <wp:effectExtent l="0" t="0" r="8255" b="635"/>
                  <wp:docPr id="1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E70808" w:rsidRPr="00265DCB" w:rsidRDefault="00E70808" w:rsidP="00C060C2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E70808" w:rsidRPr="00AD007E" w:rsidRDefault="00E70808" w:rsidP="00B00A3E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Americas Region </w:t>
            </w:r>
            <w:r w:rsidRPr="00265DCB">
              <w:rPr>
                <w:b/>
                <w:bCs/>
                <w:color w:val="000000"/>
                <w:szCs w:val="24"/>
              </w:rPr>
              <w:t>WTSA-12 Reg</w:t>
            </w:r>
            <w:r>
              <w:rPr>
                <w:b/>
                <w:bCs/>
                <w:color w:val="000000"/>
                <w:szCs w:val="24"/>
              </w:rPr>
              <w:t xml:space="preserve">ional Preparatory Meeting </w:t>
            </w:r>
            <w:r w:rsidRPr="00AD007E">
              <w:rPr>
                <w:i/>
                <w:iCs/>
                <w:color w:val="000000"/>
                <w:szCs w:val="24"/>
              </w:rPr>
              <w:t xml:space="preserve">and </w:t>
            </w:r>
          </w:p>
          <w:p w:rsidR="00E70808" w:rsidRPr="00265DCB" w:rsidRDefault="00E70808" w:rsidP="00B00A3E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265DCB">
              <w:rPr>
                <w:b/>
                <w:bCs/>
                <w:color w:val="000000"/>
                <w:szCs w:val="24"/>
              </w:rPr>
              <w:t>WCIT-12 Regional Preparatory Meeting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265DCB">
              <w:rPr>
                <w:rStyle w:val="Strong"/>
                <w:rFonts w:cs="Calibri"/>
                <w:bCs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Buenos Aires, Argentina</w:t>
            </w:r>
            <w:r w:rsidRPr="00265DCB">
              <w:rPr>
                <w:b/>
                <w:bCs/>
                <w:color w:val="000000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zCs w:val="24"/>
              </w:rPr>
              <w:t>14-15 May</w:t>
            </w:r>
            <w:r w:rsidRPr="00265DCB">
              <w:rPr>
                <w:b/>
                <w:bCs/>
                <w:color w:val="000000"/>
                <w:szCs w:val="24"/>
              </w:rPr>
              <w:t xml:space="preserve"> 2012)</w:t>
            </w:r>
            <w:r w:rsidRPr="00265DCB">
              <w:rPr>
                <w:rStyle w:val="Strong"/>
                <w:rFonts w:cs="Calibri"/>
                <w:bCs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E70808" w:rsidRPr="00265DCB" w:rsidRDefault="007575BF" w:rsidP="00C060C2">
            <w:pPr>
              <w:spacing w:line="240" w:lineRule="auto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1B71EAD" wp14:editId="69207516">
                  <wp:extent cx="798195" cy="856615"/>
                  <wp:effectExtent l="0" t="0" r="1905" b="635"/>
                  <wp:docPr id="2" name="Picture 2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08" w:rsidRPr="00265DCB" w:rsidTr="00C060C2">
        <w:tc>
          <w:tcPr>
            <w:tcW w:w="2543" w:type="dxa"/>
            <w:gridSpan w:val="2"/>
          </w:tcPr>
          <w:p w:rsidR="00E70808" w:rsidRPr="000712CB" w:rsidRDefault="00E70808" w:rsidP="00C060C2">
            <w:pPr>
              <w:spacing w:before="0" w:line="240" w:lineRule="auto"/>
              <w:jc w:val="left"/>
            </w:pPr>
            <w:r w:rsidRPr="000712CB">
              <w:rPr>
                <w:b/>
                <w:bCs/>
                <w:iCs/>
              </w:rPr>
              <w:t>Please return to:</w:t>
            </w:r>
          </w:p>
        </w:tc>
        <w:tc>
          <w:tcPr>
            <w:tcW w:w="3708" w:type="dxa"/>
          </w:tcPr>
          <w:p w:rsidR="00E70808" w:rsidRPr="000712CB" w:rsidRDefault="00E70808" w:rsidP="00C060C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Fellowships Service</w:t>
            </w:r>
          </w:p>
          <w:p w:rsidR="00E70808" w:rsidRPr="000712CB" w:rsidRDefault="00E70808" w:rsidP="00C060C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ITU/BDT</w:t>
            </w:r>
          </w:p>
          <w:p w:rsidR="00E70808" w:rsidRPr="000712CB" w:rsidRDefault="00E70808" w:rsidP="00C060C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E70808" w:rsidRPr="000712CB" w:rsidRDefault="00E70808" w:rsidP="00C060C2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 xml:space="preserve">E-mail : </w:t>
            </w:r>
            <w:hyperlink r:id="rId22" w:history="1">
              <w:r w:rsidRPr="000712CB">
                <w:rPr>
                  <w:rStyle w:val="Hyperlink"/>
                  <w:rFonts w:cs="Calibri"/>
                  <w:b/>
                  <w:bCs/>
                  <w:lang w:val="pt-BR"/>
                </w:rPr>
                <w:t>bdtfellowships@itu.int</w:t>
              </w:r>
            </w:hyperlink>
            <w:r w:rsidRPr="000712CB">
              <w:rPr>
                <w:b/>
                <w:bCs/>
                <w:lang w:val="pt-BR"/>
              </w:rPr>
              <w:t xml:space="preserve"> </w:t>
            </w:r>
          </w:p>
          <w:p w:rsidR="00E70808" w:rsidRPr="000712CB" w:rsidRDefault="00E70808" w:rsidP="00C060C2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>Tel: +41 22 730  5227</w:t>
            </w:r>
          </w:p>
          <w:p w:rsidR="00E70808" w:rsidRPr="000712CB" w:rsidRDefault="00E70808" w:rsidP="00C060C2">
            <w:pPr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0712CB">
              <w:rPr>
                <w:b/>
                <w:bCs/>
                <w:lang w:val="fr-FR"/>
              </w:rPr>
              <w:t xml:space="preserve">Fax: +41 22 730 5778 </w:t>
            </w:r>
          </w:p>
          <w:p w:rsidR="00E70808" w:rsidRPr="000712CB" w:rsidRDefault="00E70808" w:rsidP="00C060C2">
            <w:pPr>
              <w:spacing w:before="0" w:line="240" w:lineRule="auto"/>
              <w:jc w:val="left"/>
              <w:rPr>
                <w:lang w:val="fr-FR"/>
              </w:rPr>
            </w:pPr>
          </w:p>
        </w:tc>
      </w:tr>
      <w:tr w:rsidR="00E70808" w:rsidRPr="00265DCB" w:rsidTr="00C060C2">
        <w:tc>
          <w:tcPr>
            <w:tcW w:w="10656" w:type="dxa"/>
            <w:gridSpan w:val="5"/>
          </w:tcPr>
          <w:p w:rsidR="00E70808" w:rsidRPr="000712CB" w:rsidRDefault="00E70808" w:rsidP="00B00A3E">
            <w:pPr>
              <w:spacing w:after="120"/>
              <w:jc w:val="center"/>
              <w:rPr>
                <w:iCs/>
              </w:rPr>
            </w:pPr>
            <w:r w:rsidRPr="000712CB">
              <w:rPr>
                <w:b/>
                <w:iCs/>
              </w:rPr>
              <w:t xml:space="preserve">Request for a fellowship to be submitted before </w:t>
            </w:r>
            <w:r>
              <w:rPr>
                <w:b/>
                <w:iCs/>
              </w:rPr>
              <w:t>14 April</w:t>
            </w:r>
            <w:r w:rsidRPr="000712CB">
              <w:rPr>
                <w:b/>
                <w:iCs/>
              </w:rPr>
              <w:t xml:space="preserve"> 2012</w:t>
            </w:r>
          </w:p>
        </w:tc>
      </w:tr>
      <w:tr w:rsidR="00E70808" w:rsidRPr="00265DCB" w:rsidTr="00C060C2">
        <w:tc>
          <w:tcPr>
            <w:tcW w:w="10656" w:type="dxa"/>
            <w:gridSpan w:val="5"/>
          </w:tcPr>
          <w:p w:rsidR="00E70808" w:rsidRPr="000712CB" w:rsidRDefault="00E70808" w:rsidP="00C060C2">
            <w:pPr>
              <w:spacing w:after="120"/>
              <w:jc w:val="center"/>
              <w:rPr>
                <w:b/>
                <w:iCs/>
              </w:rPr>
            </w:pPr>
            <w:r w:rsidRPr="000712CB">
              <w:rPr>
                <w:b/>
                <w:iCs/>
              </w:rPr>
              <w:t>Participation of women is encouraged</w:t>
            </w:r>
          </w:p>
        </w:tc>
      </w:tr>
      <w:tr w:rsidR="00E70808" w:rsidRPr="00265DCB" w:rsidTr="00C060C2">
        <w:tc>
          <w:tcPr>
            <w:tcW w:w="10656" w:type="dxa"/>
            <w:gridSpan w:val="5"/>
          </w:tcPr>
          <w:p w:rsidR="00E70808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>Reg</w:t>
            </w:r>
            <w:r>
              <w:t xml:space="preserve">istration Confirmation I.D. No:  </w:t>
            </w:r>
            <w:r>
              <w:tab/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</w:pPr>
            <w:r w:rsidRPr="00265DCB">
              <w:t>(</w:t>
            </w:r>
            <w:r w:rsidRPr="004A0C0F">
              <w:t xml:space="preserve">Note:  It is imperative for fellowship holders to pre-register via the on-line registration form at: </w:t>
            </w:r>
            <w:hyperlink r:id="rId23" w:history="1">
              <w:r w:rsidR="001E4CCC" w:rsidRPr="00DF408F">
                <w:rPr>
                  <w:rStyle w:val="Hyperlink"/>
                  <w:rFonts w:cs="Calibri"/>
                </w:rPr>
                <w:t>http://itu.int/en/ITU-T/wtsa-12/prepmeet/Pages/rcc.aspx</w:t>
              </w:r>
            </w:hyperlink>
            <w:r w:rsidRPr="004A0C0F">
              <w:t xml:space="preserve"> )</w:t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Country: </w:t>
            </w:r>
            <w:bookmarkStart w:id="4" w:name="Text1"/>
            <w:r w:rsidRPr="00265DCB">
              <w:t xml:space="preserve"> </w:t>
            </w:r>
            <w:bookmarkEnd w:id="4"/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Name of the Administration or Organization: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Mr. / Ms.: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</w:pPr>
            <w:r>
              <w:tab/>
            </w:r>
            <w:r w:rsidRPr="00265DCB">
              <w:t>(family name)</w:t>
            </w:r>
            <w:r>
              <w:tab/>
            </w:r>
            <w:r w:rsidRPr="00265DCB">
              <w:t>(given name)</w:t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Title: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Address: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</w:pPr>
            <w:r>
              <w:t xml:space="preserve">Tel:  </w:t>
            </w:r>
            <w:r>
              <w:tab/>
              <w:t xml:space="preserve">  </w:t>
            </w:r>
            <w:r w:rsidRPr="00265DCB">
              <w:t xml:space="preserve">Fax: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E-Mail: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265DCB">
              <w:t>PASSPORT INFORMATION:</w:t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Date of birth:  </w:t>
            </w:r>
            <w:r>
              <w:tab/>
            </w:r>
            <w:r w:rsidRPr="00265DCB">
              <w:t xml:space="preserve"> </w:t>
            </w:r>
            <w:r>
              <w:t xml:space="preserve"> Nationality: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Passport Number: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 of issue:  </w:t>
            </w:r>
            <w:r>
              <w:tab/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>
              <w:t xml:space="preserve">In (place):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Valid until (date): </w:t>
            </w:r>
            <w:r>
              <w:tab/>
            </w:r>
          </w:p>
        </w:tc>
      </w:tr>
      <w:tr w:rsidR="00E70808" w:rsidRPr="00265DCB" w:rsidTr="00C060C2">
        <w:trPr>
          <w:trHeight w:val="1072"/>
        </w:trPr>
        <w:tc>
          <w:tcPr>
            <w:tcW w:w="10656" w:type="dxa"/>
            <w:gridSpan w:val="5"/>
          </w:tcPr>
          <w:p w:rsidR="00E70808" w:rsidRPr="005155FA" w:rsidRDefault="00E70808" w:rsidP="00C060C2">
            <w:pPr>
              <w:rPr>
                <w:rFonts w:cs="Arial"/>
              </w:rPr>
            </w:pPr>
            <w:r w:rsidRPr="005155FA">
              <w:rPr>
                <w:rFonts w:cs="Arial"/>
              </w:rPr>
              <w:t>CONDITIONS (Please select your preference)</w:t>
            </w:r>
          </w:p>
          <w:p w:rsidR="00E70808" w:rsidRPr="005155FA" w:rsidRDefault="00E70808" w:rsidP="00C060C2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>  One full fellowship or  </w:t>
            </w: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two partial fellowships (per eligible country)</w:t>
            </w:r>
          </w:p>
          <w:p w:rsidR="00E70808" w:rsidRPr="005155FA" w:rsidRDefault="00E70808" w:rsidP="00C060C2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cs="Arial"/>
              </w:rPr>
              <w:t>In case of two partial fellowships, chose one of the following :</w:t>
            </w:r>
          </w:p>
          <w:p w:rsidR="00E70808" w:rsidRPr="005155FA" w:rsidRDefault="00E70808" w:rsidP="00C11CCD">
            <w:pPr>
              <w:pStyle w:val="ListParagraph"/>
              <w:rPr>
                <w:rFonts w:cs="SimSun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t xml:space="preserve"> Economy class airticket (Duty station / </w:t>
            </w:r>
            <w:r w:rsidR="00C11CCD">
              <w:t>Buenos Aires</w:t>
            </w:r>
            <w:r w:rsidRPr="005155FA">
              <w:t xml:space="preserve"> / Duty station)</w:t>
            </w:r>
          </w:p>
          <w:p w:rsidR="00E70808" w:rsidRPr="00265DCB" w:rsidRDefault="00E70808" w:rsidP="00C060C2">
            <w:pPr>
              <w:pStyle w:val="ListParagraph"/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Daily subsistence allowance intended to cover accommodation, meals and misc. expenses.</w:t>
            </w:r>
          </w:p>
        </w:tc>
      </w:tr>
      <w:tr w:rsidR="00E70808" w:rsidRPr="00265DCB" w:rsidTr="00C060C2">
        <w:tc>
          <w:tcPr>
            <w:tcW w:w="10656" w:type="dxa"/>
            <w:gridSpan w:val="5"/>
            <w:vAlign w:val="bottom"/>
          </w:tcPr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 of fellowship candidate: </w:t>
            </w:r>
            <w:r>
              <w:tab/>
            </w:r>
            <w:r w:rsidRPr="00265DCB">
              <w:t xml:space="preserve">.  Date: </w:t>
            </w:r>
            <w:r>
              <w:t xml:space="preserve"> </w:t>
            </w:r>
            <w:r>
              <w:tab/>
            </w:r>
            <w:r w:rsidR="005F3443">
              <w:br/>
            </w:r>
          </w:p>
        </w:tc>
      </w:tr>
      <w:tr w:rsidR="00E70808" w:rsidRPr="00265DCB" w:rsidTr="00C060C2">
        <w:tc>
          <w:tcPr>
            <w:tcW w:w="10656" w:type="dxa"/>
            <w:gridSpan w:val="5"/>
          </w:tcPr>
          <w:p w:rsidR="00E70808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</w:pPr>
            <w:r w:rsidRPr="00265DCB">
              <w:t>TO VALIDATE FELLOWSHIP REQUEST, NAME AND SIGNATURE OF CERTIFYING OFFICIAL DESIGNATING PARTICIPANT MUST BE COMPLETED BELOW WITH OFFICIAL STAMP.</w:t>
            </w:r>
          </w:p>
          <w:p w:rsidR="00E70808" w:rsidRPr="00265DCB" w:rsidRDefault="00E70808" w:rsidP="00C06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Date:  </w:t>
            </w:r>
            <w:r>
              <w:tab/>
            </w:r>
          </w:p>
        </w:tc>
      </w:tr>
    </w:tbl>
    <w:p w:rsidR="00E70808" w:rsidRPr="003008C6" w:rsidRDefault="00E70808" w:rsidP="008835D4">
      <w:pPr>
        <w:pStyle w:val="Normalaftertitle"/>
      </w:pPr>
    </w:p>
    <w:sectPr w:rsidR="00E70808" w:rsidRPr="003008C6" w:rsidSect="005F3443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7" w:h="16834" w:code="9"/>
      <w:pgMar w:top="851" w:right="1134" w:bottom="68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F6" w:rsidRDefault="003768F6">
      <w:r>
        <w:separator/>
      </w:r>
    </w:p>
  </w:endnote>
  <w:endnote w:type="continuationSeparator" w:id="0">
    <w:p w:rsidR="003768F6" w:rsidRDefault="003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76" w:rsidRPr="00EC54DF" w:rsidRDefault="00BB3D76" w:rsidP="00EC54DF">
    <w:pPr>
      <w:pStyle w:val="Footer"/>
      <w:spacing w:before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76" w:rsidRPr="00026CF8" w:rsidRDefault="00BB3D76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rFonts w:cs="Calibri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rFonts w:cs="Calibri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F6" w:rsidRDefault="003768F6">
      <w:r>
        <w:t>____________________</w:t>
      </w:r>
    </w:p>
  </w:footnote>
  <w:footnote w:type="continuationSeparator" w:id="0">
    <w:p w:rsidR="003768F6" w:rsidRDefault="0037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76" w:rsidRPr="003B365C" w:rsidRDefault="00BB3D76">
    <w:pPr>
      <w:pStyle w:val="Header"/>
      <w:rPr>
        <w:sz w:val="18"/>
        <w:szCs w:val="18"/>
      </w:rPr>
    </w:pPr>
    <w:r>
      <w:tab/>
    </w:r>
    <w:r>
      <w:tab/>
    </w:r>
    <w:r w:rsidRPr="003B365C">
      <w:rPr>
        <w:sz w:val="18"/>
        <w:szCs w:val="18"/>
      </w:rPr>
      <w:t xml:space="preserve">– </w:t>
    </w:r>
    <w:r w:rsidRPr="003B365C">
      <w:rPr>
        <w:rStyle w:val="PageNumber"/>
        <w:sz w:val="18"/>
        <w:szCs w:val="18"/>
      </w:rPr>
      <w:fldChar w:fldCharType="begin"/>
    </w:r>
    <w:r w:rsidRPr="003B365C">
      <w:rPr>
        <w:rStyle w:val="PageNumber"/>
        <w:sz w:val="18"/>
        <w:szCs w:val="18"/>
      </w:rPr>
      <w:instrText xml:space="preserve"> PAGE </w:instrText>
    </w:r>
    <w:r w:rsidRPr="003B365C">
      <w:rPr>
        <w:rStyle w:val="PageNumber"/>
        <w:sz w:val="18"/>
        <w:szCs w:val="18"/>
      </w:rPr>
      <w:fldChar w:fldCharType="separate"/>
    </w:r>
    <w:r w:rsidR="001078B6">
      <w:rPr>
        <w:rStyle w:val="PageNumber"/>
        <w:noProof/>
        <w:sz w:val="18"/>
        <w:szCs w:val="18"/>
      </w:rPr>
      <w:t>6</w:t>
    </w:r>
    <w:r w:rsidRPr="003B365C">
      <w:rPr>
        <w:rStyle w:val="PageNumber"/>
        <w:sz w:val="18"/>
        <w:szCs w:val="18"/>
      </w:rPr>
      <w:fldChar w:fldCharType="end"/>
    </w:r>
    <w:r w:rsidRPr="003B365C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76" w:rsidRPr="00A04024" w:rsidRDefault="00BB3D76" w:rsidP="00A04024">
    <w:pPr>
      <w:pStyle w:val="Header"/>
      <w:jc w:val="center"/>
    </w:pPr>
    <w:r w:rsidRPr="00C41C6A">
      <w:rPr>
        <w:sz w:val="18"/>
        <w:szCs w:val="18"/>
      </w:rPr>
      <w:t xml:space="preserve">- </w:t>
    </w:r>
    <w:r w:rsidRPr="00C41C6A">
      <w:rPr>
        <w:sz w:val="18"/>
        <w:szCs w:val="18"/>
      </w:rPr>
      <w:fldChar w:fldCharType="begin"/>
    </w:r>
    <w:r w:rsidRPr="00C41C6A">
      <w:rPr>
        <w:sz w:val="18"/>
        <w:szCs w:val="18"/>
      </w:rPr>
      <w:instrText xml:space="preserve"> PAGE   \* MERGEFORMAT </w:instrText>
    </w:r>
    <w:r w:rsidRPr="00C41C6A">
      <w:rPr>
        <w:sz w:val="18"/>
        <w:szCs w:val="18"/>
      </w:rPr>
      <w:fldChar w:fldCharType="separate"/>
    </w:r>
    <w:r w:rsidR="001078B6">
      <w:rPr>
        <w:noProof/>
        <w:sz w:val="18"/>
        <w:szCs w:val="18"/>
      </w:rPr>
      <w:t>7</w:t>
    </w:r>
    <w:r w:rsidRPr="00C41C6A">
      <w:rPr>
        <w:sz w:val="18"/>
        <w:szCs w:val="18"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76" w:rsidRPr="00EA15B3" w:rsidRDefault="00BB3D76" w:rsidP="00EA15B3">
    <w:pPr>
      <w:pStyle w:val="Header"/>
      <w:spacing w:line="360" w:lineRule="auto"/>
    </w:pPr>
    <w:r>
      <w:tab/>
    </w:r>
    <w:r>
      <w:tab/>
    </w:r>
    <w:r>
      <w:rPr>
        <w:b/>
        <w:noProof/>
        <w:lang w:val="en-GB" w:eastAsia="zh-CN"/>
      </w:rPr>
      <w:drawing>
        <wp:inline distT="0" distB="0" distL="0" distR="0" wp14:anchorId="7DF02874" wp14:editId="014CEFD1">
          <wp:extent cx="631190" cy="721360"/>
          <wp:effectExtent l="0" t="0" r="0" b="254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8">
    <w:nsid w:val="64C63C8B"/>
    <w:multiLevelType w:val="hybridMultilevel"/>
    <w:tmpl w:val="324E3876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9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A372E"/>
    <w:rsid w:val="00004347"/>
    <w:rsid w:val="000048B1"/>
    <w:rsid w:val="00006C82"/>
    <w:rsid w:val="00010E30"/>
    <w:rsid w:val="000133C4"/>
    <w:rsid w:val="000226E8"/>
    <w:rsid w:val="00026CF8"/>
    <w:rsid w:val="00030430"/>
    <w:rsid w:val="00030BF1"/>
    <w:rsid w:val="000377C5"/>
    <w:rsid w:val="0005279C"/>
    <w:rsid w:val="00061333"/>
    <w:rsid w:val="00070258"/>
    <w:rsid w:val="000712CB"/>
    <w:rsid w:val="0007323C"/>
    <w:rsid w:val="0007366F"/>
    <w:rsid w:val="00076521"/>
    <w:rsid w:val="000769B4"/>
    <w:rsid w:val="00086D03"/>
    <w:rsid w:val="000955BA"/>
    <w:rsid w:val="00095EDC"/>
    <w:rsid w:val="000A7051"/>
    <w:rsid w:val="000B0FBC"/>
    <w:rsid w:val="000B2CBF"/>
    <w:rsid w:val="000B3696"/>
    <w:rsid w:val="000B53AF"/>
    <w:rsid w:val="000B71A2"/>
    <w:rsid w:val="000C03C7"/>
    <w:rsid w:val="000C0D3D"/>
    <w:rsid w:val="000C41AB"/>
    <w:rsid w:val="000C4F5D"/>
    <w:rsid w:val="000D0BEB"/>
    <w:rsid w:val="000D666F"/>
    <w:rsid w:val="000E0603"/>
    <w:rsid w:val="000E3DEE"/>
    <w:rsid w:val="000F4AE5"/>
    <w:rsid w:val="00100B72"/>
    <w:rsid w:val="00103C76"/>
    <w:rsid w:val="00106872"/>
    <w:rsid w:val="001078B6"/>
    <w:rsid w:val="0011265F"/>
    <w:rsid w:val="00116368"/>
    <w:rsid w:val="0012415D"/>
    <w:rsid w:val="001251AD"/>
    <w:rsid w:val="00125CBB"/>
    <w:rsid w:val="0013064B"/>
    <w:rsid w:val="001313AF"/>
    <w:rsid w:val="00134404"/>
    <w:rsid w:val="00134FA9"/>
    <w:rsid w:val="00144DFB"/>
    <w:rsid w:val="00152D46"/>
    <w:rsid w:val="00156D28"/>
    <w:rsid w:val="00157954"/>
    <w:rsid w:val="00163C27"/>
    <w:rsid w:val="00164F74"/>
    <w:rsid w:val="00175CCD"/>
    <w:rsid w:val="00176C0C"/>
    <w:rsid w:val="001806D0"/>
    <w:rsid w:val="00187CA3"/>
    <w:rsid w:val="001903D9"/>
    <w:rsid w:val="00192EE5"/>
    <w:rsid w:val="00196710"/>
    <w:rsid w:val="00197324"/>
    <w:rsid w:val="001A03D9"/>
    <w:rsid w:val="001A6646"/>
    <w:rsid w:val="001C06DB"/>
    <w:rsid w:val="001C0701"/>
    <w:rsid w:val="001C13FF"/>
    <w:rsid w:val="001C5D31"/>
    <w:rsid w:val="001C79BE"/>
    <w:rsid w:val="001D1929"/>
    <w:rsid w:val="001D26E0"/>
    <w:rsid w:val="001D47F6"/>
    <w:rsid w:val="001D7070"/>
    <w:rsid w:val="001E4CCC"/>
    <w:rsid w:val="001F1955"/>
    <w:rsid w:val="001F5A49"/>
    <w:rsid w:val="00201097"/>
    <w:rsid w:val="00201B6E"/>
    <w:rsid w:val="00203993"/>
    <w:rsid w:val="00211EC6"/>
    <w:rsid w:val="00223B7A"/>
    <w:rsid w:val="00224282"/>
    <w:rsid w:val="0022696A"/>
    <w:rsid w:val="00226E15"/>
    <w:rsid w:val="002302B3"/>
    <w:rsid w:val="002304D2"/>
    <w:rsid w:val="00233826"/>
    <w:rsid w:val="002342FC"/>
    <w:rsid w:val="0023523A"/>
    <w:rsid w:val="00235A29"/>
    <w:rsid w:val="002443A2"/>
    <w:rsid w:val="00256D1D"/>
    <w:rsid w:val="00265DCB"/>
    <w:rsid w:val="00273D30"/>
    <w:rsid w:val="0028313E"/>
    <w:rsid w:val="002861E6"/>
    <w:rsid w:val="00287D18"/>
    <w:rsid w:val="00294BB2"/>
    <w:rsid w:val="00295087"/>
    <w:rsid w:val="002D00E1"/>
    <w:rsid w:val="002D1979"/>
    <w:rsid w:val="002D5A15"/>
    <w:rsid w:val="002D5BDD"/>
    <w:rsid w:val="002D6973"/>
    <w:rsid w:val="002D6DB1"/>
    <w:rsid w:val="002E0C86"/>
    <w:rsid w:val="002F0890"/>
    <w:rsid w:val="002F2531"/>
    <w:rsid w:val="002F3B0F"/>
    <w:rsid w:val="002F4823"/>
    <w:rsid w:val="002F4967"/>
    <w:rsid w:val="002F5B08"/>
    <w:rsid w:val="003008C6"/>
    <w:rsid w:val="0031156F"/>
    <w:rsid w:val="00316935"/>
    <w:rsid w:val="003370B8"/>
    <w:rsid w:val="003424FA"/>
    <w:rsid w:val="00345C3D"/>
    <w:rsid w:val="0035027E"/>
    <w:rsid w:val="00354015"/>
    <w:rsid w:val="00363A4A"/>
    <w:rsid w:val="003666FF"/>
    <w:rsid w:val="0037656C"/>
    <w:rsid w:val="003768F6"/>
    <w:rsid w:val="00376F76"/>
    <w:rsid w:val="0038172A"/>
    <w:rsid w:val="00382BAE"/>
    <w:rsid w:val="00384E98"/>
    <w:rsid w:val="00386334"/>
    <w:rsid w:val="00390AEA"/>
    <w:rsid w:val="0039147F"/>
    <w:rsid w:val="003978F4"/>
    <w:rsid w:val="003A2B7A"/>
    <w:rsid w:val="003A3F60"/>
    <w:rsid w:val="003A5B86"/>
    <w:rsid w:val="003A7809"/>
    <w:rsid w:val="003B2BDA"/>
    <w:rsid w:val="003B365C"/>
    <w:rsid w:val="003B55EC"/>
    <w:rsid w:val="003C4471"/>
    <w:rsid w:val="003D5125"/>
    <w:rsid w:val="003E1108"/>
    <w:rsid w:val="003E504F"/>
    <w:rsid w:val="003E78D6"/>
    <w:rsid w:val="003F4FB6"/>
    <w:rsid w:val="00411531"/>
    <w:rsid w:val="004326DB"/>
    <w:rsid w:val="00433E6F"/>
    <w:rsid w:val="00435930"/>
    <w:rsid w:val="0043682E"/>
    <w:rsid w:val="00447728"/>
    <w:rsid w:val="00447ECB"/>
    <w:rsid w:val="0045452C"/>
    <w:rsid w:val="004547C0"/>
    <w:rsid w:val="0045598F"/>
    <w:rsid w:val="004623F7"/>
    <w:rsid w:val="00465B04"/>
    <w:rsid w:val="00465C26"/>
    <w:rsid w:val="00480F51"/>
    <w:rsid w:val="00481124"/>
    <w:rsid w:val="004815EB"/>
    <w:rsid w:val="004853D3"/>
    <w:rsid w:val="00487569"/>
    <w:rsid w:val="00487FBF"/>
    <w:rsid w:val="00490673"/>
    <w:rsid w:val="00491E50"/>
    <w:rsid w:val="00495B35"/>
    <w:rsid w:val="00496864"/>
    <w:rsid w:val="00496920"/>
    <w:rsid w:val="004A0C0F"/>
    <w:rsid w:val="004A31CB"/>
    <w:rsid w:val="004B7C9A"/>
    <w:rsid w:val="004C2308"/>
    <w:rsid w:val="004C3954"/>
    <w:rsid w:val="004C457B"/>
    <w:rsid w:val="004C593A"/>
    <w:rsid w:val="004C6779"/>
    <w:rsid w:val="004D1823"/>
    <w:rsid w:val="004D5580"/>
    <w:rsid w:val="004D6EE1"/>
    <w:rsid w:val="004E0DC4"/>
    <w:rsid w:val="004E0FB5"/>
    <w:rsid w:val="004E43BB"/>
    <w:rsid w:val="004F178E"/>
    <w:rsid w:val="004F46CD"/>
    <w:rsid w:val="0050383E"/>
    <w:rsid w:val="00505309"/>
    <w:rsid w:val="0050789B"/>
    <w:rsid w:val="005155FA"/>
    <w:rsid w:val="00525FDF"/>
    <w:rsid w:val="005313B9"/>
    <w:rsid w:val="00534372"/>
    <w:rsid w:val="0053792B"/>
    <w:rsid w:val="00543DF8"/>
    <w:rsid w:val="00546101"/>
    <w:rsid w:val="005465CA"/>
    <w:rsid w:val="00551A3B"/>
    <w:rsid w:val="00552F67"/>
    <w:rsid w:val="00553DD7"/>
    <w:rsid w:val="005637BA"/>
    <w:rsid w:val="005638CF"/>
    <w:rsid w:val="00567360"/>
    <w:rsid w:val="0056741E"/>
    <w:rsid w:val="0057325A"/>
    <w:rsid w:val="0057469A"/>
    <w:rsid w:val="00580396"/>
    <w:rsid w:val="00580814"/>
    <w:rsid w:val="00592FC8"/>
    <w:rsid w:val="005A03A3"/>
    <w:rsid w:val="005A79E9"/>
    <w:rsid w:val="005B0CF0"/>
    <w:rsid w:val="005B214C"/>
    <w:rsid w:val="005B3699"/>
    <w:rsid w:val="005B78D3"/>
    <w:rsid w:val="005B7DCA"/>
    <w:rsid w:val="005C6481"/>
    <w:rsid w:val="005D19F6"/>
    <w:rsid w:val="005D3669"/>
    <w:rsid w:val="005D6305"/>
    <w:rsid w:val="005F3443"/>
    <w:rsid w:val="0060051A"/>
    <w:rsid w:val="0060283B"/>
    <w:rsid w:val="00602D53"/>
    <w:rsid w:val="00604769"/>
    <w:rsid w:val="006348AD"/>
    <w:rsid w:val="0063753F"/>
    <w:rsid w:val="00640C31"/>
    <w:rsid w:val="006425E5"/>
    <w:rsid w:val="00650B2A"/>
    <w:rsid w:val="00651777"/>
    <w:rsid w:val="006522B8"/>
    <w:rsid w:val="00656581"/>
    <w:rsid w:val="006667F1"/>
    <w:rsid w:val="0067479F"/>
    <w:rsid w:val="006751E5"/>
    <w:rsid w:val="00676E87"/>
    <w:rsid w:val="0069618F"/>
    <w:rsid w:val="006A0113"/>
    <w:rsid w:val="006A518B"/>
    <w:rsid w:val="006A6D09"/>
    <w:rsid w:val="006B0590"/>
    <w:rsid w:val="006B35BF"/>
    <w:rsid w:val="006B38CB"/>
    <w:rsid w:val="006B49DA"/>
    <w:rsid w:val="006B787A"/>
    <w:rsid w:val="006C03C7"/>
    <w:rsid w:val="006C2106"/>
    <w:rsid w:val="006C7CDE"/>
    <w:rsid w:val="006D26D3"/>
    <w:rsid w:val="006D32D4"/>
    <w:rsid w:val="006D75B2"/>
    <w:rsid w:val="006E192E"/>
    <w:rsid w:val="006E33AB"/>
    <w:rsid w:val="006F050B"/>
    <w:rsid w:val="006F1EF8"/>
    <w:rsid w:val="00702EAE"/>
    <w:rsid w:val="0070339E"/>
    <w:rsid w:val="007079AD"/>
    <w:rsid w:val="00711F4F"/>
    <w:rsid w:val="0071747B"/>
    <w:rsid w:val="007234B1"/>
    <w:rsid w:val="0072636B"/>
    <w:rsid w:val="00727816"/>
    <w:rsid w:val="00730B9A"/>
    <w:rsid w:val="00740C26"/>
    <w:rsid w:val="007449A7"/>
    <w:rsid w:val="00750CFA"/>
    <w:rsid w:val="00753B87"/>
    <w:rsid w:val="00755063"/>
    <w:rsid w:val="007553DA"/>
    <w:rsid w:val="007575BF"/>
    <w:rsid w:val="00766685"/>
    <w:rsid w:val="00782663"/>
    <w:rsid w:val="00782B0B"/>
    <w:rsid w:val="00783BDE"/>
    <w:rsid w:val="007921A7"/>
    <w:rsid w:val="00793AE5"/>
    <w:rsid w:val="00794377"/>
    <w:rsid w:val="00794776"/>
    <w:rsid w:val="007967FF"/>
    <w:rsid w:val="007B3DB1"/>
    <w:rsid w:val="007C04B4"/>
    <w:rsid w:val="007C252F"/>
    <w:rsid w:val="007D183E"/>
    <w:rsid w:val="007E1833"/>
    <w:rsid w:val="007E1A74"/>
    <w:rsid w:val="007E1A9A"/>
    <w:rsid w:val="007E3F13"/>
    <w:rsid w:val="007F0298"/>
    <w:rsid w:val="007F429A"/>
    <w:rsid w:val="007F642A"/>
    <w:rsid w:val="007F751A"/>
    <w:rsid w:val="00800012"/>
    <w:rsid w:val="0080400C"/>
    <w:rsid w:val="00806F8D"/>
    <w:rsid w:val="0081513E"/>
    <w:rsid w:val="00827FC6"/>
    <w:rsid w:val="00832455"/>
    <w:rsid w:val="00854131"/>
    <w:rsid w:val="00855A4F"/>
    <w:rsid w:val="0085652D"/>
    <w:rsid w:val="008724D6"/>
    <w:rsid w:val="0087383B"/>
    <w:rsid w:val="0087694B"/>
    <w:rsid w:val="008835D4"/>
    <w:rsid w:val="008909BF"/>
    <w:rsid w:val="008947F3"/>
    <w:rsid w:val="008B51CC"/>
    <w:rsid w:val="008C0B35"/>
    <w:rsid w:val="008C2E74"/>
    <w:rsid w:val="008E5173"/>
    <w:rsid w:val="008E6B1D"/>
    <w:rsid w:val="008F064D"/>
    <w:rsid w:val="008F0952"/>
    <w:rsid w:val="008F4F21"/>
    <w:rsid w:val="008F7EE1"/>
    <w:rsid w:val="00904D4A"/>
    <w:rsid w:val="00907259"/>
    <w:rsid w:val="009151BA"/>
    <w:rsid w:val="00917617"/>
    <w:rsid w:val="009231D7"/>
    <w:rsid w:val="00923411"/>
    <w:rsid w:val="00925023"/>
    <w:rsid w:val="0092546D"/>
    <w:rsid w:val="00926A8E"/>
    <w:rsid w:val="00926E18"/>
    <w:rsid w:val="009277BC"/>
    <w:rsid w:val="00927D0F"/>
    <w:rsid w:val="00927D57"/>
    <w:rsid w:val="00931A51"/>
    <w:rsid w:val="0093285A"/>
    <w:rsid w:val="0093441F"/>
    <w:rsid w:val="00947185"/>
    <w:rsid w:val="0094728C"/>
    <w:rsid w:val="00951316"/>
    <w:rsid w:val="00951FAD"/>
    <w:rsid w:val="00953AB7"/>
    <w:rsid w:val="009636A4"/>
    <w:rsid w:val="00963D9D"/>
    <w:rsid w:val="00963DFD"/>
    <w:rsid w:val="009719AA"/>
    <w:rsid w:val="009725F7"/>
    <w:rsid w:val="00974512"/>
    <w:rsid w:val="00976362"/>
    <w:rsid w:val="0098013E"/>
    <w:rsid w:val="00981B54"/>
    <w:rsid w:val="00983B79"/>
    <w:rsid w:val="009842C3"/>
    <w:rsid w:val="009A009A"/>
    <w:rsid w:val="009A162F"/>
    <w:rsid w:val="009A49B8"/>
    <w:rsid w:val="009A6BB6"/>
    <w:rsid w:val="009A7B39"/>
    <w:rsid w:val="009B2430"/>
    <w:rsid w:val="009B322B"/>
    <w:rsid w:val="009B5F0C"/>
    <w:rsid w:val="009C161F"/>
    <w:rsid w:val="009C56B4"/>
    <w:rsid w:val="009C7EB7"/>
    <w:rsid w:val="009D0A2F"/>
    <w:rsid w:val="009D15A0"/>
    <w:rsid w:val="009D17C8"/>
    <w:rsid w:val="009D1E90"/>
    <w:rsid w:val="009D306C"/>
    <w:rsid w:val="009E4AEC"/>
    <w:rsid w:val="009E5BD8"/>
    <w:rsid w:val="009E648C"/>
    <w:rsid w:val="009E681E"/>
    <w:rsid w:val="009E7121"/>
    <w:rsid w:val="009F783C"/>
    <w:rsid w:val="00A03AC5"/>
    <w:rsid w:val="00A03D64"/>
    <w:rsid w:val="00A04024"/>
    <w:rsid w:val="00A07A08"/>
    <w:rsid w:val="00A1074F"/>
    <w:rsid w:val="00A12F04"/>
    <w:rsid w:val="00A1391F"/>
    <w:rsid w:val="00A14501"/>
    <w:rsid w:val="00A17BA7"/>
    <w:rsid w:val="00A3139A"/>
    <w:rsid w:val="00A322F9"/>
    <w:rsid w:val="00A34D6F"/>
    <w:rsid w:val="00A41F91"/>
    <w:rsid w:val="00A42FAA"/>
    <w:rsid w:val="00A55375"/>
    <w:rsid w:val="00A64826"/>
    <w:rsid w:val="00A6662D"/>
    <w:rsid w:val="00A678D0"/>
    <w:rsid w:val="00A821E9"/>
    <w:rsid w:val="00A963DF"/>
    <w:rsid w:val="00AA5BBA"/>
    <w:rsid w:val="00AB0F14"/>
    <w:rsid w:val="00AB7C56"/>
    <w:rsid w:val="00AC3896"/>
    <w:rsid w:val="00AC7905"/>
    <w:rsid w:val="00AD007E"/>
    <w:rsid w:val="00AD2C80"/>
    <w:rsid w:val="00AD48C7"/>
    <w:rsid w:val="00AD52A7"/>
    <w:rsid w:val="00AE75F5"/>
    <w:rsid w:val="00AF3325"/>
    <w:rsid w:val="00AF416D"/>
    <w:rsid w:val="00B00A3E"/>
    <w:rsid w:val="00B019D3"/>
    <w:rsid w:val="00B20A29"/>
    <w:rsid w:val="00B238DA"/>
    <w:rsid w:val="00B273B2"/>
    <w:rsid w:val="00B34CF9"/>
    <w:rsid w:val="00B43904"/>
    <w:rsid w:val="00B45F1F"/>
    <w:rsid w:val="00B51442"/>
    <w:rsid w:val="00B6012C"/>
    <w:rsid w:val="00B61DDC"/>
    <w:rsid w:val="00B63CDC"/>
    <w:rsid w:val="00B6755E"/>
    <w:rsid w:val="00B7063F"/>
    <w:rsid w:val="00B72932"/>
    <w:rsid w:val="00B820AA"/>
    <w:rsid w:val="00B82370"/>
    <w:rsid w:val="00B90BBC"/>
    <w:rsid w:val="00B90C45"/>
    <w:rsid w:val="00B933BE"/>
    <w:rsid w:val="00B93A27"/>
    <w:rsid w:val="00B95560"/>
    <w:rsid w:val="00B955D3"/>
    <w:rsid w:val="00B97BAE"/>
    <w:rsid w:val="00B97D17"/>
    <w:rsid w:val="00BA372E"/>
    <w:rsid w:val="00BB06E7"/>
    <w:rsid w:val="00BB3D76"/>
    <w:rsid w:val="00BB6A9F"/>
    <w:rsid w:val="00BC0E6D"/>
    <w:rsid w:val="00BC16AA"/>
    <w:rsid w:val="00BC32ED"/>
    <w:rsid w:val="00BC3AB1"/>
    <w:rsid w:val="00BC4782"/>
    <w:rsid w:val="00BD2B58"/>
    <w:rsid w:val="00BD6738"/>
    <w:rsid w:val="00BD7E5E"/>
    <w:rsid w:val="00BE6574"/>
    <w:rsid w:val="00BF0580"/>
    <w:rsid w:val="00BF0A70"/>
    <w:rsid w:val="00BF6056"/>
    <w:rsid w:val="00C0385F"/>
    <w:rsid w:val="00C060C2"/>
    <w:rsid w:val="00C06394"/>
    <w:rsid w:val="00C07738"/>
    <w:rsid w:val="00C07BED"/>
    <w:rsid w:val="00C10264"/>
    <w:rsid w:val="00C11CCD"/>
    <w:rsid w:val="00C12AA5"/>
    <w:rsid w:val="00C16FD2"/>
    <w:rsid w:val="00C41C6A"/>
    <w:rsid w:val="00C51208"/>
    <w:rsid w:val="00C53CB1"/>
    <w:rsid w:val="00C53CEB"/>
    <w:rsid w:val="00C54890"/>
    <w:rsid w:val="00C560C6"/>
    <w:rsid w:val="00C57E2C"/>
    <w:rsid w:val="00C608B7"/>
    <w:rsid w:val="00C60BCB"/>
    <w:rsid w:val="00C64319"/>
    <w:rsid w:val="00C65C74"/>
    <w:rsid w:val="00C66F24"/>
    <w:rsid w:val="00C708D7"/>
    <w:rsid w:val="00C708E6"/>
    <w:rsid w:val="00C71CFF"/>
    <w:rsid w:val="00C755DD"/>
    <w:rsid w:val="00C764B0"/>
    <w:rsid w:val="00C812B5"/>
    <w:rsid w:val="00C8130F"/>
    <w:rsid w:val="00C813AA"/>
    <w:rsid w:val="00C9291E"/>
    <w:rsid w:val="00C9531E"/>
    <w:rsid w:val="00C95741"/>
    <w:rsid w:val="00C970F8"/>
    <w:rsid w:val="00C9721F"/>
    <w:rsid w:val="00CA3F44"/>
    <w:rsid w:val="00CA4E58"/>
    <w:rsid w:val="00CB04EF"/>
    <w:rsid w:val="00CB3771"/>
    <w:rsid w:val="00CB5153"/>
    <w:rsid w:val="00CC11DD"/>
    <w:rsid w:val="00CC54D2"/>
    <w:rsid w:val="00CE076A"/>
    <w:rsid w:val="00CF6DD6"/>
    <w:rsid w:val="00D10BA0"/>
    <w:rsid w:val="00D11F4A"/>
    <w:rsid w:val="00D130ED"/>
    <w:rsid w:val="00D1372C"/>
    <w:rsid w:val="00D24EB5"/>
    <w:rsid w:val="00D25253"/>
    <w:rsid w:val="00D268D1"/>
    <w:rsid w:val="00D4106A"/>
    <w:rsid w:val="00D41571"/>
    <w:rsid w:val="00D416A0"/>
    <w:rsid w:val="00D43904"/>
    <w:rsid w:val="00D47672"/>
    <w:rsid w:val="00D5123C"/>
    <w:rsid w:val="00D55560"/>
    <w:rsid w:val="00D61C5A"/>
    <w:rsid w:val="00D7066D"/>
    <w:rsid w:val="00D71CB5"/>
    <w:rsid w:val="00D76538"/>
    <w:rsid w:val="00D7687F"/>
    <w:rsid w:val="00D83C4E"/>
    <w:rsid w:val="00D83F6C"/>
    <w:rsid w:val="00D872D3"/>
    <w:rsid w:val="00D87868"/>
    <w:rsid w:val="00D87E20"/>
    <w:rsid w:val="00D910E4"/>
    <w:rsid w:val="00D95CD8"/>
    <w:rsid w:val="00D97349"/>
    <w:rsid w:val="00D97BE9"/>
    <w:rsid w:val="00DD00E3"/>
    <w:rsid w:val="00DD20B3"/>
    <w:rsid w:val="00DD240B"/>
    <w:rsid w:val="00DD3935"/>
    <w:rsid w:val="00DE66A5"/>
    <w:rsid w:val="00DF2B50"/>
    <w:rsid w:val="00DF2E3F"/>
    <w:rsid w:val="00DF3785"/>
    <w:rsid w:val="00E00F13"/>
    <w:rsid w:val="00E04C86"/>
    <w:rsid w:val="00E1019D"/>
    <w:rsid w:val="00E20F30"/>
    <w:rsid w:val="00E212E1"/>
    <w:rsid w:val="00E2189C"/>
    <w:rsid w:val="00E25BB1"/>
    <w:rsid w:val="00E27BBA"/>
    <w:rsid w:val="00E3061D"/>
    <w:rsid w:val="00E3532F"/>
    <w:rsid w:val="00E35E8F"/>
    <w:rsid w:val="00E37613"/>
    <w:rsid w:val="00E37D44"/>
    <w:rsid w:val="00E41A8B"/>
    <w:rsid w:val="00E427E8"/>
    <w:rsid w:val="00E4286B"/>
    <w:rsid w:val="00E428AB"/>
    <w:rsid w:val="00E42E34"/>
    <w:rsid w:val="00E431F2"/>
    <w:rsid w:val="00E438E8"/>
    <w:rsid w:val="00E46275"/>
    <w:rsid w:val="00E520E2"/>
    <w:rsid w:val="00E54889"/>
    <w:rsid w:val="00E62057"/>
    <w:rsid w:val="00E64254"/>
    <w:rsid w:val="00E66CEC"/>
    <w:rsid w:val="00E70808"/>
    <w:rsid w:val="00E823B3"/>
    <w:rsid w:val="00E87C68"/>
    <w:rsid w:val="00EA15B3"/>
    <w:rsid w:val="00EB062E"/>
    <w:rsid w:val="00EB2358"/>
    <w:rsid w:val="00EB3EB8"/>
    <w:rsid w:val="00EC2C18"/>
    <w:rsid w:val="00EC3EE3"/>
    <w:rsid w:val="00EC54DF"/>
    <w:rsid w:val="00EE0F81"/>
    <w:rsid w:val="00EE7937"/>
    <w:rsid w:val="00EF4BCE"/>
    <w:rsid w:val="00F06AE9"/>
    <w:rsid w:val="00F11CCE"/>
    <w:rsid w:val="00F12769"/>
    <w:rsid w:val="00F13BA1"/>
    <w:rsid w:val="00F20441"/>
    <w:rsid w:val="00F21E17"/>
    <w:rsid w:val="00F27FC3"/>
    <w:rsid w:val="00F414EC"/>
    <w:rsid w:val="00F466CC"/>
    <w:rsid w:val="00F468C5"/>
    <w:rsid w:val="00F4761E"/>
    <w:rsid w:val="00F50FF9"/>
    <w:rsid w:val="00F52F39"/>
    <w:rsid w:val="00F60645"/>
    <w:rsid w:val="00F625F4"/>
    <w:rsid w:val="00F75008"/>
    <w:rsid w:val="00F87207"/>
    <w:rsid w:val="00F914DD"/>
    <w:rsid w:val="00FA129A"/>
    <w:rsid w:val="00FA2358"/>
    <w:rsid w:val="00FB2592"/>
    <w:rsid w:val="00FB2810"/>
    <w:rsid w:val="00FC2947"/>
    <w:rsid w:val="00FC5C13"/>
    <w:rsid w:val="00FC7433"/>
    <w:rsid w:val="00FD478B"/>
    <w:rsid w:val="00FE0818"/>
    <w:rsid w:val="00FE17F9"/>
    <w:rsid w:val="00FE2D3D"/>
    <w:rsid w:val="00FE4D9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4326DB"/>
  </w:style>
  <w:style w:type="paragraph" w:styleId="TOC4">
    <w:name w:val="toc 4"/>
    <w:basedOn w:val="TOC3"/>
    <w:uiPriority w:val="99"/>
    <w:semiHidden/>
    <w:rsid w:val="004326DB"/>
  </w:style>
  <w:style w:type="paragraph" w:styleId="TOC3">
    <w:name w:val="toc 3"/>
    <w:basedOn w:val="TOC2"/>
    <w:uiPriority w:val="99"/>
    <w:semiHidden/>
    <w:rsid w:val="004326DB"/>
  </w:style>
  <w:style w:type="paragraph" w:styleId="TOC2">
    <w:name w:val="toc 2"/>
    <w:basedOn w:val="TOC1"/>
    <w:uiPriority w:val="9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99"/>
    <w:semiHidden/>
    <w:rsid w:val="004326DB"/>
  </w:style>
  <w:style w:type="paragraph" w:styleId="TOC6">
    <w:name w:val="toc 6"/>
    <w:basedOn w:val="TOC4"/>
    <w:uiPriority w:val="99"/>
    <w:semiHidden/>
    <w:rsid w:val="004326DB"/>
  </w:style>
  <w:style w:type="paragraph" w:styleId="TOC5">
    <w:name w:val="toc 5"/>
    <w:basedOn w:val="TOC4"/>
    <w:uiPriority w:val="99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21E9"/>
    <w:rPr>
      <w:rFonts w:cs="Times New Roman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54DF"/>
    <w:rPr>
      <w:rFonts w:cs="Times New Roman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1CCE"/>
    <w:rPr>
      <w:rFonts w:cs="Times New Roman"/>
      <w:sz w:val="22"/>
      <w:lang w:val="en-US" w:eastAsia="en-US"/>
    </w:rPr>
  </w:style>
  <w:style w:type="paragraph" w:customStyle="1" w:styleId="Note">
    <w:name w:val="Note"/>
    <w:basedOn w:val="Normal"/>
    <w:uiPriority w:val="99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  <w:rPr>
      <w:rFonts w:cs="Times New Roman"/>
      <w:szCs w:val="20"/>
    </w:r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uiPriority w:val="99"/>
    <w:rsid w:val="004326DB"/>
    <w:pPr>
      <w:ind w:left="1588"/>
    </w:pPr>
  </w:style>
  <w:style w:type="paragraph" w:customStyle="1" w:styleId="Equation">
    <w:name w:val="Equation"/>
    <w:basedOn w:val="Normal"/>
    <w:uiPriority w:val="99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uiPriority w:val="99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uiPriority w:val="99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  <w:szCs w:val="20"/>
      <w:lang w:val="fr-FR"/>
    </w:rPr>
  </w:style>
  <w:style w:type="paragraph" w:styleId="TOC9">
    <w:name w:val="toc 9"/>
    <w:basedOn w:val="TOC3"/>
    <w:uiPriority w:val="99"/>
    <w:semiHidden/>
    <w:rsid w:val="004326DB"/>
  </w:style>
  <w:style w:type="paragraph" w:customStyle="1" w:styleId="Chaptitle">
    <w:name w:val="Chap_title"/>
    <w:basedOn w:val="Normal"/>
    <w:next w:val="Normalafter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uiPriority w:val="99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4326DB"/>
  </w:style>
  <w:style w:type="paragraph" w:customStyle="1" w:styleId="Artheading">
    <w:name w:val="Art_heading"/>
    <w:basedOn w:val="Normal"/>
    <w:next w:val="Normalaftertitle"/>
    <w:uiPriority w:val="99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rFonts w:cs="Times New Roman"/>
      <w:i/>
      <w:szCs w:val="20"/>
    </w:rPr>
  </w:style>
  <w:style w:type="paragraph" w:customStyle="1" w:styleId="ChapNo">
    <w:name w:val="Chap_No"/>
    <w:basedOn w:val="Normal"/>
    <w:next w:val="Chap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uiPriority w:val="99"/>
    <w:rsid w:val="004326DB"/>
  </w:style>
  <w:style w:type="paragraph" w:customStyle="1" w:styleId="Recref">
    <w:name w:val="Rec_ref"/>
    <w:basedOn w:val="Normal"/>
    <w:next w:val="Recdat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4326DB"/>
  </w:style>
  <w:style w:type="paragraph" w:customStyle="1" w:styleId="RepNo">
    <w:name w:val="Rep_No"/>
    <w:basedOn w:val="RecNo"/>
    <w:next w:val="Reptitle"/>
    <w:uiPriority w:val="99"/>
    <w:rsid w:val="004326DB"/>
  </w:style>
  <w:style w:type="paragraph" w:customStyle="1" w:styleId="Reptitle">
    <w:name w:val="Rep_title"/>
    <w:basedOn w:val="Rectitle"/>
    <w:next w:val="Repref"/>
    <w:uiPriority w:val="99"/>
    <w:rsid w:val="004326DB"/>
  </w:style>
  <w:style w:type="paragraph" w:customStyle="1" w:styleId="Repref">
    <w:name w:val="Rep_ref"/>
    <w:basedOn w:val="Recref"/>
    <w:next w:val="Repdate"/>
    <w:uiPriority w:val="99"/>
    <w:rsid w:val="004326DB"/>
  </w:style>
  <w:style w:type="paragraph" w:customStyle="1" w:styleId="Resdate">
    <w:name w:val="Res_date"/>
    <w:basedOn w:val="Recdate"/>
    <w:next w:val="Normalaftertitle"/>
    <w:uiPriority w:val="99"/>
    <w:rsid w:val="004326DB"/>
  </w:style>
  <w:style w:type="paragraph" w:customStyle="1" w:styleId="ResNo">
    <w:name w:val="Res_No"/>
    <w:basedOn w:val="RecNo"/>
    <w:next w:val="Restitle"/>
    <w:link w:val="ResNoChar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cs="Times New Roman"/>
      <w:b w:val="0"/>
      <w:caps/>
      <w:sz w:val="22"/>
      <w:szCs w:val="20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4326DB"/>
    <w:rPr>
      <w:rFonts w:cs="Times New Roman"/>
      <w:sz w:val="22"/>
      <w:szCs w:val="20"/>
    </w:rPr>
  </w:style>
  <w:style w:type="paragraph" w:customStyle="1" w:styleId="Resref">
    <w:name w:val="Res_ref"/>
    <w:basedOn w:val="Recref"/>
    <w:next w:val="Resdate"/>
    <w:uiPriority w:val="99"/>
    <w:rsid w:val="004326DB"/>
  </w:style>
  <w:style w:type="paragraph" w:customStyle="1" w:styleId="SectionNo">
    <w:name w:val="Section_No"/>
    <w:basedOn w:val="Normal"/>
    <w:next w:val="Sectiontitle"/>
    <w:uiPriority w:val="99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uiPriority w:val="99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326DB"/>
  </w:style>
  <w:style w:type="paragraph" w:customStyle="1" w:styleId="Title3">
    <w:name w:val="Title 3"/>
    <w:basedOn w:val="Title2"/>
    <w:next w:val="Title4"/>
    <w:uiPriority w:val="99"/>
    <w:rsid w:val="004326D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326DB"/>
    <w:rPr>
      <w:b/>
    </w:rPr>
  </w:style>
  <w:style w:type="paragraph" w:customStyle="1" w:styleId="Section1">
    <w:name w:val="Section_1"/>
    <w:basedOn w:val="Normal"/>
    <w:next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400C"/>
    <w:rPr>
      <w:rFonts w:cs="Times New Roman"/>
      <w:sz w:val="22"/>
      <w:szCs w:val="22"/>
      <w:lang w:eastAsia="en-US"/>
    </w:rPr>
  </w:style>
  <w:style w:type="character" w:customStyle="1" w:styleId="href">
    <w:name w:val="href"/>
    <w:basedOn w:val="DefaultParagraphFont"/>
    <w:uiPriority w:val="99"/>
    <w:rsid w:val="004326DB"/>
    <w:rPr>
      <w:rFonts w:cs="Times New Roman"/>
    </w:rPr>
  </w:style>
  <w:style w:type="paragraph" w:customStyle="1" w:styleId="NormalIndent">
    <w:name w:val="Normal_Indent"/>
    <w:basedOn w:val="Normal"/>
    <w:uiPriority w:val="99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uiPriority w:val="99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uiPriority w:val="99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uiPriority w:val="99"/>
    <w:locked/>
    <w:rsid w:val="00F11CCE"/>
    <w:rPr>
      <w:i/>
      <w:sz w:val="22"/>
      <w:lang w:val="en-US" w:eastAsia="en-US"/>
    </w:rPr>
  </w:style>
  <w:style w:type="character" w:customStyle="1" w:styleId="RestitleChar">
    <w:name w:val="Res_title Char"/>
    <w:link w:val="Restitle"/>
    <w:uiPriority w:val="99"/>
    <w:locked/>
    <w:rsid w:val="00F11CCE"/>
    <w:rPr>
      <w:b/>
      <w:sz w:val="22"/>
      <w:lang w:val="en-US" w:eastAsia="en-US"/>
    </w:rPr>
  </w:style>
  <w:style w:type="character" w:customStyle="1" w:styleId="ResNoChar">
    <w:name w:val="Res_No Char"/>
    <w:link w:val="ResNo"/>
    <w:uiPriority w:val="99"/>
    <w:locked/>
    <w:rsid w:val="00F11CCE"/>
    <w:rPr>
      <w:caps/>
      <w:sz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link w:val="enumlev1"/>
    <w:uiPriority w:val="99"/>
    <w:locked/>
    <w:rsid w:val="00F11CCE"/>
    <w:rPr>
      <w:sz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A2B7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20" w:line="240" w:lineRule="auto"/>
      <w:ind w:right="92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2B7A"/>
    <w:rPr>
      <w:rFonts w:ascii="Times New Roman" w:hAnsi="Times New Roman" w:cs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A2B7A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8B51CC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C708D7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  <w:jc w:val="left"/>
    </w:pPr>
    <w:rPr>
      <w:rFonts w:ascii="Arial" w:eastAsia="Batang" w:hAnsi="Arial" w:cs="Times New Roman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A821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CarCar2Char">
    <w:name w:val="Car Car2 Char"/>
    <w:basedOn w:val="Normal"/>
    <w:uiPriority w:val="99"/>
    <w:rsid w:val="00E66CE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</w:pPr>
    <w:rPr>
      <w:rFonts w:ascii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400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400C"/>
    <w:rPr>
      <w:rFonts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04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4326DB"/>
  </w:style>
  <w:style w:type="paragraph" w:styleId="TOC4">
    <w:name w:val="toc 4"/>
    <w:basedOn w:val="TOC3"/>
    <w:uiPriority w:val="99"/>
    <w:semiHidden/>
    <w:rsid w:val="004326DB"/>
  </w:style>
  <w:style w:type="paragraph" w:styleId="TOC3">
    <w:name w:val="toc 3"/>
    <w:basedOn w:val="TOC2"/>
    <w:uiPriority w:val="99"/>
    <w:semiHidden/>
    <w:rsid w:val="004326DB"/>
  </w:style>
  <w:style w:type="paragraph" w:styleId="TOC2">
    <w:name w:val="toc 2"/>
    <w:basedOn w:val="TOC1"/>
    <w:uiPriority w:val="9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99"/>
    <w:semiHidden/>
    <w:rsid w:val="004326DB"/>
  </w:style>
  <w:style w:type="paragraph" w:styleId="TOC6">
    <w:name w:val="toc 6"/>
    <w:basedOn w:val="TOC4"/>
    <w:uiPriority w:val="99"/>
    <w:semiHidden/>
    <w:rsid w:val="004326DB"/>
  </w:style>
  <w:style w:type="paragraph" w:styleId="TOC5">
    <w:name w:val="toc 5"/>
    <w:basedOn w:val="TOC4"/>
    <w:uiPriority w:val="99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21E9"/>
    <w:rPr>
      <w:rFonts w:cs="Times New Roman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54DF"/>
    <w:rPr>
      <w:rFonts w:cs="Times New Roman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1CCE"/>
    <w:rPr>
      <w:rFonts w:cs="Times New Roman"/>
      <w:sz w:val="22"/>
      <w:lang w:val="en-US" w:eastAsia="en-US"/>
    </w:rPr>
  </w:style>
  <w:style w:type="paragraph" w:customStyle="1" w:styleId="Note">
    <w:name w:val="Note"/>
    <w:basedOn w:val="Normal"/>
    <w:uiPriority w:val="99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  <w:rPr>
      <w:rFonts w:cs="Times New Roman"/>
      <w:szCs w:val="20"/>
    </w:r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uiPriority w:val="99"/>
    <w:rsid w:val="004326DB"/>
    <w:pPr>
      <w:ind w:left="1588"/>
    </w:pPr>
  </w:style>
  <w:style w:type="paragraph" w:customStyle="1" w:styleId="Equation">
    <w:name w:val="Equation"/>
    <w:basedOn w:val="Normal"/>
    <w:uiPriority w:val="99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uiPriority w:val="99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uiPriority w:val="99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  <w:szCs w:val="20"/>
      <w:lang w:val="fr-FR"/>
    </w:rPr>
  </w:style>
  <w:style w:type="paragraph" w:styleId="TOC9">
    <w:name w:val="toc 9"/>
    <w:basedOn w:val="TOC3"/>
    <w:uiPriority w:val="99"/>
    <w:semiHidden/>
    <w:rsid w:val="004326DB"/>
  </w:style>
  <w:style w:type="paragraph" w:customStyle="1" w:styleId="Chaptitle">
    <w:name w:val="Chap_title"/>
    <w:basedOn w:val="Normal"/>
    <w:next w:val="Normalafter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uiPriority w:val="99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4326DB"/>
  </w:style>
  <w:style w:type="paragraph" w:customStyle="1" w:styleId="Artheading">
    <w:name w:val="Art_heading"/>
    <w:basedOn w:val="Normal"/>
    <w:next w:val="Normalaftertitle"/>
    <w:uiPriority w:val="99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rFonts w:cs="Times New Roman"/>
      <w:i/>
      <w:szCs w:val="20"/>
    </w:rPr>
  </w:style>
  <w:style w:type="paragraph" w:customStyle="1" w:styleId="ChapNo">
    <w:name w:val="Chap_No"/>
    <w:basedOn w:val="Normal"/>
    <w:next w:val="Chap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uiPriority w:val="99"/>
    <w:rsid w:val="004326DB"/>
  </w:style>
  <w:style w:type="paragraph" w:customStyle="1" w:styleId="Recref">
    <w:name w:val="Rec_ref"/>
    <w:basedOn w:val="Normal"/>
    <w:next w:val="Recdat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4326DB"/>
  </w:style>
  <w:style w:type="paragraph" w:customStyle="1" w:styleId="RepNo">
    <w:name w:val="Rep_No"/>
    <w:basedOn w:val="RecNo"/>
    <w:next w:val="Reptitle"/>
    <w:uiPriority w:val="99"/>
    <w:rsid w:val="004326DB"/>
  </w:style>
  <w:style w:type="paragraph" w:customStyle="1" w:styleId="Reptitle">
    <w:name w:val="Rep_title"/>
    <w:basedOn w:val="Rectitle"/>
    <w:next w:val="Repref"/>
    <w:uiPriority w:val="99"/>
    <w:rsid w:val="004326DB"/>
  </w:style>
  <w:style w:type="paragraph" w:customStyle="1" w:styleId="Repref">
    <w:name w:val="Rep_ref"/>
    <w:basedOn w:val="Recref"/>
    <w:next w:val="Repdate"/>
    <w:uiPriority w:val="99"/>
    <w:rsid w:val="004326DB"/>
  </w:style>
  <w:style w:type="paragraph" w:customStyle="1" w:styleId="Resdate">
    <w:name w:val="Res_date"/>
    <w:basedOn w:val="Recdate"/>
    <w:next w:val="Normalaftertitle"/>
    <w:uiPriority w:val="99"/>
    <w:rsid w:val="004326DB"/>
  </w:style>
  <w:style w:type="paragraph" w:customStyle="1" w:styleId="ResNo">
    <w:name w:val="Res_No"/>
    <w:basedOn w:val="RecNo"/>
    <w:next w:val="Restitle"/>
    <w:link w:val="ResNoChar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cs="Times New Roman"/>
      <w:b w:val="0"/>
      <w:caps/>
      <w:sz w:val="22"/>
      <w:szCs w:val="20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4326DB"/>
    <w:rPr>
      <w:rFonts w:cs="Times New Roman"/>
      <w:sz w:val="22"/>
      <w:szCs w:val="20"/>
    </w:rPr>
  </w:style>
  <w:style w:type="paragraph" w:customStyle="1" w:styleId="Resref">
    <w:name w:val="Res_ref"/>
    <w:basedOn w:val="Recref"/>
    <w:next w:val="Resdate"/>
    <w:uiPriority w:val="99"/>
    <w:rsid w:val="004326DB"/>
  </w:style>
  <w:style w:type="paragraph" w:customStyle="1" w:styleId="SectionNo">
    <w:name w:val="Section_No"/>
    <w:basedOn w:val="Normal"/>
    <w:next w:val="Sectiontitle"/>
    <w:uiPriority w:val="99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uiPriority w:val="99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326DB"/>
  </w:style>
  <w:style w:type="paragraph" w:customStyle="1" w:styleId="Title3">
    <w:name w:val="Title 3"/>
    <w:basedOn w:val="Title2"/>
    <w:next w:val="Title4"/>
    <w:uiPriority w:val="99"/>
    <w:rsid w:val="004326D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326DB"/>
    <w:rPr>
      <w:b/>
    </w:rPr>
  </w:style>
  <w:style w:type="paragraph" w:customStyle="1" w:styleId="Section1">
    <w:name w:val="Section_1"/>
    <w:basedOn w:val="Normal"/>
    <w:next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400C"/>
    <w:rPr>
      <w:rFonts w:cs="Times New Roman"/>
      <w:sz w:val="22"/>
      <w:szCs w:val="22"/>
      <w:lang w:eastAsia="en-US"/>
    </w:rPr>
  </w:style>
  <w:style w:type="character" w:customStyle="1" w:styleId="href">
    <w:name w:val="href"/>
    <w:basedOn w:val="DefaultParagraphFont"/>
    <w:uiPriority w:val="99"/>
    <w:rsid w:val="004326DB"/>
    <w:rPr>
      <w:rFonts w:cs="Times New Roman"/>
    </w:rPr>
  </w:style>
  <w:style w:type="paragraph" w:customStyle="1" w:styleId="NormalIndent">
    <w:name w:val="Normal_Indent"/>
    <w:basedOn w:val="Normal"/>
    <w:uiPriority w:val="99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uiPriority w:val="99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uiPriority w:val="99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uiPriority w:val="99"/>
    <w:locked/>
    <w:rsid w:val="00F11CCE"/>
    <w:rPr>
      <w:i/>
      <w:sz w:val="22"/>
      <w:lang w:val="en-US" w:eastAsia="en-US"/>
    </w:rPr>
  </w:style>
  <w:style w:type="character" w:customStyle="1" w:styleId="RestitleChar">
    <w:name w:val="Res_title Char"/>
    <w:link w:val="Restitle"/>
    <w:uiPriority w:val="99"/>
    <w:locked/>
    <w:rsid w:val="00F11CCE"/>
    <w:rPr>
      <w:b/>
      <w:sz w:val="22"/>
      <w:lang w:val="en-US" w:eastAsia="en-US"/>
    </w:rPr>
  </w:style>
  <w:style w:type="character" w:customStyle="1" w:styleId="ResNoChar">
    <w:name w:val="Res_No Char"/>
    <w:link w:val="ResNo"/>
    <w:uiPriority w:val="99"/>
    <w:locked/>
    <w:rsid w:val="00F11CCE"/>
    <w:rPr>
      <w:caps/>
      <w:sz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link w:val="enumlev1"/>
    <w:uiPriority w:val="99"/>
    <w:locked/>
    <w:rsid w:val="00F11CCE"/>
    <w:rPr>
      <w:sz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A2B7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20" w:line="240" w:lineRule="auto"/>
      <w:ind w:right="92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2B7A"/>
    <w:rPr>
      <w:rFonts w:ascii="Times New Roman" w:hAnsi="Times New Roman" w:cs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A2B7A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8B51CC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C708D7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  <w:jc w:val="left"/>
    </w:pPr>
    <w:rPr>
      <w:rFonts w:ascii="Arial" w:eastAsia="Batang" w:hAnsi="Arial" w:cs="Times New Roman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A821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CarCar2Char">
    <w:name w:val="Car Car2 Char"/>
    <w:basedOn w:val="Normal"/>
    <w:uiPriority w:val="99"/>
    <w:rsid w:val="00E66CE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</w:pPr>
    <w:rPr>
      <w:rFonts w:ascii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400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400C"/>
    <w:rPr>
      <w:rFonts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0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wcit-12/Pages/default.aspx" TargetMode="External"/><Relationship Id="rId18" Type="http://schemas.openxmlformats.org/officeDocument/2006/relationships/hyperlink" Target="mailto:vsabas@cnc.gov.a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itu.int/en/ITU-T/wtsa-12/pages/default.aspx" TargetMode="External"/><Relationship Id="rId17" Type="http://schemas.openxmlformats.org/officeDocument/2006/relationships/hyperlink" Target="mailto:lintelesano@cnc.gov.ar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reg/wcit/3000363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wtsa-12/prepmeet/Pages/americas.aspx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bdtfellowships@itu.int" TargetMode="External"/><Relationship Id="rId23" Type="http://schemas.openxmlformats.org/officeDocument/2006/relationships/hyperlink" Target="http://itu.int/en/ITU-T/wtsa-12/prepmeet/Pages/rcc.aspx" TargetMode="External"/><Relationship Id="rId28" Type="http://schemas.openxmlformats.org/officeDocument/2006/relationships/footer" Target="footer2.xml"/><Relationship Id="rId10" Type="http://schemas.openxmlformats.org/officeDocument/2006/relationships/hyperlink" Target="mailto:hector.huerta@itu.int" TargetMode="External"/><Relationship Id="rId19" Type="http://schemas.openxmlformats.org/officeDocument/2006/relationships/hyperlink" Target="mailto:lintelesano@cnc.gov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sbpromo@itu.int" TargetMode="External"/><Relationship Id="rId14" Type="http://schemas.openxmlformats.org/officeDocument/2006/relationships/hyperlink" Target="http://itu.int/en/ITU-T/wtsa-12/prepmeet/Pages/americas.aspx" TargetMode="External"/><Relationship Id="rId22" Type="http://schemas.openxmlformats.org/officeDocument/2006/relationships/hyperlink" Target="mailto:bdtfellowships@itu.in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ard\application%20data\microsoft\templates\itu\letter-fax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59E4-ADFD-4E2A-8DD3-CABF366A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brouard</dc:creator>
  <cp:lastModifiedBy>jonesl</cp:lastModifiedBy>
  <cp:revision>4</cp:revision>
  <cp:lastPrinted>2012-02-20T15:46:00Z</cp:lastPrinted>
  <dcterms:created xsi:type="dcterms:W3CDTF">2012-03-02T10:54:00Z</dcterms:created>
  <dcterms:modified xsi:type="dcterms:W3CDTF">2012-03-05T08:23:00Z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