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D1C0D" w:rsidRPr="007E5042" w:rsidTr="006B4D59">
        <w:trPr>
          <w:cantSplit/>
        </w:trPr>
        <w:tc>
          <w:tcPr>
            <w:tcW w:w="4857" w:type="dxa"/>
            <w:gridSpan w:val="2"/>
          </w:tcPr>
          <w:p w:rsidR="007D1C0D" w:rsidRPr="007E5042" w:rsidRDefault="007D1C0D" w:rsidP="006B4D59">
            <w:pPr>
              <w:rPr>
                <w:rFonts w:asciiTheme="majorBidi" w:hAnsiTheme="majorBidi" w:cstheme="majorBidi"/>
                <w:b/>
                <w:bCs/>
                <w:sz w:val="26"/>
              </w:rPr>
            </w:pPr>
            <w:bookmarkStart w:id="0" w:name="InsertLogo"/>
            <w:bookmarkEnd w:id="0"/>
            <w:r w:rsidRPr="007E5042">
              <w:rPr>
                <w:rFonts w:asciiTheme="majorBidi" w:hAnsiTheme="majorBidi" w:cstheme="majorBidi"/>
                <w:sz w:val="20"/>
              </w:rPr>
              <w:t>INTERNATIONAL TELECOMMUNICATION UNION</w:t>
            </w:r>
            <w:r w:rsidRPr="007E5042">
              <w:rPr>
                <w:rFonts w:asciiTheme="majorBidi" w:hAnsiTheme="majorBidi" w:cstheme="majorBidi"/>
                <w:sz w:val="20"/>
              </w:rPr>
              <w:br/>
            </w:r>
            <w:r w:rsidRPr="007E5042">
              <w:rPr>
                <w:rFonts w:asciiTheme="majorBidi" w:hAnsiTheme="majorBidi" w:cstheme="majorBidi"/>
                <w:b/>
                <w:bCs/>
                <w:sz w:val="26"/>
              </w:rPr>
              <w:t>TELECOMMUNICATION</w:t>
            </w:r>
            <w:r w:rsidRPr="007E5042">
              <w:rPr>
                <w:rFonts w:asciiTheme="majorBidi" w:hAnsiTheme="majorBidi" w:cstheme="majorBidi"/>
                <w:b/>
                <w:bCs/>
                <w:sz w:val="26"/>
              </w:rPr>
              <w:br/>
              <w:t>STANDARDIZATION SECTOR</w:t>
            </w:r>
          </w:p>
          <w:p w:rsidR="007D1C0D" w:rsidRPr="007E5042" w:rsidRDefault="007D1C0D" w:rsidP="006B4D59">
            <w:pPr>
              <w:rPr>
                <w:rFonts w:asciiTheme="majorBidi" w:hAnsiTheme="majorBidi" w:cstheme="majorBidi"/>
                <w:sz w:val="20"/>
              </w:rPr>
            </w:pPr>
            <w:r w:rsidRPr="007E5042">
              <w:rPr>
                <w:rFonts w:asciiTheme="majorBidi" w:hAnsiTheme="majorBidi" w:cstheme="majorBidi"/>
                <w:sz w:val="20"/>
              </w:rPr>
              <w:t>STUDY PERIOD 2009-2012</w:t>
            </w:r>
          </w:p>
        </w:tc>
        <w:tc>
          <w:tcPr>
            <w:tcW w:w="5066" w:type="dxa"/>
          </w:tcPr>
          <w:p w:rsidR="007D1C0D" w:rsidRPr="007E5042" w:rsidRDefault="007D1C0D" w:rsidP="006B4D59">
            <w:pPr>
              <w:jc w:val="right"/>
              <w:rPr>
                <w:rFonts w:asciiTheme="majorBidi" w:hAnsiTheme="majorBidi" w:cstheme="majorBidi"/>
                <w:b/>
                <w:bCs/>
                <w:smallCaps/>
                <w:sz w:val="32"/>
              </w:rPr>
            </w:pPr>
            <w:r w:rsidRPr="007E5042">
              <w:rPr>
                <w:rFonts w:asciiTheme="majorBidi" w:hAnsiTheme="majorBidi" w:cstheme="majorBidi"/>
                <w:b/>
                <w:bCs/>
                <w:smallCaps/>
                <w:sz w:val="32"/>
              </w:rPr>
              <w:t xml:space="preserve">Joint Coordination Activity on Accessibility </w:t>
            </w:r>
            <w:smartTag w:uri="urn:schemas-microsoft-com:office:smarttags" w:element="stockticker">
              <w:r w:rsidRPr="007E5042">
                <w:rPr>
                  <w:rFonts w:asciiTheme="majorBidi" w:hAnsiTheme="majorBidi" w:cstheme="majorBidi"/>
                  <w:b/>
                  <w:bCs/>
                  <w:smallCaps/>
                  <w:sz w:val="32"/>
                </w:rPr>
                <w:t>and</w:t>
              </w:r>
            </w:smartTag>
            <w:r w:rsidRPr="007E5042">
              <w:rPr>
                <w:rFonts w:asciiTheme="majorBidi" w:hAnsiTheme="majorBidi" w:cstheme="majorBidi"/>
                <w:b/>
                <w:bCs/>
                <w:smallCaps/>
                <w:sz w:val="32"/>
              </w:rPr>
              <w:t xml:space="preserve"> human Factors (JCA-AHF)</w:t>
            </w:r>
          </w:p>
        </w:tc>
      </w:tr>
      <w:tr w:rsidR="007D1C0D" w:rsidRPr="007E5042" w:rsidTr="006B4D59">
        <w:trPr>
          <w:cantSplit/>
          <w:trHeight w:val="461"/>
        </w:trPr>
        <w:tc>
          <w:tcPr>
            <w:tcW w:w="4857" w:type="dxa"/>
            <w:gridSpan w:val="2"/>
            <w:vMerge w:val="restart"/>
            <w:tcBorders>
              <w:bottom w:val="nil"/>
            </w:tcBorders>
          </w:tcPr>
          <w:p w:rsidR="007D1C0D" w:rsidRPr="007E5042" w:rsidRDefault="007D1C0D" w:rsidP="006B4D59">
            <w:pPr>
              <w:rPr>
                <w:rFonts w:asciiTheme="majorBidi" w:hAnsiTheme="majorBidi" w:cstheme="majorBidi"/>
                <w:smallCaps/>
                <w:sz w:val="20"/>
              </w:rPr>
            </w:pPr>
          </w:p>
        </w:tc>
        <w:tc>
          <w:tcPr>
            <w:tcW w:w="5066" w:type="dxa"/>
            <w:tcBorders>
              <w:bottom w:val="nil"/>
            </w:tcBorders>
          </w:tcPr>
          <w:p w:rsidR="007D1C0D" w:rsidRPr="007E5042" w:rsidRDefault="007D1C0D" w:rsidP="007E5042">
            <w:pPr>
              <w:jc w:val="right"/>
              <w:rPr>
                <w:rFonts w:asciiTheme="majorBidi" w:hAnsiTheme="majorBidi" w:cstheme="majorBidi"/>
                <w:b/>
                <w:bCs/>
                <w:sz w:val="40"/>
              </w:rPr>
            </w:pPr>
            <w:r w:rsidRPr="007E5042">
              <w:rPr>
                <w:rFonts w:asciiTheme="majorBidi" w:hAnsiTheme="majorBidi" w:cstheme="majorBidi"/>
                <w:b/>
                <w:bCs/>
                <w:sz w:val="40"/>
              </w:rPr>
              <w:t>Doc. 1</w:t>
            </w:r>
            <w:r w:rsidR="009230EE" w:rsidRPr="007E5042">
              <w:rPr>
                <w:rFonts w:asciiTheme="majorBidi" w:hAnsiTheme="majorBidi" w:cstheme="majorBidi"/>
                <w:b/>
                <w:bCs/>
                <w:sz w:val="40"/>
              </w:rPr>
              <w:t>9</w:t>
            </w:r>
            <w:r w:rsidR="007E5042">
              <w:rPr>
                <w:rFonts w:asciiTheme="majorBidi" w:hAnsiTheme="majorBidi" w:cstheme="majorBidi"/>
                <w:b/>
                <w:bCs/>
                <w:sz w:val="40"/>
              </w:rPr>
              <w:t>1</w:t>
            </w:r>
            <w:bookmarkStart w:id="1" w:name="_GoBack"/>
            <w:bookmarkEnd w:id="1"/>
          </w:p>
        </w:tc>
      </w:tr>
      <w:tr w:rsidR="007D1C0D" w:rsidRPr="007E5042" w:rsidTr="006B4D59">
        <w:trPr>
          <w:cantSplit/>
          <w:trHeight w:val="355"/>
        </w:trPr>
        <w:tc>
          <w:tcPr>
            <w:tcW w:w="4857" w:type="dxa"/>
            <w:gridSpan w:val="2"/>
            <w:vMerge/>
            <w:tcBorders>
              <w:bottom w:val="single" w:sz="12" w:space="0" w:color="auto"/>
            </w:tcBorders>
          </w:tcPr>
          <w:p w:rsidR="007D1C0D" w:rsidRPr="007E5042" w:rsidRDefault="007D1C0D" w:rsidP="006B4D59">
            <w:pPr>
              <w:rPr>
                <w:rFonts w:asciiTheme="majorBidi" w:hAnsiTheme="majorBidi" w:cstheme="majorBidi"/>
                <w:b/>
                <w:bCs/>
                <w:sz w:val="26"/>
              </w:rPr>
            </w:pPr>
          </w:p>
        </w:tc>
        <w:tc>
          <w:tcPr>
            <w:tcW w:w="5066" w:type="dxa"/>
            <w:tcBorders>
              <w:bottom w:val="single" w:sz="12" w:space="0" w:color="auto"/>
            </w:tcBorders>
          </w:tcPr>
          <w:p w:rsidR="007D1C0D" w:rsidRPr="007E5042" w:rsidRDefault="007D1C0D" w:rsidP="006B4D59">
            <w:pPr>
              <w:jc w:val="right"/>
              <w:rPr>
                <w:rFonts w:asciiTheme="majorBidi" w:hAnsiTheme="majorBidi" w:cstheme="majorBidi"/>
                <w:b/>
                <w:bCs/>
                <w:sz w:val="28"/>
              </w:rPr>
            </w:pPr>
            <w:r w:rsidRPr="007E5042">
              <w:rPr>
                <w:rFonts w:asciiTheme="majorBidi" w:hAnsiTheme="majorBidi" w:cstheme="majorBidi"/>
                <w:b/>
                <w:bCs/>
                <w:sz w:val="28"/>
              </w:rPr>
              <w:t>English only</w:t>
            </w:r>
          </w:p>
          <w:p w:rsidR="007D1C0D" w:rsidRPr="007E5042" w:rsidRDefault="007D1C0D" w:rsidP="006B4D59">
            <w:pPr>
              <w:jc w:val="right"/>
              <w:rPr>
                <w:rFonts w:asciiTheme="majorBidi" w:hAnsiTheme="majorBidi" w:cstheme="majorBidi"/>
                <w:b/>
                <w:bCs/>
                <w:sz w:val="28"/>
              </w:rPr>
            </w:pPr>
            <w:r w:rsidRPr="007E5042">
              <w:rPr>
                <w:rFonts w:asciiTheme="majorBidi" w:hAnsiTheme="majorBidi" w:cstheme="majorBidi"/>
                <w:b/>
                <w:bCs/>
                <w:sz w:val="28"/>
              </w:rPr>
              <w:t>Original: English</w:t>
            </w:r>
          </w:p>
        </w:tc>
      </w:tr>
      <w:tr w:rsidR="007D1C0D" w:rsidRPr="007E5042" w:rsidTr="006B4D59">
        <w:trPr>
          <w:cantSplit/>
          <w:trHeight w:val="357"/>
        </w:trPr>
        <w:tc>
          <w:tcPr>
            <w:tcW w:w="1617" w:type="dxa"/>
          </w:tcPr>
          <w:p w:rsidR="007D1C0D" w:rsidRPr="007E5042" w:rsidRDefault="007D1C0D" w:rsidP="006B4D59">
            <w:pPr>
              <w:rPr>
                <w:rFonts w:asciiTheme="majorBidi" w:hAnsiTheme="majorBidi" w:cstheme="majorBidi"/>
                <w:b/>
                <w:bCs/>
                <w:sz w:val="24"/>
                <w:szCs w:val="24"/>
              </w:rPr>
            </w:pPr>
            <w:r w:rsidRPr="007E5042">
              <w:rPr>
                <w:rFonts w:asciiTheme="majorBidi" w:hAnsiTheme="majorBidi" w:cstheme="majorBidi"/>
                <w:b/>
                <w:bCs/>
                <w:sz w:val="24"/>
                <w:szCs w:val="24"/>
              </w:rPr>
              <w:t>Source:</w:t>
            </w:r>
          </w:p>
        </w:tc>
        <w:tc>
          <w:tcPr>
            <w:tcW w:w="8306" w:type="dxa"/>
            <w:gridSpan w:val="2"/>
          </w:tcPr>
          <w:p w:rsidR="007D1C0D" w:rsidRPr="007E5042" w:rsidRDefault="009230EE" w:rsidP="006B4D59">
            <w:pPr>
              <w:rPr>
                <w:rFonts w:asciiTheme="majorBidi" w:hAnsiTheme="majorBidi" w:cstheme="majorBidi"/>
                <w:sz w:val="24"/>
                <w:szCs w:val="24"/>
              </w:rPr>
            </w:pPr>
            <w:r w:rsidRPr="007E5042">
              <w:rPr>
                <w:rFonts w:asciiTheme="majorBidi" w:hAnsiTheme="majorBidi" w:cstheme="majorBidi"/>
                <w:sz w:val="24"/>
                <w:szCs w:val="24"/>
              </w:rPr>
              <w:t>JCA-AHF Convener</w:t>
            </w:r>
          </w:p>
        </w:tc>
      </w:tr>
      <w:tr w:rsidR="007D1C0D" w:rsidRPr="007E5042" w:rsidTr="006B4D59">
        <w:trPr>
          <w:cantSplit/>
          <w:trHeight w:val="357"/>
        </w:trPr>
        <w:tc>
          <w:tcPr>
            <w:tcW w:w="1617" w:type="dxa"/>
            <w:tcBorders>
              <w:bottom w:val="single" w:sz="12" w:space="0" w:color="auto"/>
            </w:tcBorders>
          </w:tcPr>
          <w:p w:rsidR="007D1C0D" w:rsidRPr="007E5042" w:rsidRDefault="007D1C0D" w:rsidP="006B4D59">
            <w:pPr>
              <w:spacing w:after="120"/>
              <w:rPr>
                <w:rFonts w:asciiTheme="majorBidi" w:hAnsiTheme="majorBidi" w:cstheme="majorBidi"/>
                <w:sz w:val="24"/>
                <w:szCs w:val="24"/>
              </w:rPr>
            </w:pPr>
            <w:r w:rsidRPr="007E5042">
              <w:rPr>
                <w:rFonts w:asciiTheme="majorBidi" w:hAnsiTheme="majorBidi" w:cstheme="majorBidi"/>
                <w:b/>
                <w:bCs/>
                <w:sz w:val="24"/>
                <w:szCs w:val="24"/>
              </w:rPr>
              <w:t>Title:</w:t>
            </w:r>
          </w:p>
        </w:tc>
        <w:tc>
          <w:tcPr>
            <w:tcW w:w="8306" w:type="dxa"/>
            <w:gridSpan w:val="2"/>
            <w:tcBorders>
              <w:bottom w:val="single" w:sz="12" w:space="0" w:color="auto"/>
            </w:tcBorders>
          </w:tcPr>
          <w:p w:rsidR="007D1C0D" w:rsidRPr="007E5042" w:rsidRDefault="004564AD" w:rsidP="004564AD">
            <w:pPr>
              <w:pStyle w:val="PlainText"/>
              <w:rPr>
                <w:rFonts w:asciiTheme="majorBidi" w:hAnsiTheme="majorBidi" w:cstheme="majorBidi"/>
              </w:rPr>
            </w:pPr>
            <w:r w:rsidRPr="007E5042">
              <w:rPr>
                <w:rFonts w:asciiTheme="majorBidi" w:hAnsiTheme="majorBidi" w:cstheme="majorBidi"/>
              </w:rPr>
              <w:t>World's First Virtual Master's in Disability Policy -</w:t>
            </w:r>
            <w:r w:rsidRPr="007E5042">
              <w:rPr>
                <w:rFonts w:asciiTheme="majorBidi" w:hAnsiTheme="majorBidi" w:cstheme="majorBidi"/>
              </w:rPr>
              <w:t xml:space="preserve"> </w:t>
            </w:r>
            <w:r w:rsidRPr="007E5042">
              <w:rPr>
                <w:rFonts w:asciiTheme="majorBidi" w:hAnsiTheme="majorBidi" w:cstheme="majorBidi"/>
              </w:rPr>
              <w:t>Fellowships Available</w:t>
            </w:r>
          </w:p>
        </w:tc>
      </w:tr>
    </w:tbl>
    <w:p w:rsidR="007D1C0D" w:rsidRPr="007E5042" w:rsidRDefault="007D1C0D" w:rsidP="007D1C0D">
      <w:pPr>
        <w:rPr>
          <w:rFonts w:asciiTheme="majorBidi" w:hAnsiTheme="majorBidi" w:cstheme="majorBidi"/>
        </w:rPr>
      </w:pPr>
    </w:p>
    <w:p w:rsidR="004564AD" w:rsidRPr="007E5042" w:rsidRDefault="004564AD" w:rsidP="004564AD">
      <w:pPr>
        <w:pStyle w:val="PlainText"/>
        <w:rPr>
          <w:rFonts w:asciiTheme="majorBidi" w:eastAsia="Times New Roman" w:hAnsiTheme="majorBidi" w:cstheme="majorBidi"/>
        </w:rPr>
      </w:pPr>
      <w:r w:rsidRPr="007E5042">
        <w:rPr>
          <w:rFonts w:asciiTheme="majorBidi" w:eastAsia="Times New Roman" w:hAnsiTheme="majorBidi" w:cstheme="majorBidi"/>
        </w:rPr>
        <w:t>This information was brought up to the attention of the JCA-AHF Convener:</w:t>
      </w:r>
    </w:p>
    <w:p w:rsidR="009230EE" w:rsidRPr="007E5042" w:rsidRDefault="004564AD" w:rsidP="004564AD">
      <w:pPr>
        <w:pStyle w:val="PlainText"/>
        <w:rPr>
          <w:rFonts w:asciiTheme="majorBidi" w:eastAsia="Times New Roman" w:hAnsiTheme="majorBidi" w:cstheme="majorBidi"/>
        </w:rPr>
      </w:pPr>
      <w:r w:rsidRPr="007E5042">
        <w:rPr>
          <w:rFonts w:asciiTheme="majorBidi" w:eastAsia="Times New Roman" w:hAnsiTheme="majorBidi" w:cstheme="majorBidi"/>
        </w:rPr>
        <w:t>World's First Virtual Master's in Disability Policy - Fellowships Available: American University proposing fellowships for students with disabilities</w:t>
      </w:r>
    </w:p>
    <w:p w:rsidR="004564AD" w:rsidRPr="007E5042" w:rsidRDefault="004564AD" w:rsidP="004564AD">
      <w:pPr>
        <w:pStyle w:val="PlainText"/>
        <w:rPr>
          <w:rFonts w:asciiTheme="majorBidi" w:eastAsia="Times New Roman" w:hAnsiTheme="majorBidi" w:cstheme="majorBidi"/>
        </w:rPr>
      </w:pPr>
    </w:p>
    <w:p w:rsidR="004564AD" w:rsidRPr="007E5042" w:rsidRDefault="004564AD" w:rsidP="004564AD">
      <w:pPr>
        <w:pStyle w:val="PlainText"/>
        <w:rPr>
          <w:rFonts w:asciiTheme="majorBidi" w:hAnsiTheme="majorBidi" w:cstheme="majorBidi"/>
        </w:rPr>
      </w:pPr>
      <w:r w:rsidRPr="007E5042">
        <w:rPr>
          <w:rFonts w:asciiTheme="majorBidi" w:hAnsiTheme="majorBidi" w:cstheme="majorBidi"/>
        </w:rPr>
        <w:t>The Institute on Disability and Public Policy (IDPP) is currently</w:t>
      </w:r>
      <w:r w:rsidRPr="007E5042">
        <w:rPr>
          <w:rFonts w:asciiTheme="majorBidi" w:hAnsiTheme="majorBidi" w:cstheme="majorBidi"/>
        </w:rPr>
        <w:t xml:space="preserve"> </w:t>
      </w:r>
      <w:r w:rsidRPr="007E5042">
        <w:rPr>
          <w:rFonts w:asciiTheme="majorBidi" w:hAnsiTheme="majorBidi" w:cstheme="majorBidi"/>
        </w:rPr>
        <w:t>accepting applications for the world's first virtual Master's degree in</w:t>
      </w:r>
      <w:r w:rsidRPr="007E5042">
        <w:rPr>
          <w:rFonts w:asciiTheme="majorBidi" w:hAnsiTheme="majorBidi" w:cstheme="majorBidi"/>
        </w:rPr>
        <w:t xml:space="preserve"> </w:t>
      </w:r>
      <w:r w:rsidRPr="007E5042">
        <w:rPr>
          <w:rFonts w:asciiTheme="majorBidi" w:hAnsiTheme="majorBidi" w:cstheme="majorBidi"/>
        </w:rPr>
        <w:t>disability studies and public policy. The Master's in Comparative and</w:t>
      </w:r>
      <w:r w:rsidRPr="007E5042">
        <w:rPr>
          <w:rFonts w:asciiTheme="majorBidi" w:hAnsiTheme="majorBidi" w:cstheme="majorBidi"/>
        </w:rPr>
        <w:t xml:space="preserve"> </w:t>
      </w:r>
      <w:r w:rsidRPr="007E5042">
        <w:rPr>
          <w:rFonts w:asciiTheme="majorBidi" w:hAnsiTheme="majorBidi" w:cstheme="majorBidi"/>
        </w:rPr>
        <w:t>International Disability Policy, offered by the School of International</w:t>
      </w:r>
      <w:r w:rsidRPr="007E5042">
        <w:rPr>
          <w:rFonts w:asciiTheme="majorBidi" w:hAnsiTheme="majorBidi" w:cstheme="majorBidi"/>
        </w:rPr>
        <w:t xml:space="preserve"> </w:t>
      </w:r>
      <w:r w:rsidRPr="007E5042">
        <w:rPr>
          <w:rFonts w:asciiTheme="majorBidi" w:hAnsiTheme="majorBidi" w:cstheme="majorBidi"/>
        </w:rPr>
        <w:t>Service at American University, is the centerpiece program of the IDPP.</w:t>
      </w:r>
      <w:r w:rsidRPr="007E5042">
        <w:rPr>
          <w:rFonts w:asciiTheme="majorBidi" w:hAnsiTheme="majorBidi" w:cstheme="majorBidi"/>
        </w:rPr>
        <w:t xml:space="preserve"> </w:t>
      </w:r>
      <w:r w:rsidRPr="007E5042">
        <w:rPr>
          <w:rFonts w:asciiTheme="majorBidi" w:hAnsiTheme="majorBidi" w:cstheme="majorBidi"/>
        </w:rPr>
        <w:t>Fifteen full fellowships will be awarded by The Nippon Foundation, with</w:t>
      </w:r>
    </w:p>
    <w:p w:rsidR="004564AD" w:rsidRPr="007E5042" w:rsidRDefault="004564AD" w:rsidP="004564AD">
      <w:pPr>
        <w:pStyle w:val="PlainText"/>
        <w:rPr>
          <w:rFonts w:asciiTheme="majorBidi" w:hAnsiTheme="majorBidi" w:cstheme="majorBidi"/>
        </w:rPr>
      </w:pPr>
      <w:proofErr w:type="gramStart"/>
      <w:r w:rsidRPr="007E5042">
        <w:rPr>
          <w:rFonts w:asciiTheme="majorBidi" w:hAnsiTheme="majorBidi" w:cstheme="majorBidi"/>
        </w:rPr>
        <w:t>preference</w:t>
      </w:r>
      <w:proofErr w:type="gramEnd"/>
      <w:r w:rsidRPr="007E5042">
        <w:rPr>
          <w:rFonts w:asciiTheme="majorBidi" w:hAnsiTheme="majorBidi" w:cstheme="majorBidi"/>
        </w:rPr>
        <w:t xml:space="preserve"> given to students from the ASEAN region who are blind, deaf,</w:t>
      </w:r>
      <w:r w:rsidRPr="007E5042">
        <w:rPr>
          <w:rFonts w:asciiTheme="majorBidi" w:hAnsiTheme="majorBidi" w:cstheme="majorBidi"/>
        </w:rPr>
        <w:t xml:space="preserve"> </w:t>
      </w:r>
      <w:r w:rsidRPr="007E5042">
        <w:rPr>
          <w:rFonts w:asciiTheme="majorBidi" w:hAnsiTheme="majorBidi" w:cstheme="majorBidi"/>
        </w:rPr>
        <w:t>and/or mobility impaired. Applications are accepted on a rolling basis.</w:t>
      </w:r>
      <w:r w:rsidRPr="007E5042">
        <w:rPr>
          <w:rFonts w:asciiTheme="majorBidi" w:hAnsiTheme="majorBidi" w:cstheme="majorBidi"/>
        </w:rPr>
        <w:t xml:space="preserve"> </w:t>
      </w:r>
      <w:r w:rsidRPr="007E5042">
        <w:rPr>
          <w:rFonts w:asciiTheme="majorBidi" w:hAnsiTheme="majorBidi" w:cstheme="majorBidi"/>
        </w:rPr>
        <w:t>Applications will accepted and evaluated until the</w:t>
      </w:r>
    </w:p>
    <w:p w:rsidR="004564AD" w:rsidRPr="007E5042" w:rsidRDefault="004564AD" w:rsidP="004564AD">
      <w:pPr>
        <w:pStyle w:val="PlainText"/>
        <w:rPr>
          <w:rFonts w:asciiTheme="majorBidi" w:hAnsiTheme="majorBidi" w:cstheme="majorBidi"/>
        </w:rPr>
      </w:pPr>
      <w:r w:rsidRPr="007E5042">
        <w:rPr>
          <w:rFonts w:asciiTheme="majorBidi" w:hAnsiTheme="majorBidi" w:cstheme="majorBidi"/>
        </w:rPr>
        <w:t>2012 cohort has been filled.</w:t>
      </w:r>
    </w:p>
    <w:p w:rsidR="004564AD" w:rsidRPr="007E5042" w:rsidRDefault="004564AD" w:rsidP="004564AD">
      <w:pPr>
        <w:pStyle w:val="PlainText"/>
        <w:rPr>
          <w:rFonts w:asciiTheme="majorBidi" w:hAnsiTheme="majorBidi" w:cstheme="majorBidi"/>
        </w:rPr>
      </w:pPr>
    </w:p>
    <w:p w:rsidR="004564AD" w:rsidRPr="007E5042" w:rsidRDefault="004564AD" w:rsidP="004564AD">
      <w:pPr>
        <w:pStyle w:val="PlainText"/>
        <w:jc w:val="center"/>
        <w:rPr>
          <w:rFonts w:asciiTheme="majorBidi" w:hAnsiTheme="majorBidi" w:cstheme="majorBidi"/>
        </w:rPr>
      </w:pPr>
      <w:r w:rsidRPr="007E5042">
        <w:rPr>
          <w:rFonts w:asciiTheme="majorBidi" w:hAnsiTheme="majorBidi" w:cstheme="majorBidi"/>
        </w:rPr>
        <w:t>_________________</w:t>
      </w:r>
    </w:p>
    <w:p w:rsidR="004564AD" w:rsidRPr="007E5042" w:rsidRDefault="004564AD" w:rsidP="004564AD">
      <w:pPr>
        <w:pStyle w:val="PlainText"/>
        <w:rPr>
          <w:rFonts w:asciiTheme="majorBidi" w:hAnsiTheme="majorBidi" w:cstheme="majorBidi"/>
        </w:rPr>
      </w:pPr>
    </w:p>
    <w:p w:rsidR="004564AD" w:rsidRPr="007E5042" w:rsidRDefault="004564AD" w:rsidP="004564AD">
      <w:pPr>
        <w:jc w:val="center"/>
        <w:rPr>
          <w:rFonts w:asciiTheme="majorBidi" w:hAnsiTheme="majorBidi" w:cstheme="majorBidi"/>
          <w:b/>
          <w:bCs/>
          <w:color w:val="000000"/>
          <w:sz w:val="23"/>
          <w:szCs w:val="23"/>
        </w:rPr>
      </w:pPr>
      <w:r w:rsidRPr="007E5042">
        <w:rPr>
          <w:rFonts w:asciiTheme="majorBidi" w:hAnsiTheme="majorBidi" w:cstheme="majorBidi"/>
          <w:b/>
          <w:bCs/>
          <w:noProof/>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31" type="#_x0000_t75" alt="Description: Institute on Disability and Public Policy Logo" style="width:281.9pt;height:80.1pt;visibility:visible;mso-wrap-style:square">
            <v:imagedata r:id="rId7" o:title="Institute on Disability and Public Policy Logo"/>
          </v:shape>
        </w:pict>
      </w:r>
      <w:r w:rsidRPr="007E5042">
        <w:rPr>
          <w:rFonts w:asciiTheme="majorBidi" w:hAnsiTheme="majorBidi" w:cstheme="majorBidi"/>
          <w:b/>
          <w:bCs/>
          <w:color w:val="000000"/>
          <w:sz w:val="23"/>
          <w:szCs w:val="23"/>
        </w:rPr>
        <w:br/>
      </w:r>
    </w:p>
    <w:p w:rsidR="004564AD" w:rsidRPr="007E5042" w:rsidRDefault="004564AD" w:rsidP="004564AD">
      <w:pPr>
        <w:pStyle w:val="Default"/>
        <w:rPr>
          <w:rFonts w:asciiTheme="majorBidi" w:hAnsiTheme="majorBidi" w:cstheme="majorBidi"/>
          <w:sz w:val="23"/>
          <w:szCs w:val="23"/>
        </w:rPr>
      </w:pPr>
      <w:r w:rsidRPr="007E5042">
        <w:rPr>
          <w:rStyle w:val="Heading1Char"/>
          <w:rFonts w:asciiTheme="majorBidi" w:hAnsiTheme="majorBidi" w:cstheme="majorBidi"/>
        </w:rPr>
        <w:t xml:space="preserve">Apply Now for World’s First Virtual Master’s in Disability Policy – Fellowships Available </w:t>
      </w:r>
      <w:r w:rsidRPr="007E5042">
        <w:rPr>
          <w:rFonts w:asciiTheme="majorBidi" w:hAnsiTheme="majorBidi" w:cstheme="majorBidi"/>
        </w:rPr>
        <w:br/>
      </w:r>
      <w:r w:rsidRPr="007E5042">
        <w:rPr>
          <w:rFonts w:asciiTheme="majorBidi" w:hAnsiTheme="majorBidi" w:cstheme="majorBidi"/>
        </w:rPr>
        <w:br/>
      </w:r>
      <w:proofErr w:type="gramStart"/>
      <w:r w:rsidRPr="007E5042">
        <w:rPr>
          <w:rFonts w:asciiTheme="majorBidi" w:hAnsiTheme="majorBidi" w:cstheme="majorBidi"/>
          <w:sz w:val="23"/>
          <w:szCs w:val="23"/>
        </w:rPr>
        <w:t xml:space="preserve">The </w:t>
      </w:r>
      <w:hyperlink r:id="rId8" w:history="1">
        <w:r w:rsidRPr="007E5042">
          <w:rPr>
            <w:rStyle w:val="Hyperlink"/>
            <w:rFonts w:asciiTheme="majorBidi" w:hAnsiTheme="majorBidi" w:cstheme="majorBidi"/>
            <w:sz w:val="23"/>
            <w:szCs w:val="23"/>
          </w:rPr>
          <w:t>Institute</w:t>
        </w:r>
        <w:proofErr w:type="gramEnd"/>
        <w:r w:rsidRPr="007E5042">
          <w:rPr>
            <w:rStyle w:val="Hyperlink"/>
            <w:rFonts w:asciiTheme="majorBidi" w:hAnsiTheme="majorBidi" w:cstheme="majorBidi"/>
            <w:sz w:val="23"/>
            <w:szCs w:val="23"/>
          </w:rPr>
          <w:t xml:space="preserve"> on Disability and Public Policy</w:t>
        </w:r>
      </w:hyperlink>
      <w:r w:rsidRPr="007E5042">
        <w:rPr>
          <w:rFonts w:asciiTheme="majorBidi" w:hAnsiTheme="majorBidi" w:cstheme="majorBidi"/>
          <w:sz w:val="23"/>
          <w:szCs w:val="23"/>
        </w:rPr>
        <w:t xml:space="preserve"> (IDPP) is currently accepting applications for the world’s first virtual Master’s degree in disability studies and public policy. The </w:t>
      </w:r>
      <w:hyperlink r:id="rId9" w:history="1">
        <w:r w:rsidRPr="007E5042">
          <w:rPr>
            <w:rStyle w:val="Hyperlink"/>
            <w:rFonts w:asciiTheme="majorBidi" w:hAnsiTheme="majorBidi" w:cstheme="majorBidi"/>
            <w:sz w:val="23"/>
            <w:szCs w:val="23"/>
          </w:rPr>
          <w:t>Master’s in Comparative and International Disability Policy</w:t>
        </w:r>
      </w:hyperlink>
      <w:r w:rsidRPr="007E5042">
        <w:rPr>
          <w:rFonts w:asciiTheme="majorBidi" w:hAnsiTheme="majorBidi" w:cstheme="majorBidi"/>
          <w:sz w:val="23"/>
          <w:szCs w:val="23"/>
        </w:rPr>
        <w:t xml:space="preserve">, offered by the </w:t>
      </w:r>
      <w:hyperlink r:id="rId10" w:history="1">
        <w:r w:rsidRPr="007E5042">
          <w:rPr>
            <w:rStyle w:val="Hyperlink"/>
            <w:rFonts w:asciiTheme="majorBidi" w:hAnsiTheme="majorBidi" w:cstheme="majorBidi"/>
          </w:rPr>
          <w:t>School of International Service</w:t>
        </w:r>
      </w:hyperlink>
      <w:r w:rsidRPr="007E5042">
        <w:rPr>
          <w:rFonts w:asciiTheme="majorBidi" w:hAnsiTheme="majorBidi" w:cstheme="majorBidi"/>
        </w:rPr>
        <w:t xml:space="preserve"> </w:t>
      </w:r>
      <w:r w:rsidRPr="007E5042">
        <w:rPr>
          <w:rFonts w:asciiTheme="majorBidi" w:hAnsiTheme="majorBidi" w:cstheme="majorBidi"/>
          <w:sz w:val="23"/>
          <w:szCs w:val="23"/>
        </w:rPr>
        <w:t xml:space="preserve">at </w:t>
      </w:r>
      <w:hyperlink r:id="rId11" w:history="1">
        <w:r w:rsidRPr="007E5042">
          <w:rPr>
            <w:rStyle w:val="Hyperlink"/>
            <w:rFonts w:asciiTheme="majorBidi" w:hAnsiTheme="majorBidi" w:cstheme="majorBidi"/>
          </w:rPr>
          <w:t>American University</w:t>
        </w:r>
      </w:hyperlink>
      <w:r w:rsidRPr="007E5042">
        <w:rPr>
          <w:rFonts w:asciiTheme="majorBidi" w:hAnsiTheme="majorBidi" w:cstheme="majorBidi"/>
          <w:sz w:val="23"/>
          <w:szCs w:val="23"/>
        </w:rPr>
        <w:t xml:space="preserve">, is the centerpiece program of the IDPP. </w:t>
      </w:r>
      <w:hyperlink r:id="rId12" w:history="1">
        <w:r w:rsidRPr="007E5042">
          <w:rPr>
            <w:rStyle w:val="Hyperlink"/>
            <w:rFonts w:asciiTheme="majorBidi" w:hAnsiTheme="majorBidi" w:cstheme="majorBidi"/>
          </w:rPr>
          <w:t>Fifteen full fellowships</w:t>
        </w:r>
      </w:hyperlink>
      <w:r w:rsidRPr="007E5042">
        <w:rPr>
          <w:rFonts w:asciiTheme="majorBidi" w:hAnsiTheme="majorBidi" w:cstheme="majorBidi"/>
          <w:color w:val="FF0000"/>
          <w:sz w:val="23"/>
          <w:szCs w:val="23"/>
        </w:rPr>
        <w:t xml:space="preserve"> </w:t>
      </w:r>
      <w:r w:rsidRPr="007E5042">
        <w:rPr>
          <w:rFonts w:asciiTheme="majorBidi" w:hAnsiTheme="majorBidi" w:cstheme="majorBidi"/>
          <w:sz w:val="23"/>
          <w:szCs w:val="23"/>
        </w:rPr>
        <w:t xml:space="preserve">will be awarded by </w:t>
      </w:r>
      <w:hyperlink r:id="rId13" w:history="1">
        <w:r w:rsidRPr="007E5042">
          <w:rPr>
            <w:rStyle w:val="Hyperlink"/>
            <w:rFonts w:asciiTheme="majorBidi" w:hAnsiTheme="majorBidi" w:cstheme="majorBidi"/>
          </w:rPr>
          <w:t>The Nippon Foundation</w:t>
        </w:r>
      </w:hyperlink>
      <w:r w:rsidRPr="007E5042">
        <w:rPr>
          <w:rFonts w:asciiTheme="majorBidi" w:hAnsiTheme="majorBidi" w:cstheme="majorBidi"/>
        </w:rPr>
        <w:t xml:space="preserve">, </w:t>
      </w:r>
      <w:r w:rsidRPr="007E5042">
        <w:rPr>
          <w:rFonts w:asciiTheme="majorBidi" w:hAnsiTheme="majorBidi" w:cstheme="majorBidi"/>
          <w:sz w:val="23"/>
          <w:szCs w:val="23"/>
        </w:rPr>
        <w:t xml:space="preserve">with preference given to students from the ASEAN </w:t>
      </w:r>
      <w:proofErr w:type="gramStart"/>
      <w:r w:rsidRPr="007E5042">
        <w:rPr>
          <w:rFonts w:asciiTheme="majorBidi" w:hAnsiTheme="majorBidi" w:cstheme="majorBidi"/>
          <w:sz w:val="23"/>
          <w:szCs w:val="23"/>
        </w:rPr>
        <w:t>region who are</w:t>
      </w:r>
      <w:proofErr w:type="gramEnd"/>
      <w:r w:rsidRPr="007E5042">
        <w:rPr>
          <w:rFonts w:asciiTheme="majorBidi" w:hAnsiTheme="majorBidi" w:cstheme="majorBidi"/>
          <w:sz w:val="23"/>
          <w:szCs w:val="23"/>
        </w:rPr>
        <w:t xml:space="preserve"> blind, deaf, and/or mobility impaired. Applications are accepted on a rolling basis. We will continue to accept and evaluate applications until the 2012 cohort has been filled.</w:t>
      </w:r>
      <w:r w:rsidRPr="007E5042">
        <w:rPr>
          <w:rFonts w:asciiTheme="majorBidi" w:hAnsiTheme="majorBidi" w:cstheme="majorBidi"/>
        </w:rPr>
        <w:br/>
      </w:r>
      <w:r w:rsidRPr="007E5042">
        <w:rPr>
          <w:rFonts w:asciiTheme="majorBidi" w:hAnsiTheme="majorBidi" w:cstheme="majorBidi"/>
        </w:rPr>
        <w:br/>
      </w:r>
      <w:r w:rsidRPr="007E5042">
        <w:rPr>
          <w:rFonts w:asciiTheme="majorBidi" w:hAnsiTheme="majorBidi" w:cstheme="majorBidi"/>
          <w:sz w:val="23"/>
          <w:szCs w:val="23"/>
        </w:rPr>
        <w:t xml:space="preserve">The degree is taught in a blended </w:t>
      </w:r>
      <w:proofErr w:type="spellStart"/>
      <w:r w:rsidRPr="007E5042">
        <w:rPr>
          <w:rFonts w:asciiTheme="majorBidi" w:hAnsiTheme="majorBidi" w:cstheme="majorBidi"/>
          <w:sz w:val="23"/>
          <w:szCs w:val="23"/>
        </w:rPr>
        <w:t>cyberlearning</w:t>
      </w:r>
      <w:proofErr w:type="spellEnd"/>
      <w:r w:rsidRPr="007E5042">
        <w:rPr>
          <w:rFonts w:asciiTheme="majorBidi" w:hAnsiTheme="majorBidi" w:cstheme="majorBidi"/>
          <w:sz w:val="23"/>
          <w:szCs w:val="23"/>
        </w:rPr>
        <w:t xml:space="preserve"> environment, and focuses on the analysis and understanding of public policy for persons with disabilities. The program’s </w:t>
      </w:r>
      <w:hyperlink r:id="rId14" w:history="1">
        <w:proofErr w:type="spellStart"/>
        <w:r w:rsidRPr="007E5042">
          <w:rPr>
            <w:rStyle w:val="Hyperlink"/>
            <w:rFonts w:asciiTheme="majorBidi" w:hAnsiTheme="majorBidi" w:cstheme="majorBidi"/>
          </w:rPr>
          <w:t>cyberinfrastructure</w:t>
        </w:r>
        <w:proofErr w:type="spellEnd"/>
      </w:hyperlink>
      <w:r w:rsidRPr="007E5042">
        <w:rPr>
          <w:rFonts w:asciiTheme="majorBidi" w:hAnsiTheme="majorBidi" w:cstheme="majorBidi"/>
          <w:sz w:val="23"/>
          <w:szCs w:val="23"/>
        </w:rPr>
        <w:t xml:space="preserve"> cuts across geographic boundaries, allowing faculty to teach and students to be taught entirely online. Students have the option of completing the CIDP program as an accelerated one year or extended part-time program. </w:t>
      </w:r>
      <w:hyperlink r:id="rId15" w:history="1">
        <w:r w:rsidRPr="007E5042">
          <w:rPr>
            <w:rStyle w:val="Hyperlink"/>
            <w:rFonts w:asciiTheme="majorBidi" w:hAnsiTheme="majorBidi" w:cstheme="majorBidi"/>
          </w:rPr>
          <w:t>Courses</w:t>
        </w:r>
      </w:hyperlink>
      <w:r w:rsidRPr="007E5042">
        <w:rPr>
          <w:rFonts w:asciiTheme="majorBidi" w:hAnsiTheme="majorBidi" w:cstheme="majorBidi"/>
          <w:sz w:val="23"/>
          <w:szCs w:val="23"/>
        </w:rPr>
        <w:t xml:space="preserve"> can be experienced in real-time or accessed on-demand. Courses incorporate </w:t>
      </w:r>
      <w:hyperlink r:id="rId16" w:history="1">
        <w:r w:rsidRPr="007E5042">
          <w:rPr>
            <w:rStyle w:val="Hyperlink"/>
            <w:rFonts w:asciiTheme="majorBidi" w:hAnsiTheme="majorBidi" w:cstheme="majorBidi"/>
            <w:sz w:val="23"/>
            <w:szCs w:val="23"/>
          </w:rPr>
          <w:t>universal design principles</w:t>
        </w:r>
      </w:hyperlink>
      <w:r w:rsidRPr="007E5042">
        <w:rPr>
          <w:rFonts w:asciiTheme="majorBidi" w:hAnsiTheme="majorBidi" w:cstheme="majorBidi"/>
          <w:sz w:val="23"/>
          <w:szCs w:val="23"/>
        </w:rPr>
        <w:t>, and are accessible to blind, deaf, and mobility impaired students.</w:t>
      </w:r>
      <w:r w:rsidRPr="007E5042">
        <w:rPr>
          <w:rFonts w:asciiTheme="majorBidi" w:hAnsiTheme="majorBidi" w:cstheme="majorBidi"/>
        </w:rPr>
        <w:br/>
      </w:r>
      <w:r w:rsidRPr="007E5042">
        <w:rPr>
          <w:rFonts w:asciiTheme="majorBidi" w:hAnsiTheme="majorBidi" w:cstheme="majorBidi"/>
        </w:rPr>
        <w:br/>
      </w:r>
      <w:r w:rsidRPr="007E5042">
        <w:rPr>
          <w:rFonts w:asciiTheme="majorBidi" w:hAnsiTheme="majorBidi" w:cstheme="majorBidi"/>
          <w:sz w:val="23"/>
          <w:szCs w:val="23"/>
        </w:rPr>
        <w:t xml:space="preserve">“Through a network of outstanding universities and accessible e-learning techniques, we enable students to become leaders of international disability policy in the public, private, and NGO sectors,” states </w:t>
      </w:r>
      <w:hyperlink r:id="rId17" w:history="1">
        <w:r w:rsidRPr="007E5042">
          <w:rPr>
            <w:rStyle w:val="Hyperlink"/>
            <w:rFonts w:asciiTheme="majorBidi" w:hAnsiTheme="majorBidi" w:cstheme="majorBidi"/>
          </w:rPr>
          <w:t xml:space="preserve">Dr. Derrick L. </w:t>
        </w:r>
        <w:proofErr w:type="spellStart"/>
        <w:r w:rsidRPr="007E5042">
          <w:rPr>
            <w:rStyle w:val="Hyperlink"/>
            <w:rFonts w:asciiTheme="majorBidi" w:hAnsiTheme="majorBidi" w:cstheme="majorBidi"/>
          </w:rPr>
          <w:t>Cogburn</w:t>
        </w:r>
        <w:proofErr w:type="spellEnd"/>
      </w:hyperlink>
      <w:r w:rsidRPr="007E5042">
        <w:rPr>
          <w:rFonts w:asciiTheme="majorBidi" w:hAnsiTheme="majorBidi" w:cstheme="majorBidi"/>
          <w:color w:val="auto"/>
          <w:sz w:val="23"/>
          <w:szCs w:val="23"/>
        </w:rPr>
        <w:t>,</w:t>
      </w:r>
      <w:r w:rsidRPr="007E5042">
        <w:rPr>
          <w:rFonts w:asciiTheme="majorBidi" w:hAnsiTheme="majorBidi" w:cstheme="majorBidi"/>
          <w:color w:val="FF0000"/>
          <w:sz w:val="23"/>
          <w:szCs w:val="23"/>
        </w:rPr>
        <w:t xml:space="preserve"> </w:t>
      </w:r>
      <w:r w:rsidRPr="007E5042">
        <w:rPr>
          <w:rFonts w:asciiTheme="majorBidi" w:hAnsiTheme="majorBidi" w:cstheme="majorBidi"/>
          <w:sz w:val="23"/>
          <w:szCs w:val="23"/>
        </w:rPr>
        <w:t xml:space="preserve">IDPP/COTELCO Executive Director. Led by </w:t>
      </w:r>
      <w:hyperlink r:id="rId18" w:history="1">
        <w:r w:rsidRPr="007E5042">
          <w:rPr>
            <w:rStyle w:val="Hyperlink"/>
            <w:rFonts w:asciiTheme="majorBidi" w:hAnsiTheme="majorBidi" w:cstheme="majorBidi"/>
          </w:rPr>
          <w:t>COTELCO</w:t>
        </w:r>
      </w:hyperlink>
      <w:r w:rsidRPr="007E5042">
        <w:rPr>
          <w:rFonts w:asciiTheme="majorBidi" w:hAnsiTheme="majorBidi" w:cstheme="majorBidi"/>
          <w:color w:val="FF0000"/>
        </w:rPr>
        <w:t xml:space="preserve"> </w:t>
      </w:r>
      <w:r w:rsidRPr="007E5042">
        <w:rPr>
          <w:rFonts w:asciiTheme="majorBidi" w:hAnsiTheme="majorBidi" w:cstheme="majorBidi"/>
          <w:sz w:val="23"/>
          <w:szCs w:val="23"/>
        </w:rPr>
        <w:t xml:space="preserve">and generously funded by The Nippon Foundation, the IDPP is a </w:t>
      </w:r>
      <w:hyperlink r:id="rId19" w:history="1">
        <w:r w:rsidRPr="007E5042">
          <w:rPr>
            <w:rStyle w:val="Hyperlink"/>
            <w:rFonts w:asciiTheme="majorBidi" w:hAnsiTheme="majorBidi" w:cstheme="majorBidi"/>
          </w:rPr>
          <w:t>partnership network</w:t>
        </w:r>
      </w:hyperlink>
      <w:r w:rsidRPr="007E5042">
        <w:rPr>
          <w:rFonts w:asciiTheme="majorBidi" w:hAnsiTheme="majorBidi" w:cstheme="majorBidi"/>
          <w:sz w:val="23"/>
          <w:szCs w:val="23"/>
        </w:rPr>
        <w:t xml:space="preserve"> among nine academic institutions and two outreach partners.</w:t>
      </w:r>
    </w:p>
    <w:p w:rsidR="004564AD" w:rsidRPr="007E5042" w:rsidRDefault="004564AD" w:rsidP="004564AD">
      <w:pPr>
        <w:pStyle w:val="Default"/>
        <w:rPr>
          <w:rFonts w:asciiTheme="majorBidi" w:hAnsiTheme="majorBidi" w:cstheme="majorBidi"/>
          <w:sz w:val="23"/>
          <w:szCs w:val="23"/>
        </w:rPr>
      </w:pPr>
    </w:p>
    <w:p w:rsidR="004564AD" w:rsidRPr="007E5042" w:rsidRDefault="004564AD" w:rsidP="004564AD">
      <w:pPr>
        <w:rPr>
          <w:rFonts w:asciiTheme="majorBidi" w:hAnsiTheme="majorBidi" w:cstheme="majorBidi"/>
          <w:sz w:val="23"/>
          <w:szCs w:val="23"/>
        </w:rPr>
      </w:pPr>
      <w:r w:rsidRPr="007E5042">
        <w:rPr>
          <w:rFonts w:asciiTheme="majorBidi" w:hAnsiTheme="majorBidi" w:cstheme="majorBidi"/>
          <w:color w:val="000000"/>
          <w:sz w:val="23"/>
          <w:szCs w:val="23"/>
        </w:rPr>
        <w:t xml:space="preserve">For more information, please visit </w:t>
      </w:r>
      <w:r w:rsidRPr="007E5042">
        <w:rPr>
          <w:rFonts w:asciiTheme="majorBidi" w:hAnsiTheme="majorBidi" w:cstheme="majorBidi"/>
          <w:sz w:val="24"/>
          <w:szCs w:val="24"/>
        </w:rPr>
        <w:t xml:space="preserve">our </w:t>
      </w:r>
      <w:hyperlink r:id="rId20" w:history="1">
        <w:r w:rsidRPr="007E5042">
          <w:rPr>
            <w:rStyle w:val="Hyperlink"/>
            <w:rFonts w:asciiTheme="majorBidi" w:hAnsiTheme="majorBidi" w:cstheme="majorBidi"/>
            <w:sz w:val="24"/>
            <w:szCs w:val="24"/>
          </w:rPr>
          <w:t>Web site</w:t>
        </w:r>
      </w:hyperlink>
      <w:r w:rsidRPr="007E5042">
        <w:rPr>
          <w:rFonts w:asciiTheme="majorBidi" w:hAnsiTheme="majorBidi" w:cstheme="majorBidi"/>
          <w:sz w:val="24"/>
          <w:szCs w:val="24"/>
        </w:rPr>
        <w:t>.</w:t>
      </w:r>
    </w:p>
    <w:p w:rsidR="004564AD" w:rsidRPr="007E5042" w:rsidRDefault="004564AD" w:rsidP="004564AD">
      <w:pPr>
        <w:jc w:val="center"/>
        <w:rPr>
          <w:rFonts w:asciiTheme="majorBidi" w:hAnsiTheme="majorBidi" w:cstheme="majorBidi"/>
          <w:color w:val="000000"/>
          <w:sz w:val="23"/>
          <w:szCs w:val="23"/>
        </w:rPr>
      </w:pPr>
      <w:r w:rsidRPr="007E5042">
        <w:rPr>
          <w:rFonts w:asciiTheme="majorBidi" w:hAnsiTheme="majorBidi" w:cstheme="majorBidi"/>
          <w:sz w:val="23"/>
          <w:szCs w:val="23"/>
        </w:rPr>
        <w:t>###</w:t>
      </w:r>
    </w:p>
    <w:p w:rsidR="004564AD" w:rsidRPr="007E5042" w:rsidRDefault="004564AD" w:rsidP="004564AD">
      <w:pPr>
        <w:rPr>
          <w:rFonts w:asciiTheme="majorBidi" w:hAnsiTheme="majorBidi" w:cstheme="majorBidi"/>
          <w:color w:val="000000"/>
          <w:sz w:val="23"/>
          <w:szCs w:val="23"/>
        </w:rPr>
      </w:pPr>
    </w:p>
    <w:p w:rsidR="004564AD" w:rsidRPr="007E5042" w:rsidRDefault="004564AD" w:rsidP="004564AD">
      <w:pPr>
        <w:rPr>
          <w:rFonts w:asciiTheme="majorBidi" w:hAnsiTheme="majorBidi" w:cstheme="majorBidi"/>
          <w:color w:val="000000"/>
          <w:sz w:val="23"/>
          <w:szCs w:val="23"/>
        </w:rPr>
      </w:pPr>
      <w:r w:rsidRPr="007E5042">
        <w:rPr>
          <w:rFonts w:asciiTheme="majorBidi" w:hAnsiTheme="majorBidi" w:cstheme="majorBidi"/>
          <w:noProof/>
        </w:rPr>
        <w:pict>
          <v:shape id="Picture 2" o:spid="_x0000_s1031" type="#_x0000_t75" alt="Description: COTELCO logo" style="position:absolute;margin-left:-8.25pt;margin-top:15.1pt;width:119.25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1" o:title="COTELCO logo"/>
            <w10:wrap type="square"/>
          </v:shape>
        </w:pict>
      </w:r>
      <w:r w:rsidRPr="007E5042">
        <w:rPr>
          <w:rFonts w:asciiTheme="majorBidi" w:hAnsiTheme="majorBidi" w:cstheme="majorBidi"/>
          <w:noProof/>
        </w:rPr>
        <w:pict>
          <v:shape id="Picture 3" o:spid="_x0000_s1030" type="#_x0000_t75" alt="Description: American University Logo" style="position:absolute;margin-left:201.15pt;margin-top:9.85pt;width:74.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2" o:title="American University Logo"/>
            <w10:wrap type="square"/>
          </v:shape>
        </w:pict>
      </w:r>
      <w:r w:rsidRPr="007E5042">
        <w:rPr>
          <w:rFonts w:asciiTheme="majorBidi" w:hAnsiTheme="majorBidi" w:cstheme="majorBidi"/>
          <w:noProof/>
        </w:rPr>
        <w:pict>
          <v:shape id="Picture 4" o:spid="_x0000_s1029" type="#_x0000_t75" alt="Description: The Nippon Foundation Logo" style="position:absolute;margin-left:349.5pt;margin-top:24.85pt;width:2in;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3" o:title="The Nippon Foundation Logo"/>
            <w10:wrap type="square"/>
          </v:shape>
        </w:pict>
      </w:r>
    </w:p>
    <w:p w:rsidR="004564AD" w:rsidRPr="007E5042" w:rsidRDefault="004564AD" w:rsidP="004564AD">
      <w:pPr>
        <w:pStyle w:val="PlainText"/>
        <w:rPr>
          <w:rFonts w:asciiTheme="majorBidi" w:hAnsiTheme="majorBidi" w:cstheme="majorBidi"/>
        </w:rPr>
      </w:pPr>
    </w:p>
    <w:p w:rsidR="004564AD" w:rsidRPr="007E5042" w:rsidRDefault="004564AD" w:rsidP="004564AD">
      <w:pPr>
        <w:pStyle w:val="PlainText"/>
        <w:rPr>
          <w:rFonts w:asciiTheme="majorBidi" w:hAnsiTheme="majorBidi" w:cstheme="majorBidi"/>
        </w:rPr>
      </w:pPr>
    </w:p>
    <w:p w:rsidR="004564AD" w:rsidRPr="007E5042" w:rsidRDefault="004564AD" w:rsidP="004564AD">
      <w:pPr>
        <w:pStyle w:val="PlainText"/>
        <w:rPr>
          <w:rFonts w:asciiTheme="majorBidi" w:hAnsiTheme="majorBidi" w:cstheme="majorBidi"/>
        </w:rPr>
      </w:pPr>
    </w:p>
    <w:p w:rsidR="004564AD" w:rsidRPr="007E5042" w:rsidRDefault="004564AD" w:rsidP="004564AD">
      <w:pPr>
        <w:pStyle w:val="PlainText"/>
        <w:rPr>
          <w:rFonts w:asciiTheme="majorBidi" w:hAnsiTheme="majorBidi" w:cstheme="majorBidi"/>
        </w:rPr>
      </w:pPr>
    </w:p>
    <w:p w:rsidR="004564AD" w:rsidRPr="007E5042" w:rsidRDefault="004564AD" w:rsidP="004564AD">
      <w:pPr>
        <w:pStyle w:val="PlainText"/>
        <w:rPr>
          <w:rFonts w:asciiTheme="majorBidi" w:hAnsiTheme="majorBidi" w:cstheme="majorBidi"/>
        </w:rPr>
      </w:pPr>
    </w:p>
    <w:sectPr w:rsidR="004564AD" w:rsidRPr="007E5042" w:rsidSect="00304D1C">
      <w:headerReference w:type="even" r:id="rId24"/>
      <w:headerReference w:type="default" r:id="rId25"/>
      <w:footerReference w:type="even" r:id="rId26"/>
      <w:footerReference w:type="default" r:id="rId27"/>
      <w:headerReference w:type="first" r:id="rId28"/>
      <w:footerReference w:type="first" r:id="rId29"/>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70" w:rsidRDefault="00BB2470" w:rsidP="00304D1C">
      <w:pPr>
        <w:spacing w:after="0" w:line="240" w:lineRule="auto"/>
      </w:pPr>
      <w:r>
        <w:separator/>
      </w:r>
    </w:p>
  </w:endnote>
  <w:endnote w:type="continuationSeparator" w:id="0">
    <w:p w:rsidR="00BB2470" w:rsidRDefault="00BB2470"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CellMar>
        <w:left w:w="57" w:type="dxa"/>
        <w:right w:w="57" w:type="dxa"/>
      </w:tblCellMar>
      <w:tblLook w:val="0000" w:firstRow="0" w:lastRow="0" w:firstColumn="0" w:lastColumn="0" w:noHBand="0" w:noVBand="0"/>
    </w:tblPr>
    <w:tblGrid>
      <w:gridCol w:w="1252"/>
      <w:gridCol w:w="4282"/>
      <w:gridCol w:w="4018"/>
      <w:gridCol w:w="29"/>
    </w:tblGrid>
    <w:tr w:rsidR="009230EE" w:rsidRPr="009230EE" w:rsidTr="00C03142">
      <w:trPr>
        <w:gridAfter w:val="1"/>
        <w:wAfter w:w="29" w:type="dxa"/>
        <w:cantSplit/>
        <w:trHeight w:val="204"/>
        <w:jc w:val="center"/>
      </w:trPr>
      <w:tc>
        <w:tcPr>
          <w:tcW w:w="1252" w:type="dxa"/>
          <w:tcBorders>
            <w:top w:val="single" w:sz="12" w:space="0" w:color="auto"/>
          </w:tcBorders>
        </w:tcPr>
        <w:p w:rsidR="009230EE" w:rsidRPr="009230EE" w:rsidRDefault="009230EE" w:rsidP="00C03142">
          <w:pPr>
            <w:rPr>
              <w:rFonts w:asciiTheme="majorBidi" w:hAnsiTheme="majorBidi" w:cstheme="majorBidi"/>
              <w:b/>
              <w:bCs/>
              <w:sz w:val="20"/>
              <w:szCs w:val="20"/>
            </w:rPr>
          </w:pPr>
          <w:r w:rsidRPr="009230EE">
            <w:rPr>
              <w:rFonts w:asciiTheme="majorBidi" w:hAnsiTheme="majorBidi" w:cstheme="majorBidi"/>
              <w:b/>
              <w:bCs/>
              <w:sz w:val="20"/>
              <w:szCs w:val="20"/>
            </w:rPr>
            <w:t>Contact:</w:t>
          </w:r>
        </w:p>
      </w:tc>
      <w:tc>
        <w:tcPr>
          <w:tcW w:w="4282" w:type="dxa"/>
          <w:tcBorders>
            <w:top w:val="single" w:sz="12" w:space="0" w:color="auto"/>
          </w:tcBorders>
        </w:tcPr>
        <w:p w:rsidR="009230EE" w:rsidRPr="009230EE" w:rsidRDefault="009230EE" w:rsidP="009230EE">
          <w:pPr>
            <w:rPr>
              <w:rFonts w:asciiTheme="majorBidi" w:hAnsiTheme="majorBidi" w:cstheme="majorBidi"/>
              <w:sz w:val="20"/>
              <w:szCs w:val="20"/>
              <w:lang w:eastAsia="ja-JP"/>
            </w:rPr>
          </w:pPr>
          <w:r>
            <w:rPr>
              <w:rFonts w:asciiTheme="majorBidi" w:hAnsiTheme="majorBidi" w:cstheme="majorBidi"/>
              <w:sz w:val="20"/>
              <w:szCs w:val="20"/>
              <w:lang w:eastAsia="ja-JP"/>
            </w:rPr>
            <w:t>Andrea J. Saks</w:t>
          </w:r>
          <w:r>
            <w:rPr>
              <w:rFonts w:asciiTheme="majorBidi" w:hAnsiTheme="majorBidi" w:cstheme="majorBidi"/>
              <w:sz w:val="20"/>
              <w:szCs w:val="20"/>
              <w:lang w:eastAsia="ja-JP"/>
            </w:rPr>
            <w:br/>
          </w:r>
          <w:r w:rsidRPr="009230EE">
            <w:rPr>
              <w:rFonts w:asciiTheme="majorBidi" w:hAnsiTheme="majorBidi" w:cstheme="majorBidi"/>
              <w:sz w:val="20"/>
              <w:szCs w:val="20"/>
              <w:lang w:eastAsia="ja-JP"/>
            </w:rPr>
            <w:t>JCA-AHF Convener</w:t>
          </w:r>
        </w:p>
      </w:tc>
      <w:tc>
        <w:tcPr>
          <w:tcW w:w="4018" w:type="dxa"/>
          <w:tcBorders>
            <w:top w:val="single" w:sz="12" w:space="0" w:color="auto"/>
          </w:tcBorders>
        </w:tcPr>
        <w:p w:rsidR="009230EE" w:rsidRPr="009230EE" w:rsidRDefault="009230EE" w:rsidP="00CD27C9">
          <w:pPr>
            <w:rPr>
              <w:rFonts w:asciiTheme="majorBidi" w:hAnsiTheme="majorBidi" w:cstheme="majorBidi"/>
              <w:sz w:val="20"/>
              <w:szCs w:val="20"/>
              <w:lang w:eastAsia="ko-KR"/>
            </w:rPr>
          </w:pPr>
          <w:r w:rsidRPr="009230EE">
            <w:rPr>
              <w:rFonts w:asciiTheme="majorBidi" w:hAnsiTheme="majorBidi" w:cstheme="majorBidi"/>
              <w:sz w:val="20"/>
              <w:szCs w:val="20"/>
              <w:lang w:eastAsia="ja-JP"/>
            </w:rPr>
            <w:t xml:space="preserve">Email: </w:t>
          </w:r>
          <w:r w:rsidR="00CD27C9">
            <w:rPr>
              <w:rFonts w:ascii="Times New Roman" w:hAnsi="Times New Roman" w:cs="Times New Roman"/>
              <w:sz w:val="20"/>
              <w:szCs w:val="20"/>
              <w:lang w:eastAsia="ja-JP"/>
            </w:rPr>
            <w:t>andrea.saks@ties.itu.int</w:t>
          </w:r>
        </w:p>
      </w:tc>
    </w:tr>
    <w:tr w:rsidR="009230EE" w:rsidRPr="009230EE" w:rsidTr="00C03142">
      <w:tblPrEx>
        <w:tblCellMar>
          <w:left w:w="108" w:type="dxa"/>
          <w:right w:w="108" w:type="dxa"/>
        </w:tblCellMar>
      </w:tblPrEx>
      <w:trPr>
        <w:cantSplit/>
        <w:jc w:val="center"/>
      </w:trPr>
      <w:tc>
        <w:tcPr>
          <w:tcW w:w="958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9230EE" w:rsidRPr="009230EE" w:rsidRDefault="009230EE" w:rsidP="00C03142">
          <w:pPr>
            <w:rPr>
              <w:rFonts w:asciiTheme="majorBidi" w:hAnsiTheme="majorBidi" w:cstheme="majorBidi"/>
              <w:sz w:val="18"/>
              <w:szCs w:val="18"/>
            </w:rPr>
          </w:pPr>
          <w:r w:rsidRPr="009230EE">
            <w:rPr>
              <w:rFonts w:asciiTheme="majorBidi" w:hAnsiTheme="majorBidi" w:cstheme="majorBidi"/>
              <w:b/>
              <w:bCs/>
              <w:sz w:val="18"/>
              <w:szCs w:val="18"/>
            </w:rPr>
            <w:t>Attention:</w:t>
          </w:r>
          <w:r w:rsidRPr="009230EE">
            <w:rPr>
              <w:rFonts w:asciiTheme="majorBidi" w:hAnsiTheme="majorBidi" w:cstheme="majorBidi"/>
              <w:sz w:val="18"/>
              <w:szCs w:val="18"/>
            </w:rPr>
            <w:t xml:space="preserve"> This is not a publication made available to the public, but </w:t>
          </w:r>
          <w:r w:rsidRPr="009230EE">
            <w:rPr>
              <w:rFonts w:asciiTheme="majorBidi" w:hAnsiTheme="majorBidi" w:cstheme="majorBidi"/>
              <w:b/>
              <w:bCs/>
              <w:sz w:val="18"/>
              <w:szCs w:val="18"/>
            </w:rPr>
            <w:t>an internal ITU-T Document</w:t>
          </w:r>
          <w:r w:rsidRPr="009230EE">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230EE" w:rsidRPr="009230EE" w:rsidRDefault="009230EE" w:rsidP="009230EE">
    <w:pPr>
      <w:pStyle w:val="Footer"/>
      <w:rPr>
        <w:rFonts w:asciiTheme="majorBidi" w:hAnsiTheme="majorBid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70" w:rsidRDefault="00BB2470" w:rsidP="00304D1C">
      <w:pPr>
        <w:spacing w:after="0" w:line="240" w:lineRule="auto"/>
      </w:pPr>
      <w:r>
        <w:separator/>
      </w:r>
    </w:p>
  </w:footnote>
  <w:footnote w:type="continuationSeparator" w:id="0">
    <w:p w:rsidR="00BB2470" w:rsidRDefault="00BB2470"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2" w:rsidRDefault="00880144" w:rsidP="001C7E85">
    <w:pPr>
      <w:pStyle w:val="Header"/>
      <w:jc w:val="center"/>
    </w:pPr>
    <w:r>
      <w:fldChar w:fldCharType="begin"/>
    </w:r>
    <w:r>
      <w:instrText xml:space="preserve"> PAGE   \* MERGEFORMAT </w:instrText>
    </w:r>
    <w:r>
      <w:fldChar w:fldCharType="separate"/>
    </w:r>
    <w:r w:rsidR="007E5042">
      <w:rPr>
        <w:noProof/>
      </w:rPr>
      <w:t>2</w:t>
    </w:r>
    <w:r>
      <w:rPr>
        <w:noProof/>
      </w:rPr>
      <w:fldChar w:fldCharType="end"/>
    </w:r>
  </w:p>
  <w:p w:rsidR="00F66212" w:rsidRDefault="00F662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C9" w:rsidRDefault="00CD2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D5"/>
    <w:rsid w:val="0001557B"/>
    <w:rsid w:val="00043120"/>
    <w:rsid w:val="00072160"/>
    <w:rsid w:val="000E0DFC"/>
    <w:rsid w:val="00114D5A"/>
    <w:rsid w:val="001255EB"/>
    <w:rsid w:val="0016561A"/>
    <w:rsid w:val="001A33F2"/>
    <w:rsid w:val="001C7E85"/>
    <w:rsid w:val="00227799"/>
    <w:rsid w:val="00304D1C"/>
    <w:rsid w:val="00350FD5"/>
    <w:rsid w:val="00430FA2"/>
    <w:rsid w:val="004564AD"/>
    <w:rsid w:val="004B450B"/>
    <w:rsid w:val="004D726D"/>
    <w:rsid w:val="004E2521"/>
    <w:rsid w:val="004E4EAE"/>
    <w:rsid w:val="00541BB1"/>
    <w:rsid w:val="00550601"/>
    <w:rsid w:val="0059234E"/>
    <w:rsid w:val="006803E9"/>
    <w:rsid w:val="00693806"/>
    <w:rsid w:val="006A60E9"/>
    <w:rsid w:val="006C0C30"/>
    <w:rsid w:val="006C3667"/>
    <w:rsid w:val="006D3147"/>
    <w:rsid w:val="006F175E"/>
    <w:rsid w:val="006F7D25"/>
    <w:rsid w:val="00736163"/>
    <w:rsid w:val="007726C6"/>
    <w:rsid w:val="007D1C0D"/>
    <w:rsid w:val="007E5042"/>
    <w:rsid w:val="007F6165"/>
    <w:rsid w:val="00807E79"/>
    <w:rsid w:val="00877578"/>
    <w:rsid w:val="00880144"/>
    <w:rsid w:val="00885652"/>
    <w:rsid w:val="009230EE"/>
    <w:rsid w:val="009A5637"/>
    <w:rsid w:val="009D3C2E"/>
    <w:rsid w:val="00A2038B"/>
    <w:rsid w:val="00A91D72"/>
    <w:rsid w:val="00A94EC6"/>
    <w:rsid w:val="00AA75EB"/>
    <w:rsid w:val="00AF4359"/>
    <w:rsid w:val="00BB2470"/>
    <w:rsid w:val="00C15FFC"/>
    <w:rsid w:val="00C45CB8"/>
    <w:rsid w:val="00C5696C"/>
    <w:rsid w:val="00CB3B05"/>
    <w:rsid w:val="00CD27C9"/>
    <w:rsid w:val="00CE0CD7"/>
    <w:rsid w:val="00CE2881"/>
    <w:rsid w:val="00D95C12"/>
    <w:rsid w:val="00DF3ED4"/>
    <w:rsid w:val="00E14A4A"/>
    <w:rsid w:val="00E9576A"/>
    <w:rsid w:val="00EA2764"/>
    <w:rsid w:val="00EC1BF3"/>
    <w:rsid w:val="00EE4BB0"/>
    <w:rsid w:val="00EF1B02"/>
    <w:rsid w:val="00EF2EB7"/>
    <w:rsid w:val="00F024AD"/>
    <w:rsid w:val="00F21136"/>
    <w:rsid w:val="00F56AF6"/>
    <w:rsid w:val="00F66212"/>
    <w:rsid w:val="00F876C4"/>
    <w:rsid w:val="00FB31C0"/>
    <w:rsid w:val="00FD0F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DB"/>
    <w:pPr>
      <w:spacing w:after="200" w:line="276" w:lineRule="auto"/>
    </w:pPr>
    <w:rPr>
      <w:lang w:eastAsia="zh-CN"/>
    </w:rPr>
  </w:style>
  <w:style w:type="paragraph" w:styleId="Heading1">
    <w:name w:val="heading 1"/>
    <w:basedOn w:val="Default"/>
    <w:next w:val="Normal"/>
    <w:link w:val="Heading1Char"/>
    <w:uiPriority w:val="9"/>
    <w:qFormat/>
    <w:locked/>
    <w:rsid w:val="004564AD"/>
    <w:pP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4D1C"/>
    <w:rPr>
      <w:rFonts w:cs="Times New Roman"/>
    </w:rPr>
  </w:style>
  <w:style w:type="paragraph" w:styleId="Footer">
    <w:name w:val="footer"/>
    <w:basedOn w:val="Normal"/>
    <w:link w:val="FooterChar"/>
    <w:uiPriority w:val="99"/>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4D1C"/>
    <w:rPr>
      <w:rFonts w:cs="Times New Roman"/>
    </w:rPr>
  </w:style>
  <w:style w:type="character" w:styleId="Hyperlink">
    <w:name w:val="Hyperlink"/>
    <w:basedOn w:val="DefaultParagraphFont"/>
    <w:uiPriority w:val="99"/>
    <w:rsid w:val="00304D1C"/>
    <w:rPr>
      <w:rFonts w:cs="Times New Roman"/>
      <w:color w:val="0000FF"/>
      <w:u w:val="single"/>
    </w:rPr>
  </w:style>
  <w:style w:type="paragraph" w:customStyle="1" w:styleId="LSDeadline">
    <w:name w:val="LSDeadline"/>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uiPriority w:val="99"/>
    <w:rsid w:val="00304D1C"/>
  </w:style>
  <w:style w:type="paragraph" w:customStyle="1" w:styleId="LSForComment">
    <w:name w:val="LSForComment"/>
    <w:basedOn w:val="LSForAction"/>
    <w:uiPriority w:val="99"/>
    <w:rsid w:val="00304D1C"/>
    <w:rPr>
      <w:rFonts w:eastAsia="SimSun"/>
    </w:rPr>
  </w:style>
  <w:style w:type="paragraph" w:styleId="BalloonText">
    <w:name w:val="Balloon Text"/>
    <w:basedOn w:val="Normal"/>
    <w:link w:val="BalloonTextChar"/>
    <w:uiPriority w:val="99"/>
    <w:semiHidden/>
    <w:rsid w:val="00736163"/>
    <w:rPr>
      <w:rFonts w:ascii="Tahoma" w:hAnsi="Tahoma" w:cs="Tahoma"/>
      <w:sz w:val="16"/>
      <w:szCs w:val="16"/>
    </w:rPr>
  </w:style>
  <w:style w:type="character" w:customStyle="1" w:styleId="BalloonTextChar">
    <w:name w:val="Balloon Text Char"/>
    <w:basedOn w:val="DefaultParagraphFont"/>
    <w:link w:val="BalloonText"/>
    <w:uiPriority w:val="99"/>
    <w:semiHidden/>
    <w:rsid w:val="00B138A2"/>
    <w:rPr>
      <w:rFonts w:ascii="Times New Roman" w:hAnsi="Times New Roman"/>
      <w:sz w:val="0"/>
      <w:szCs w:val="0"/>
      <w:lang w:eastAsia="zh-CN"/>
    </w:rPr>
  </w:style>
  <w:style w:type="paragraph" w:styleId="PlainText">
    <w:name w:val="Plain Text"/>
    <w:basedOn w:val="Normal"/>
    <w:link w:val="PlainTextChar"/>
    <w:uiPriority w:val="99"/>
    <w:unhideWhenUsed/>
    <w:rsid w:val="009230EE"/>
    <w:pPr>
      <w:spacing w:after="0" w:line="240" w:lineRule="auto"/>
    </w:pPr>
    <w:rPr>
      <w:rFonts w:cs="Consolas"/>
      <w:szCs w:val="21"/>
    </w:rPr>
  </w:style>
  <w:style w:type="character" w:customStyle="1" w:styleId="PlainTextChar">
    <w:name w:val="Plain Text Char"/>
    <w:basedOn w:val="DefaultParagraphFont"/>
    <w:link w:val="PlainText"/>
    <w:uiPriority w:val="99"/>
    <w:rsid w:val="009230EE"/>
    <w:rPr>
      <w:rFonts w:cs="Consolas"/>
      <w:szCs w:val="21"/>
      <w:lang w:eastAsia="zh-CN"/>
    </w:rPr>
  </w:style>
  <w:style w:type="character" w:styleId="FollowedHyperlink">
    <w:name w:val="FollowedHyperlink"/>
    <w:basedOn w:val="DefaultParagraphFont"/>
    <w:uiPriority w:val="99"/>
    <w:semiHidden/>
    <w:unhideWhenUsed/>
    <w:rsid w:val="009230EE"/>
    <w:rPr>
      <w:color w:val="800080" w:themeColor="followedHyperlink"/>
      <w:u w:val="single"/>
    </w:rPr>
  </w:style>
  <w:style w:type="character" w:customStyle="1" w:styleId="Heading1Char">
    <w:name w:val="Heading 1 Char"/>
    <w:basedOn w:val="DefaultParagraphFont"/>
    <w:link w:val="Heading1"/>
    <w:uiPriority w:val="9"/>
    <w:rsid w:val="004564AD"/>
    <w:rPr>
      <w:rFonts w:ascii="Times New Roman" w:eastAsia="MS Mincho" w:hAnsi="Times New Roman" w:cs="Times New Roman"/>
      <w:b/>
      <w:bCs/>
      <w:color w:val="000000"/>
      <w:sz w:val="23"/>
      <w:szCs w:val="23"/>
    </w:rPr>
  </w:style>
  <w:style w:type="paragraph" w:customStyle="1" w:styleId="Default">
    <w:name w:val="Default"/>
    <w:rsid w:val="004564AD"/>
    <w:pPr>
      <w:autoSpaceDE w:val="0"/>
      <w:autoSpaceDN w:val="0"/>
      <w:adjustRightInd w:val="0"/>
    </w:pPr>
    <w:rPr>
      <w:rFonts w:ascii="Times New Roman" w:eastAsia="MS Mincho"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639">
      <w:bodyDiv w:val="1"/>
      <w:marLeft w:val="0"/>
      <w:marRight w:val="0"/>
      <w:marTop w:val="0"/>
      <w:marBottom w:val="0"/>
      <w:divBdr>
        <w:top w:val="none" w:sz="0" w:space="0" w:color="auto"/>
        <w:left w:val="none" w:sz="0" w:space="0" w:color="auto"/>
        <w:bottom w:val="none" w:sz="0" w:space="0" w:color="auto"/>
        <w:right w:val="none" w:sz="0" w:space="0" w:color="auto"/>
      </w:divBdr>
    </w:div>
    <w:div w:id="276060388">
      <w:bodyDiv w:val="1"/>
      <w:marLeft w:val="0"/>
      <w:marRight w:val="0"/>
      <w:marTop w:val="0"/>
      <w:marBottom w:val="0"/>
      <w:divBdr>
        <w:top w:val="none" w:sz="0" w:space="0" w:color="auto"/>
        <w:left w:val="none" w:sz="0" w:space="0" w:color="auto"/>
        <w:bottom w:val="none" w:sz="0" w:space="0" w:color="auto"/>
        <w:right w:val="none" w:sz="0" w:space="0" w:color="auto"/>
      </w:divBdr>
    </w:div>
    <w:div w:id="1707677533">
      <w:marLeft w:val="0"/>
      <w:marRight w:val="0"/>
      <w:marTop w:val="0"/>
      <w:marBottom w:val="0"/>
      <w:divBdr>
        <w:top w:val="none" w:sz="0" w:space="0" w:color="auto"/>
        <w:left w:val="none" w:sz="0" w:space="0" w:color="auto"/>
        <w:bottom w:val="none" w:sz="0" w:space="0" w:color="auto"/>
        <w:right w:val="none" w:sz="0" w:space="0" w:color="auto"/>
      </w:divBdr>
    </w:div>
    <w:div w:id="1707677534">
      <w:marLeft w:val="0"/>
      <w:marRight w:val="0"/>
      <w:marTop w:val="0"/>
      <w:marBottom w:val="0"/>
      <w:divBdr>
        <w:top w:val="none" w:sz="0" w:space="0" w:color="auto"/>
        <w:left w:val="none" w:sz="0" w:space="0" w:color="auto"/>
        <w:bottom w:val="none" w:sz="0" w:space="0" w:color="auto"/>
        <w:right w:val="none" w:sz="0" w:space="0" w:color="auto"/>
      </w:divBdr>
    </w:div>
    <w:div w:id="1707677535">
      <w:marLeft w:val="0"/>
      <w:marRight w:val="0"/>
      <w:marTop w:val="0"/>
      <w:marBottom w:val="0"/>
      <w:divBdr>
        <w:top w:val="none" w:sz="0" w:space="0" w:color="auto"/>
        <w:left w:val="none" w:sz="0" w:space="0" w:color="auto"/>
        <w:bottom w:val="none" w:sz="0" w:space="0" w:color="auto"/>
        <w:right w:val="none" w:sz="0" w:space="0" w:color="auto"/>
      </w:divBdr>
    </w:div>
    <w:div w:id="1707677536">
      <w:marLeft w:val="0"/>
      <w:marRight w:val="0"/>
      <w:marTop w:val="0"/>
      <w:marBottom w:val="0"/>
      <w:divBdr>
        <w:top w:val="none" w:sz="0" w:space="0" w:color="auto"/>
        <w:left w:val="none" w:sz="0" w:space="0" w:color="auto"/>
        <w:bottom w:val="none" w:sz="0" w:space="0" w:color="auto"/>
        <w:right w:val="none" w:sz="0" w:space="0" w:color="auto"/>
      </w:divBdr>
    </w:div>
    <w:div w:id="1707677537">
      <w:marLeft w:val="0"/>
      <w:marRight w:val="0"/>
      <w:marTop w:val="0"/>
      <w:marBottom w:val="0"/>
      <w:divBdr>
        <w:top w:val="none" w:sz="0" w:space="0" w:color="auto"/>
        <w:left w:val="none" w:sz="0" w:space="0" w:color="auto"/>
        <w:bottom w:val="none" w:sz="0" w:space="0" w:color="auto"/>
        <w:right w:val="none" w:sz="0" w:space="0" w:color="auto"/>
      </w:divBdr>
    </w:div>
    <w:div w:id="1707677538">
      <w:marLeft w:val="0"/>
      <w:marRight w:val="0"/>
      <w:marTop w:val="0"/>
      <w:marBottom w:val="0"/>
      <w:divBdr>
        <w:top w:val="none" w:sz="0" w:space="0" w:color="auto"/>
        <w:left w:val="none" w:sz="0" w:space="0" w:color="auto"/>
        <w:bottom w:val="none" w:sz="0" w:space="0" w:color="auto"/>
        <w:right w:val="none" w:sz="0" w:space="0" w:color="auto"/>
      </w:divBdr>
    </w:div>
    <w:div w:id="1707677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eanidpp.org" TargetMode="External"/><Relationship Id="rId13" Type="http://schemas.openxmlformats.org/officeDocument/2006/relationships/hyperlink" Target="http://www.nippon-foundation.or.jp/eng/index.html" TargetMode="External"/><Relationship Id="rId18" Type="http://schemas.openxmlformats.org/officeDocument/2006/relationships/hyperlink" Target="http://cotelco.ne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aseanidpp.org/fellowships" TargetMode="External"/><Relationship Id="rId17" Type="http://schemas.openxmlformats.org/officeDocument/2006/relationships/hyperlink" Target="http://www.american.edu/sis/faculty/dcogburn.cfm"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aseanidpp.org/universal-design-for-learning" TargetMode="External"/><Relationship Id="rId20" Type="http://schemas.openxmlformats.org/officeDocument/2006/relationships/hyperlink" Target="http://aseanidpp.org/"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merican.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aseanidpp.org/curriculum" TargetMode="External"/><Relationship Id="rId23" Type="http://schemas.openxmlformats.org/officeDocument/2006/relationships/image" Target="media/image4.jpeg"/><Relationship Id="rId28" Type="http://schemas.openxmlformats.org/officeDocument/2006/relationships/header" Target="header3.xml"/><Relationship Id="rId10" Type="http://schemas.openxmlformats.org/officeDocument/2006/relationships/hyperlink" Target="http://www.american.edu/sis" TargetMode="External"/><Relationship Id="rId19" Type="http://schemas.openxmlformats.org/officeDocument/2006/relationships/hyperlink" Target="http://aseanidpp.org/partner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seanidpp.org/masters-program" TargetMode="External"/><Relationship Id="rId14" Type="http://schemas.openxmlformats.org/officeDocument/2006/relationships/hyperlink" Target="http://aseanidpp.org/cyberinfrastructure" TargetMode="Externa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cp:lastPrinted>2012-01-11T12:57:00Z</cp:lastPrinted>
  <dcterms:created xsi:type="dcterms:W3CDTF">2012-05-08T13:13:00Z</dcterms:created>
  <dcterms:modified xsi:type="dcterms:W3CDTF">2012-05-08T13:36:00Z</dcterms:modified>
</cp:coreProperties>
</file>