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D1C0D" w:rsidRPr="007C18AB" w:rsidTr="006B4D59">
        <w:trPr>
          <w:cantSplit/>
        </w:trPr>
        <w:tc>
          <w:tcPr>
            <w:tcW w:w="4857" w:type="dxa"/>
            <w:gridSpan w:val="2"/>
          </w:tcPr>
          <w:p w:rsidR="007D1C0D" w:rsidRPr="007D1C0D" w:rsidRDefault="007D1C0D" w:rsidP="006B4D59">
            <w:pPr>
              <w:rPr>
                <w:rFonts w:ascii="Times New Roman" w:hAnsi="Times New Roman" w:cs="Times New Roman"/>
                <w:b/>
                <w:bCs/>
                <w:sz w:val="26"/>
              </w:rPr>
            </w:pPr>
            <w:bookmarkStart w:id="0" w:name="InsertLogo"/>
            <w:bookmarkEnd w:id="0"/>
            <w:r w:rsidRPr="007D1C0D">
              <w:rPr>
                <w:rFonts w:ascii="Times New Roman" w:hAnsi="Times New Roman" w:cs="Times New Roman"/>
                <w:sz w:val="20"/>
              </w:rPr>
              <w:t>INTERNATIONAL TELECOMMUNICATION UNION</w:t>
            </w:r>
            <w:r w:rsidRPr="007D1C0D">
              <w:rPr>
                <w:rFonts w:ascii="Times New Roman" w:hAnsi="Times New Roman" w:cs="Times New Roman"/>
                <w:sz w:val="20"/>
              </w:rPr>
              <w:br/>
            </w:r>
            <w:r w:rsidRPr="007D1C0D">
              <w:rPr>
                <w:rFonts w:ascii="Times New Roman" w:hAnsi="Times New Roman" w:cs="Times New Roman"/>
                <w:b/>
                <w:bCs/>
                <w:sz w:val="26"/>
              </w:rPr>
              <w:t>TELECOMMUNICATION</w:t>
            </w:r>
            <w:r w:rsidRPr="007D1C0D">
              <w:rPr>
                <w:rFonts w:ascii="Times New Roman" w:hAnsi="Times New Roman" w:cs="Times New Roman"/>
                <w:b/>
                <w:bCs/>
                <w:sz w:val="26"/>
              </w:rPr>
              <w:br/>
              <w:t>STANDARDIZATION SECTOR</w:t>
            </w:r>
          </w:p>
          <w:p w:rsidR="007D1C0D" w:rsidRPr="007D1C0D" w:rsidRDefault="007D1C0D" w:rsidP="006B4D59">
            <w:pPr>
              <w:rPr>
                <w:rFonts w:ascii="Times New Roman" w:hAnsi="Times New Roman" w:cs="Times New Roman"/>
                <w:sz w:val="20"/>
              </w:rPr>
            </w:pPr>
            <w:r w:rsidRPr="007D1C0D">
              <w:rPr>
                <w:rFonts w:ascii="Times New Roman" w:hAnsi="Times New Roman" w:cs="Times New Roman"/>
                <w:sz w:val="20"/>
              </w:rPr>
              <w:t>STUDY PERIOD 2009-2012</w:t>
            </w:r>
          </w:p>
        </w:tc>
        <w:tc>
          <w:tcPr>
            <w:tcW w:w="5066" w:type="dxa"/>
          </w:tcPr>
          <w:p w:rsidR="007D1C0D" w:rsidRPr="007D1C0D" w:rsidRDefault="007D1C0D" w:rsidP="006B4D59">
            <w:pPr>
              <w:jc w:val="right"/>
              <w:rPr>
                <w:rFonts w:ascii="Times New Roman" w:hAnsi="Times New Roman" w:cs="Times New Roman"/>
                <w:b/>
                <w:bCs/>
                <w:smallCaps/>
                <w:sz w:val="32"/>
              </w:rPr>
            </w:pPr>
            <w:r w:rsidRPr="007D1C0D">
              <w:rPr>
                <w:rFonts w:ascii="Times New Roman" w:hAnsi="Times New Roman" w:cs="Times New Roman"/>
                <w:b/>
                <w:bCs/>
                <w:smallCaps/>
                <w:sz w:val="32"/>
              </w:rPr>
              <w:t xml:space="preserve">Joint Coordination Activity on Accessibility </w:t>
            </w:r>
            <w:smartTag w:uri="urn:schemas-microsoft-com:office:smarttags" w:element="stockticker">
              <w:r w:rsidRPr="007D1C0D">
                <w:rPr>
                  <w:rFonts w:ascii="Times New Roman" w:hAnsi="Times New Roman" w:cs="Times New Roman"/>
                  <w:b/>
                  <w:bCs/>
                  <w:smallCaps/>
                  <w:sz w:val="32"/>
                </w:rPr>
                <w:t>and</w:t>
              </w:r>
            </w:smartTag>
            <w:r w:rsidRPr="007D1C0D">
              <w:rPr>
                <w:rFonts w:ascii="Times New Roman" w:hAnsi="Times New Roman" w:cs="Times New Roman"/>
                <w:b/>
                <w:bCs/>
                <w:smallCaps/>
                <w:sz w:val="32"/>
              </w:rPr>
              <w:t xml:space="preserve"> human Factors (JCA-AHF)</w:t>
            </w:r>
          </w:p>
        </w:tc>
      </w:tr>
      <w:tr w:rsidR="007D1C0D" w:rsidRPr="007C18AB" w:rsidTr="006B4D59">
        <w:trPr>
          <w:cantSplit/>
          <w:trHeight w:val="461"/>
        </w:trPr>
        <w:tc>
          <w:tcPr>
            <w:tcW w:w="4857" w:type="dxa"/>
            <w:gridSpan w:val="2"/>
            <w:vMerge w:val="restart"/>
            <w:tcBorders>
              <w:bottom w:val="nil"/>
            </w:tcBorders>
          </w:tcPr>
          <w:p w:rsidR="007D1C0D" w:rsidRPr="007D1C0D" w:rsidRDefault="007D1C0D" w:rsidP="006B4D59">
            <w:pPr>
              <w:rPr>
                <w:rFonts w:ascii="Times New Roman" w:hAnsi="Times New Roman" w:cs="Times New Roman"/>
                <w:smallCaps/>
                <w:sz w:val="20"/>
              </w:rPr>
            </w:pPr>
          </w:p>
        </w:tc>
        <w:tc>
          <w:tcPr>
            <w:tcW w:w="5066" w:type="dxa"/>
            <w:tcBorders>
              <w:bottom w:val="nil"/>
            </w:tcBorders>
          </w:tcPr>
          <w:p w:rsidR="007D1C0D" w:rsidRPr="007D1C0D" w:rsidRDefault="007D1C0D" w:rsidP="009230EE">
            <w:pPr>
              <w:jc w:val="right"/>
              <w:rPr>
                <w:rFonts w:ascii="Times New Roman" w:hAnsi="Times New Roman" w:cs="Times New Roman"/>
                <w:b/>
                <w:bCs/>
                <w:sz w:val="40"/>
              </w:rPr>
            </w:pPr>
            <w:r w:rsidRPr="007D1C0D">
              <w:rPr>
                <w:rFonts w:ascii="Times New Roman" w:hAnsi="Times New Roman" w:cs="Times New Roman"/>
                <w:b/>
                <w:bCs/>
                <w:sz w:val="40"/>
              </w:rPr>
              <w:t>Doc. 1</w:t>
            </w:r>
            <w:r w:rsidR="009230EE">
              <w:rPr>
                <w:rFonts w:ascii="Times New Roman" w:hAnsi="Times New Roman" w:cs="Times New Roman"/>
                <w:b/>
                <w:bCs/>
                <w:sz w:val="40"/>
              </w:rPr>
              <w:t>90</w:t>
            </w:r>
          </w:p>
        </w:tc>
      </w:tr>
      <w:tr w:rsidR="007D1C0D" w:rsidRPr="007C18AB" w:rsidTr="006B4D59">
        <w:trPr>
          <w:cantSplit/>
          <w:trHeight w:val="355"/>
        </w:trPr>
        <w:tc>
          <w:tcPr>
            <w:tcW w:w="4857" w:type="dxa"/>
            <w:gridSpan w:val="2"/>
            <w:vMerge/>
            <w:tcBorders>
              <w:bottom w:val="single" w:sz="12" w:space="0" w:color="auto"/>
            </w:tcBorders>
          </w:tcPr>
          <w:p w:rsidR="007D1C0D" w:rsidRPr="007D1C0D" w:rsidRDefault="007D1C0D" w:rsidP="006B4D59">
            <w:pPr>
              <w:rPr>
                <w:rFonts w:ascii="Times New Roman" w:hAnsi="Times New Roman" w:cs="Times New Roman"/>
                <w:b/>
                <w:bCs/>
                <w:sz w:val="26"/>
              </w:rPr>
            </w:pPr>
          </w:p>
        </w:tc>
        <w:tc>
          <w:tcPr>
            <w:tcW w:w="5066" w:type="dxa"/>
            <w:tcBorders>
              <w:bottom w:val="single" w:sz="12" w:space="0" w:color="auto"/>
            </w:tcBorders>
          </w:tcPr>
          <w:p w:rsidR="007D1C0D" w:rsidRPr="007D1C0D" w:rsidRDefault="007D1C0D" w:rsidP="006B4D59">
            <w:pPr>
              <w:jc w:val="right"/>
              <w:rPr>
                <w:rFonts w:ascii="Times New Roman" w:hAnsi="Times New Roman" w:cs="Times New Roman"/>
                <w:b/>
                <w:bCs/>
                <w:sz w:val="28"/>
              </w:rPr>
            </w:pPr>
            <w:r w:rsidRPr="007D1C0D">
              <w:rPr>
                <w:rFonts w:ascii="Times New Roman" w:hAnsi="Times New Roman" w:cs="Times New Roman"/>
                <w:b/>
                <w:bCs/>
                <w:sz w:val="28"/>
              </w:rPr>
              <w:t>English only</w:t>
            </w:r>
          </w:p>
          <w:p w:rsidR="007D1C0D" w:rsidRPr="007D1C0D" w:rsidRDefault="007D1C0D" w:rsidP="006B4D59">
            <w:pPr>
              <w:jc w:val="right"/>
              <w:rPr>
                <w:rFonts w:ascii="Times New Roman" w:hAnsi="Times New Roman" w:cs="Times New Roman"/>
                <w:b/>
                <w:bCs/>
                <w:sz w:val="28"/>
              </w:rPr>
            </w:pPr>
            <w:r w:rsidRPr="007D1C0D">
              <w:rPr>
                <w:rFonts w:ascii="Times New Roman" w:hAnsi="Times New Roman" w:cs="Times New Roman"/>
                <w:b/>
                <w:bCs/>
                <w:sz w:val="28"/>
              </w:rPr>
              <w:t>Original: English</w:t>
            </w:r>
          </w:p>
        </w:tc>
      </w:tr>
      <w:tr w:rsidR="007D1C0D" w:rsidRPr="0075050E" w:rsidTr="006B4D59">
        <w:trPr>
          <w:cantSplit/>
          <w:trHeight w:val="357"/>
        </w:trPr>
        <w:tc>
          <w:tcPr>
            <w:tcW w:w="1617" w:type="dxa"/>
          </w:tcPr>
          <w:p w:rsidR="007D1C0D" w:rsidRPr="007D1C0D" w:rsidRDefault="007D1C0D" w:rsidP="006B4D59">
            <w:pPr>
              <w:rPr>
                <w:rFonts w:ascii="Times New Roman" w:hAnsi="Times New Roman" w:cs="Times New Roman"/>
                <w:b/>
                <w:bCs/>
                <w:sz w:val="24"/>
                <w:szCs w:val="24"/>
              </w:rPr>
            </w:pPr>
            <w:r w:rsidRPr="007D1C0D">
              <w:rPr>
                <w:rFonts w:ascii="Times New Roman" w:hAnsi="Times New Roman" w:cs="Times New Roman"/>
                <w:b/>
                <w:bCs/>
                <w:sz w:val="24"/>
                <w:szCs w:val="24"/>
              </w:rPr>
              <w:t>Source:</w:t>
            </w:r>
          </w:p>
        </w:tc>
        <w:tc>
          <w:tcPr>
            <w:tcW w:w="8306" w:type="dxa"/>
            <w:gridSpan w:val="2"/>
          </w:tcPr>
          <w:p w:rsidR="007D1C0D" w:rsidRPr="007D1C0D" w:rsidRDefault="009230EE" w:rsidP="006B4D59">
            <w:pPr>
              <w:rPr>
                <w:rFonts w:ascii="Times New Roman" w:hAnsi="Times New Roman" w:cs="Times New Roman"/>
                <w:sz w:val="24"/>
                <w:szCs w:val="24"/>
              </w:rPr>
            </w:pPr>
            <w:r>
              <w:rPr>
                <w:rFonts w:ascii="Times New Roman" w:hAnsi="Times New Roman" w:cs="Times New Roman"/>
                <w:sz w:val="24"/>
                <w:szCs w:val="24"/>
              </w:rPr>
              <w:t>JCA-AHF Convener</w:t>
            </w:r>
          </w:p>
        </w:tc>
      </w:tr>
      <w:tr w:rsidR="007D1C0D" w:rsidRPr="007D1C0D" w:rsidTr="006B4D59">
        <w:trPr>
          <w:cantSplit/>
          <w:trHeight w:val="357"/>
        </w:trPr>
        <w:tc>
          <w:tcPr>
            <w:tcW w:w="1617" w:type="dxa"/>
            <w:tcBorders>
              <w:bottom w:val="single" w:sz="12" w:space="0" w:color="auto"/>
            </w:tcBorders>
          </w:tcPr>
          <w:p w:rsidR="007D1C0D" w:rsidRPr="007D1C0D" w:rsidRDefault="007D1C0D" w:rsidP="006B4D59">
            <w:pPr>
              <w:spacing w:after="120"/>
              <w:rPr>
                <w:rFonts w:ascii="Times New Roman" w:hAnsi="Times New Roman" w:cs="Times New Roman"/>
                <w:sz w:val="24"/>
                <w:szCs w:val="24"/>
              </w:rPr>
            </w:pPr>
            <w:r w:rsidRPr="007D1C0D">
              <w:rPr>
                <w:rFonts w:ascii="Times New Roman" w:hAnsi="Times New Roman" w:cs="Times New Roman"/>
                <w:b/>
                <w:bCs/>
                <w:sz w:val="24"/>
                <w:szCs w:val="24"/>
              </w:rPr>
              <w:t>Title:</w:t>
            </w:r>
          </w:p>
        </w:tc>
        <w:tc>
          <w:tcPr>
            <w:tcW w:w="8306" w:type="dxa"/>
            <w:gridSpan w:val="2"/>
            <w:tcBorders>
              <w:bottom w:val="single" w:sz="12" w:space="0" w:color="auto"/>
            </w:tcBorders>
          </w:tcPr>
          <w:p w:rsidR="007D1C0D" w:rsidRPr="007D1C0D" w:rsidRDefault="009230EE" w:rsidP="006B4D59">
            <w:pPr>
              <w:spacing w:after="120"/>
              <w:rPr>
                <w:rFonts w:ascii="Times New Roman" w:hAnsi="Times New Roman" w:cs="Times New Roman"/>
                <w:sz w:val="24"/>
                <w:szCs w:val="24"/>
              </w:rPr>
            </w:pPr>
            <w:r>
              <w:rPr>
                <w:rFonts w:ascii="Times New Roman" w:hAnsi="Times New Roman" w:cs="Times New Roman"/>
                <w:sz w:val="24"/>
                <w:szCs w:val="24"/>
              </w:rPr>
              <w:t>Article on “</w:t>
            </w:r>
            <w:r w:rsidRPr="009230EE">
              <w:rPr>
                <w:rFonts w:ascii="Times New Roman" w:hAnsi="Times New Roman" w:cs="Times New Roman"/>
                <w:sz w:val="24"/>
                <w:szCs w:val="24"/>
              </w:rPr>
              <w:t>Video Relay Service Practices and Policies around the World</w:t>
            </w:r>
            <w:r>
              <w:rPr>
                <w:rFonts w:ascii="Times New Roman" w:hAnsi="Times New Roman" w:cs="Times New Roman"/>
                <w:sz w:val="24"/>
                <w:szCs w:val="24"/>
              </w:rPr>
              <w:t>”</w:t>
            </w:r>
          </w:p>
        </w:tc>
      </w:tr>
    </w:tbl>
    <w:p w:rsidR="007D1C0D" w:rsidRDefault="007D1C0D" w:rsidP="007D1C0D">
      <w:pPr>
        <w:rPr>
          <w:rFonts w:ascii="Times New Roman" w:hAnsi="Times New Roman" w:cs="Times New Roman"/>
        </w:rPr>
      </w:pPr>
    </w:p>
    <w:p w:rsidR="009230EE" w:rsidRPr="009230EE" w:rsidRDefault="009230EE" w:rsidP="009230EE">
      <w:pPr>
        <w:pStyle w:val="PlainText"/>
        <w:rPr>
          <w:rFonts w:asciiTheme="majorBidi" w:hAnsiTheme="majorBidi" w:cstheme="majorBidi"/>
        </w:rPr>
      </w:pPr>
      <w:proofErr w:type="gramStart"/>
      <w:r w:rsidRPr="009230EE">
        <w:rPr>
          <w:rFonts w:asciiTheme="majorBidi" w:hAnsiTheme="majorBidi" w:cstheme="majorBidi"/>
        </w:rPr>
        <w:t xml:space="preserve">The article </w:t>
      </w:r>
      <w:r w:rsidRPr="009230EE">
        <w:rPr>
          <w:rFonts w:asciiTheme="majorBidi" w:hAnsiTheme="majorBidi" w:cstheme="majorBidi"/>
          <w:i/>
          <w:iCs/>
        </w:rPr>
        <w:t>Video Relay Service Practices and Policies around the World</w:t>
      </w:r>
      <w:r w:rsidRPr="009230EE">
        <w:rPr>
          <w:rFonts w:asciiTheme="majorBidi" w:hAnsiTheme="majorBidi" w:cstheme="majorBidi"/>
        </w:rPr>
        <w:t>.</w:t>
      </w:r>
      <w:proofErr w:type="gramEnd"/>
      <w:r w:rsidRPr="009230EE">
        <w:rPr>
          <w:rFonts w:asciiTheme="majorBidi" w:hAnsiTheme="majorBidi" w:cstheme="majorBidi"/>
        </w:rPr>
        <w:t xml:space="preserve"> Proceedings of the International AEGIS Conference, November 28-30, 2011, (pp. 216-223.) has been brought to the attention of the JCA-AHF Convener</w:t>
      </w:r>
      <w:r>
        <w:rPr>
          <w:rFonts w:asciiTheme="majorBidi" w:hAnsiTheme="majorBidi" w:cstheme="majorBidi"/>
        </w:rPr>
        <w:t>.</w:t>
      </w:r>
    </w:p>
    <w:p w:rsidR="009230EE" w:rsidRPr="009230EE" w:rsidRDefault="009230EE" w:rsidP="009230EE">
      <w:pPr>
        <w:pStyle w:val="PlainText"/>
        <w:rPr>
          <w:rFonts w:asciiTheme="majorBidi" w:hAnsiTheme="majorBidi" w:cstheme="majorBidi"/>
        </w:rPr>
      </w:pPr>
    </w:p>
    <w:p w:rsidR="009230EE" w:rsidRPr="009230EE" w:rsidRDefault="009230EE" w:rsidP="009230EE">
      <w:pPr>
        <w:pStyle w:val="PlainText"/>
        <w:rPr>
          <w:rFonts w:asciiTheme="majorBidi" w:hAnsiTheme="majorBidi" w:cstheme="majorBidi"/>
        </w:rPr>
      </w:pPr>
      <w:r w:rsidRPr="009230EE">
        <w:rPr>
          <w:rFonts w:asciiTheme="majorBidi" w:hAnsiTheme="majorBidi" w:cstheme="majorBidi"/>
        </w:rPr>
        <w:t xml:space="preserve">The authors are: Vogler, J. McWhinney, P. Harper, A. </w:t>
      </w:r>
      <w:proofErr w:type="spellStart"/>
      <w:r w:rsidRPr="009230EE">
        <w:rPr>
          <w:rFonts w:asciiTheme="majorBidi" w:hAnsiTheme="majorBidi" w:cstheme="majorBidi"/>
        </w:rPr>
        <w:t>Raike</w:t>
      </w:r>
      <w:proofErr w:type="spellEnd"/>
      <w:r w:rsidRPr="009230EE">
        <w:rPr>
          <w:rFonts w:asciiTheme="majorBidi" w:hAnsiTheme="majorBidi" w:cstheme="majorBidi"/>
        </w:rPr>
        <w:t xml:space="preserve">, G. Hellstrom, </w:t>
      </w:r>
      <w:proofErr w:type="gramStart"/>
      <w:r w:rsidRPr="009230EE">
        <w:rPr>
          <w:rFonts w:asciiTheme="majorBidi" w:hAnsiTheme="majorBidi" w:cstheme="majorBidi"/>
        </w:rPr>
        <w:t>G</w:t>
      </w:r>
      <w:proofErr w:type="gramEnd"/>
      <w:r w:rsidRPr="009230EE">
        <w:rPr>
          <w:rFonts w:asciiTheme="majorBidi" w:hAnsiTheme="majorBidi" w:cstheme="majorBidi"/>
        </w:rPr>
        <w:t xml:space="preserve">. Vanderheiden. </w:t>
      </w:r>
    </w:p>
    <w:p w:rsidR="009230EE" w:rsidRPr="009230EE" w:rsidRDefault="009230EE" w:rsidP="009230EE">
      <w:pPr>
        <w:pStyle w:val="PlainText"/>
        <w:rPr>
          <w:rFonts w:asciiTheme="majorBidi" w:hAnsiTheme="majorBidi" w:cstheme="majorBidi"/>
        </w:rPr>
      </w:pPr>
      <w:r w:rsidRPr="009230EE">
        <w:rPr>
          <w:rFonts w:asciiTheme="majorBidi" w:hAnsiTheme="majorBidi" w:cstheme="majorBidi"/>
        </w:rPr>
        <w:t xml:space="preserve">The article can be found online at: </w:t>
      </w:r>
    </w:p>
    <w:p w:rsidR="009230EE" w:rsidRPr="009230EE" w:rsidRDefault="00CD27C9" w:rsidP="009230EE">
      <w:pPr>
        <w:pStyle w:val="PlainText"/>
        <w:rPr>
          <w:rFonts w:asciiTheme="majorBidi" w:hAnsiTheme="majorBidi" w:cstheme="majorBidi"/>
        </w:rPr>
      </w:pPr>
      <w:hyperlink r:id="rId7" w:history="1">
        <w:r w:rsidR="009230EE" w:rsidRPr="009230EE">
          <w:rPr>
            <w:rStyle w:val="Hyperlink"/>
            <w:rFonts w:asciiTheme="majorBidi" w:hAnsiTheme="majorBidi" w:cstheme="majorBidi"/>
          </w:rPr>
          <w:t>http://www.epr.eu/aegis/wp-content/uploads/2011/12/AEGIS_Conference_proceedings-final.pdf</w:t>
        </w:r>
      </w:hyperlink>
      <w:r w:rsidR="009230EE" w:rsidRPr="009230EE">
        <w:rPr>
          <w:rFonts w:asciiTheme="majorBidi" w:hAnsiTheme="majorBidi" w:cstheme="majorBidi"/>
        </w:rPr>
        <w:t xml:space="preserve"> </w:t>
      </w:r>
    </w:p>
    <w:p w:rsidR="009230EE" w:rsidRPr="009230EE" w:rsidRDefault="009230EE" w:rsidP="009230EE">
      <w:pPr>
        <w:pStyle w:val="PlainText"/>
        <w:rPr>
          <w:rFonts w:asciiTheme="majorBidi" w:hAnsiTheme="majorBidi" w:cstheme="majorBidi"/>
        </w:rPr>
      </w:pPr>
    </w:p>
    <w:sectPr w:rsidR="009230EE" w:rsidRPr="009230EE" w:rsidSect="00304D1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70" w:rsidRDefault="00BB2470" w:rsidP="00304D1C">
      <w:pPr>
        <w:spacing w:after="0" w:line="240" w:lineRule="auto"/>
      </w:pPr>
      <w:r>
        <w:separator/>
      </w:r>
    </w:p>
  </w:endnote>
  <w:endnote w:type="continuationSeparator" w:id="0">
    <w:p w:rsidR="00BB2470" w:rsidRDefault="00BB2470" w:rsidP="0030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C9" w:rsidRDefault="00CD2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C9" w:rsidRDefault="00CD2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9230EE" w:rsidRPr="009230EE" w:rsidTr="00C03142">
      <w:trPr>
        <w:gridAfter w:val="1"/>
        <w:wAfter w:w="29" w:type="dxa"/>
        <w:cantSplit/>
        <w:trHeight w:val="204"/>
        <w:jc w:val="center"/>
      </w:trPr>
      <w:tc>
        <w:tcPr>
          <w:tcW w:w="1252" w:type="dxa"/>
          <w:tcBorders>
            <w:top w:val="single" w:sz="12" w:space="0" w:color="auto"/>
          </w:tcBorders>
        </w:tcPr>
        <w:p w:rsidR="009230EE" w:rsidRPr="009230EE" w:rsidRDefault="009230EE" w:rsidP="00C03142">
          <w:pPr>
            <w:rPr>
              <w:rFonts w:asciiTheme="majorBidi" w:hAnsiTheme="majorBidi" w:cstheme="majorBidi"/>
              <w:b/>
              <w:bCs/>
              <w:sz w:val="20"/>
              <w:szCs w:val="20"/>
            </w:rPr>
          </w:pPr>
          <w:r w:rsidRPr="009230EE">
            <w:rPr>
              <w:rFonts w:asciiTheme="majorBidi" w:hAnsiTheme="majorBidi" w:cstheme="majorBidi"/>
              <w:b/>
              <w:bCs/>
              <w:sz w:val="20"/>
              <w:szCs w:val="20"/>
            </w:rPr>
            <w:t>Contact:</w:t>
          </w:r>
        </w:p>
      </w:tc>
      <w:tc>
        <w:tcPr>
          <w:tcW w:w="4282" w:type="dxa"/>
          <w:tcBorders>
            <w:top w:val="single" w:sz="12" w:space="0" w:color="auto"/>
          </w:tcBorders>
        </w:tcPr>
        <w:p w:rsidR="009230EE" w:rsidRPr="009230EE" w:rsidRDefault="009230EE" w:rsidP="009230EE">
          <w:pPr>
            <w:rPr>
              <w:rFonts w:asciiTheme="majorBidi" w:hAnsiTheme="majorBidi" w:cstheme="majorBidi"/>
              <w:sz w:val="20"/>
              <w:szCs w:val="20"/>
              <w:lang w:eastAsia="ja-JP"/>
            </w:rPr>
          </w:pPr>
          <w:r>
            <w:rPr>
              <w:rFonts w:asciiTheme="majorBidi" w:hAnsiTheme="majorBidi" w:cstheme="majorBidi"/>
              <w:sz w:val="20"/>
              <w:szCs w:val="20"/>
              <w:lang w:eastAsia="ja-JP"/>
            </w:rPr>
            <w:t>Andrea J. Saks</w:t>
          </w:r>
          <w:r>
            <w:rPr>
              <w:rFonts w:asciiTheme="majorBidi" w:hAnsiTheme="majorBidi" w:cstheme="majorBidi"/>
              <w:sz w:val="20"/>
              <w:szCs w:val="20"/>
              <w:lang w:eastAsia="ja-JP"/>
            </w:rPr>
            <w:br/>
          </w:r>
          <w:r w:rsidRPr="009230EE">
            <w:rPr>
              <w:rFonts w:asciiTheme="majorBidi" w:hAnsiTheme="majorBidi" w:cstheme="majorBidi"/>
              <w:sz w:val="20"/>
              <w:szCs w:val="20"/>
              <w:lang w:eastAsia="ja-JP"/>
            </w:rPr>
            <w:t>JCA-AHF Convener</w:t>
          </w:r>
        </w:p>
      </w:tc>
      <w:tc>
        <w:tcPr>
          <w:tcW w:w="4018" w:type="dxa"/>
          <w:tcBorders>
            <w:top w:val="single" w:sz="12" w:space="0" w:color="auto"/>
          </w:tcBorders>
        </w:tcPr>
        <w:p w:rsidR="009230EE" w:rsidRPr="009230EE" w:rsidRDefault="009230EE" w:rsidP="00CD27C9">
          <w:pPr>
            <w:rPr>
              <w:rFonts w:asciiTheme="majorBidi" w:hAnsiTheme="majorBidi" w:cstheme="majorBidi"/>
              <w:sz w:val="20"/>
              <w:szCs w:val="20"/>
              <w:lang w:eastAsia="ko-KR"/>
            </w:rPr>
          </w:pPr>
          <w:r w:rsidRPr="009230EE">
            <w:rPr>
              <w:rFonts w:asciiTheme="majorBidi" w:hAnsiTheme="majorBidi" w:cstheme="majorBidi"/>
              <w:sz w:val="20"/>
              <w:szCs w:val="20"/>
              <w:lang w:eastAsia="ja-JP"/>
            </w:rPr>
            <w:t xml:space="preserve">Email: </w:t>
          </w:r>
          <w:r w:rsidR="00CD27C9">
            <w:rPr>
              <w:rFonts w:ascii="Times New Roman" w:hAnsi="Times New Roman" w:cs="Times New Roman"/>
              <w:sz w:val="20"/>
              <w:szCs w:val="20"/>
              <w:lang w:eastAsia="ja-JP"/>
            </w:rPr>
            <w:t>andrea.saks@ties.itu.int</w:t>
          </w:r>
          <w:bookmarkStart w:id="1" w:name="_GoBack"/>
          <w:bookmarkEnd w:id="1"/>
        </w:p>
      </w:tc>
    </w:tr>
    <w:tr w:rsidR="009230EE" w:rsidRPr="009230EE" w:rsidTr="00C03142">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9230EE" w:rsidRPr="009230EE" w:rsidRDefault="009230EE" w:rsidP="00C03142">
          <w:pPr>
            <w:rPr>
              <w:rFonts w:asciiTheme="majorBidi" w:hAnsiTheme="majorBidi" w:cstheme="majorBidi"/>
              <w:sz w:val="18"/>
              <w:szCs w:val="18"/>
            </w:rPr>
          </w:pPr>
          <w:r w:rsidRPr="009230EE">
            <w:rPr>
              <w:rFonts w:asciiTheme="majorBidi" w:hAnsiTheme="majorBidi" w:cstheme="majorBidi"/>
              <w:b/>
              <w:bCs/>
              <w:sz w:val="18"/>
              <w:szCs w:val="18"/>
            </w:rPr>
            <w:t>Attention:</w:t>
          </w:r>
          <w:r w:rsidRPr="009230EE">
            <w:rPr>
              <w:rFonts w:asciiTheme="majorBidi" w:hAnsiTheme="majorBidi" w:cstheme="majorBidi"/>
              <w:sz w:val="18"/>
              <w:szCs w:val="18"/>
            </w:rPr>
            <w:t xml:space="preserve"> This is not a publication made available to the public, but </w:t>
          </w:r>
          <w:r w:rsidRPr="009230EE">
            <w:rPr>
              <w:rFonts w:asciiTheme="majorBidi" w:hAnsiTheme="majorBidi" w:cstheme="majorBidi"/>
              <w:b/>
              <w:bCs/>
              <w:sz w:val="18"/>
              <w:szCs w:val="18"/>
            </w:rPr>
            <w:t>an internal ITU-T Document</w:t>
          </w:r>
          <w:r w:rsidRPr="009230EE">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230EE" w:rsidRPr="009230EE" w:rsidRDefault="009230EE" w:rsidP="009230EE">
    <w:pPr>
      <w:pStyle w:val="Footer"/>
      <w:rPr>
        <w:rFonts w:asciiTheme="majorBidi" w:hAnsiTheme="majorBidi" w:cstheme="maj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70" w:rsidRDefault="00BB2470" w:rsidP="00304D1C">
      <w:pPr>
        <w:spacing w:after="0" w:line="240" w:lineRule="auto"/>
      </w:pPr>
      <w:r>
        <w:separator/>
      </w:r>
    </w:p>
  </w:footnote>
  <w:footnote w:type="continuationSeparator" w:id="0">
    <w:p w:rsidR="00BB2470" w:rsidRDefault="00BB2470" w:rsidP="0030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C9" w:rsidRDefault="00CD2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2" w:rsidRDefault="00880144" w:rsidP="001C7E85">
    <w:pPr>
      <w:pStyle w:val="Header"/>
      <w:jc w:val="center"/>
    </w:pPr>
    <w:r>
      <w:fldChar w:fldCharType="begin"/>
    </w:r>
    <w:r>
      <w:instrText xml:space="preserve"> PAGE   \* MERGEFORMAT </w:instrText>
    </w:r>
    <w:r>
      <w:fldChar w:fldCharType="separate"/>
    </w:r>
    <w:r w:rsidR="009230EE">
      <w:rPr>
        <w:noProof/>
      </w:rPr>
      <w:t>2</w:t>
    </w:r>
    <w:r>
      <w:rPr>
        <w:noProof/>
      </w:rPr>
      <w:fldChar w:fldCharType="end"/>
    </w:r>
  </w:p>
  <w:p w:rsidR="00F66212" w:rsidRDefault="00F66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C9" w:rsidRDefault="00CD2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FD5"/>
    <w:rsid w:val="0001557B"/>
    <w:rsid w:val="00043120"/>
    <w:rsid w:val="00072160"/>
    <w:rsid w:val="000E0DFC"/>
    <w:rsid w:val="00114D5A"/>
    <w:rsid w:val="001255EB"/>
    <w:rsid w:val="0016561A"/>
    <w:rsid w:val="001A33F2"/>
    <w:rsid w:val="001C7E85"/>
    <w:rsid w:val="00227799"/>
    <w:rsid w:val="00304D1C"/>
    <w:rsid w:val="00350FD5"/>
    <w:rsid w:val="00430FA2"/>
    <w:rsid w:val="004B450B"/>
    <w:rsid w:val="004D726D"/>
    <w:rsid w:val="004E2521"/>
    <w:rsid w:val="004E4EAE"/>
    <w:rsid w:val="00541BB1"/>
    <w:rsid w:val="00550601"/>
    <w:rsid w:val="0059234E"/>
    <w:rsid w:val="006803E9"/>
    <w:rsid w:val="00693806"/>
    <w:rsid w:val="006A60E9"/>
    <w:rsid w:val="006C0C30"/>
    <w:rsid w:val="006C3667"/>
    <w:rsid w:val="006D3147"/>
    <w:rsid w:val="006F175E"/>
    <w:rsid w:val="006F7D25"/>
    <w:rsid w:val="00736163"/>
    <w:rsid w:val="007726C6"/>
    <w:rsid w:val="007D1C0D"/>
    <w:rsid w:val="007F6165"/>
    <w:rsid w:val="00807E79"/>
    <w:rsid w:val="00877578"/>
    <w:rsid w:val="00880144"/>
    <w:rsid w:val="00885652"/>
    <w:rsid w:val="009230EE"/>
    <w:rsid w:val="009A5637"/>
    <w:rsid w:val="009D3C2E"/>
    <w:rsid w:val="00A2038B"/>
    <w:rsid w:val="00A91D72"/>
    <w:rsid w:val="00A94EC6"/>
    <w:rsid w:val="00AA75EB"/>
    <w:rsid w:val="00AF4359"/>
    <w:rsid w:val="00BB2470"/>
    <w:rsid w:val="00C15FFC"/>
    <w:rsid w:val="00C45CB8"/>
    <w:rsid w:val="00C5696C"/>
    <w:rsid w:val="00CB3B05"/>
    <w:rsid w:val="00CD27C9"/>
    <w:rsid w:val="00CE0CD7"/>
    <w:rsid w:val="00CE2881"/>
    <w:rsid w:val="00DF3ED4"/>
    <w:rsid w:val="00E14A4A"/>
    <w:rsid w:val="00E9576A"/>
    <w:rsid w:val="00EA2764"/>
    <w:rsid w:val="00EC1BF3"/>
    <w:rsid w:val="00EE4BB0"/>
    <w:rsid w:val="00EF1B02"/>
    <w:rsid w:val="00EF2EB7"/>
    <w:rsid w:val="00F024AD"/>
    <w:rsid w:val="00F21136"/>
    <w:rsid w:val="00F56AF6"/>
    <w:rsid w:val="00F66212"/>
    <w:rsid w:val="00F876C4"/>
    <w:rsid w:val="00FB31C0"/>
    <w:rsid w:val="00FD0F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DB"/>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04D1C"/>
    <w:rPr>
      <w:rFonts w:cs="Times New Roman"/>
    </w:rPr>
  </w:style>
  <w:style w:type="paragraph" w:styleId="Footer">
    <w:name w:val="footer"/>
    <w:basedOn w:val="Normal"/>
    <w:link w:val="FooterChar"/>
    <w:uiPriority w:val="99"/>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4D1C"/>
    <w:rPr>
      <w:rFonts w:cs="Times New Roman"/>
    </w:rPr>
  </w:style>
  <w:style w:type="character" w:styleId="Hyperlink">
    <w:name w:val="Hyperlink"/>
    <w:basedOn w:val="DefaultParagraphFont"/>
    <w:uiPriority w:val="99"/>
    <w:rsid w:val="00304D1C"/>
    <w:rPr>
      <w:rFonts w:cs="Times New Roman"/>
      <w:color w:val="0000FF"/>
      <w:u w:val="single"/>
    </w:rPr>
  </w:style>
  <w:style w:type="paragraph" w:customStyle="1" w:styleId="LSDeadline">
    <w:name w:val="LSDeadline"/>
    <w:basedOn w:val="Normal"/>
    <w:uiPriority w:val="99"/>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uiPriority w:val="99"/>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uiPriority w:val="99"/>
    <w:rsid w:val="00304D1C"/>
  </w:style>
  <w:style w:type="paragraph" w:customStyle="1" w:styleId="LSForComment">
    <w:name w:val="LSForComment"/>
    <w:basedOn w:val="LSForAction"/>
    <w:uiPriority w:val="99"/>
    <w:rsid w:val="00304D1C"/>
    <w:rPr>
      <w:rFonts w:eastAsia="SimSun"/>
    </w:rPr>
  </w:style>
  <w:style w:type="paragraph" w:styleId="BalloonText">
    <w:name w:val="Balloon Text"/>
    <w:basedOn w:val="Normal"/>
    <w:link w:val="BalloonTextChar"/>
    <w:uiPriority w:val="99"/>
    <w:semiHidden/>
    <w:rsid w:val="00736163"/>
    <w:rPr>
      <w:rFonts w:ascii="Tahoma" w:hAnsi="Tahoma" w:cs="Tahoma"/>
      <w:sz w:val="16"/>
      <w:szCs w:val="16"/>
    </w:rPr>
  </w:style>
  <w:style w:type="character" w:customStyle="1" w:styleId="BalloonTextChar">
    <w:name w:val="Balloon Text Char"/>
    <w:basedOn w:val="DefaultParagraphFont"/>
    <w:link w:val="BalloonText"/>
    <w:uiPriority w:val="99"/>
    <w:semiHidden/>
    <w:rsid w:val="00B138A2"/>
    <w:rPr>
      <w:rFonts w:ascii="Times New Roman" w:hAnsi="Times New Roman"/>
      <w:sz w:val="0"/>
      <w:szCs w:val="0"/>
      <w:lang w:eastAsia="zh-CN"/>
    </w:rPr>
  </w:style>
  <w:style w:type="paragraph" w:styleId="PlainText">
    <w:name w:val="Plain Text"/>
    <w:basedOn w:val="Normal"/>
    <w:link w:val="PlainTextChar"/>
    <w:uiPriority w:val="99"/>
    <w:semiHidden/>
    <w:unhideWhenUsed/>
    <w:rsid w:val="009230EE"/>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9230EE"/>
    <w:rPr>
      <w:rFonts w:cs="Consolas"/>
      <w:szCs w:val="21"/>
      <w:lang w:eastAsia="zh-CN"/>
    </w:rPr>
  </w:style>
  <w:style w:type="character" w:styleId="FollowedHyperlink">
    <w:name w:val="FollowedHyperlink"/>
    <w:basedOn w:val="DefaultParagraphFont"/>
    <w:uiPriority w:val="99"/>
    <w:semiHidden/>
    <w:unhideWhenUsed/>
    <w:rsid w:val="009230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639">
      <w:bodyDiv w:val="1"/>
      <w:marLeft w:val="0"/>
      <w:marRight w:val="0"/>
      <w:marTop w:val="0"/>
      <w:marBottom w:val="0"/>
      <w:divBdr>
        <w:top w:val="none" w:sz="0" w:space="0" w:color="auto"/>
        <w:left w:val="none" w:sz="0" w:space="0" w:color="auto"/>
        <w:bottom w:val="none" w:sz="0" w:space="0" w:color="auto"/>
        <w:right w:val="none" w:sz="0" w:space="0" w:color="auto"/>
      </w:divBdr>
    </w:div>
    <w:div w:id="1707677533">
      <w:marLeft w:val="0"/>
      <w:marRight w:val="0"/>
      <w:marTop w:val="0"/>
      <w:marBottom w:val="0"/>
      <w:divBdr>
        <w:top w:val="none" w:sz="0" w:space="0" w:color="auto"/>
        <w:left w:val="none" w:sz="0" w:space="0" w:color="auto"/>
        <w:bottom w:val="none" w:sz="0" w:space="0" w:color="auto"/>
        <w:right w:val="none" w:sz="0" w:space="0" w:color="auto"/>
      </w:divBdr>
    </w:div>
    <w:div w:id="1707677534">
      <w:marLeft w:val="0"/>
      <w:marRight w:val="0"/>
      <w:marTop w:val="0"/>
      <w:marBottom w:val="0"/>
      <w:divBdr>
        <w:top w:val="none" w:sz="0" w:space="0" w:color="auto"/>
        <w:left w:val="none" w:sz="0" w:space="0" w:color="auto"/>
        <w:bottom w:val="none" w:sz="0" w:space="0" w:color="auto"/>
        <w:right w:val="none" w:sz="0" w:space="0" w:color="auto"/>
      </w:divBdr>
    </w:div>
    <w:div w:id="1707677535">
      <w:marLeft w:val="0"/>
      <w:marRight w:val="0"/>
      <w:marTop w:val="0"/>
      <w:marBottom w:val="0"/>
      <w:divBdr>
        <w:top w:val="none" w:sz="0" w:space="0" w:color="auto"/>
        <w:left w:val="none" w:sz="0" w:space="0" w:color="auto"/>
        <w:bottom w:val="none" w:sz="0" w:space="0" w:color="auto"/>
        <w:right w:val="none" w:sz="0" w:space="0" w:color="auto"/>
      </w:divBdr>
    </w:div>
    <w:div w:id="1707677536">
      <w:marLeft w:val="0"/>
      <w:marRight w:val="0"/>
      <w:marTop w:val="0"/>
      <w:marBottom w:val="0"/>
      <w:divBdr>
        <w:top w:val="none" w:sz="0" w:space="0" w:color="auto"/>
        <w:left w:val="none" w:sz="0" w:space="0" w:color="auto"/>
        <w:bottom w:val="none" w:sz="0" w:space="0" w:color="auto"/>
        <w:right w:val="none" w:sz="0" w:space="0" w:color="auto"/>
      </w:divBdr>
    </w:div>
    <w:div w:id="1707677537">
      <w:marLeft w:val="0"/>
      <w:marRight w:val="0"/>
      <w:marTop w:val="0"/>
      <w:marBottom w:val="0"/>
      <w:divBdr>
        <w:top w:val="none" w:sz="0" w:space="0" w:color="auto"/>
        <w:left w:val="none" w:sz="0" w:space="0" w:color="auto"/>
        <w:bottom w:val="none" w:sz="0" w:space="0" w:color="auto"/>
        <w:right w:val="none" w:sz="0" w:space="0" w:color="auto"/>
      </w:divBdr>
    </w:div>
    <w:div w:id="1707677538">
      <w:marLeft w:val="0"/>
      <w:marRight w:val="0"/>
      <w:marTop w:val="0"/>
      <w:marBottom w:val="0"/>
      <w:divBdr>
        <w:top w:val="none" w:sz="0" w:space="0" w:color="auto"/>
        <w:left w:val="none" w:sz="0" w:space="0" w:color="auto"/>
        <w:bottom w:val="none" w:sz="0" w:space="0" w:color="auto"/>
        <w:right w:val="none" w:sz="0" w:space="0" w:color="auto"/>
      </w:divBdr>
    </w:div>
    <w:div w:id="1707677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pr.eu/aegis/wp-content/uploads/2011/12/AEGIS_Conference_proceedings-final.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cp:lastPrinted>2012-01-11T12:57:00Z</cp:lastPrinted>
  <dcterms:created xsi:type="dcterms:W3CDTF">2012-05-08T08:58:00Z</dcterms:created>
  <dcterms:modified xsi:type="dcterms:W3CDTF">2012-05-08T13:09:00Z</dcterms:modified>
</cp:coreProperties>
</file>