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C18AB" w:rsidRPr="007C18AB" w:rsidTr="006008C2">
        <w:trPr>
          <w:cantSplit/>
        </w:trPr>
        <w:tc>
          <w:tcPr>
            <w:tcW w:w="4857" w:type="dxa"/>
            <w:gridSpan w:val="2"/>
          </w:tcPr>
          <w:p w:rsidR="007C18AB" w:rsidRPr="007C18AB" w:rsidRDefault="007C18AB" w:rsidP="006008C2">
            <w:pPr>
              <w:rPr>
                <w:rFonts w:asciiTheme="majorBidi" w:hAnsiTheme="majorBidi" w:cstheme="majorBidi"/>
                <w:b/>
                <w:bCs/>
                <w:sz w:val="26"/>
              </w:rPr>
            </w:pPr>
            <w:bookmarkStart w:id="0" w:name="InsertLogo"/>
            <w:bookmarkEnd w:id="0"/>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7C18AB" w:rsidRPr="007C18AB" w:rsidRDefault="007C18AB" w:rsidP="006008C2">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7C18AB" w:rsidRPr="007C18AB" w:rsidRDefault="007C18AB" w:rsidP="006008C2">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7C18AB" w:rsidRPr="007C18AB" w:rsidTr="006008C2">
        <w:trPr>
          <w:cantSplit/>
          <w:trHeight w:val="461"/>
        </w:trPr>
        <w:tc>
          <w:tcPr>
            <w:tcW w:w="4857" w:type="dxa"/>
            <w:gridSpan w:val="2"/>
            <w:vMerge w:val="restart"/>
            <w:tcBorders>
              <w:bottom w:val="nil"/>
            </w:tcBorders>
          </w:tcPr>
          <w:p w:rsidR="007C18AB" w:rsidRPr="007C18AB" w:rsidRDefault="007C18AB" w:rsidP="006008C2">
            <w:pPr>
              <w:rPr>
                <w:rFonts w:asciiTheme="majorBidi" w:hAnsiTheme="majorBidi" w:cstheme="majorBidi"/>
                <w:smallCaps/>
                <w:sz w:val="20"/>
              </w:rPr>
            </w:pPr>
          </w:p>
        </w:tc>
        <w:tc>
          <w:tcPr>
            <w:tcW w:w="5066" w:type="dxa"/>
            <w:tcBorders>
              <w:bottom w:val="nil"/>
            </w:tcBorders>
          </w:tcPr>
          <w:p w:rsidR="007C18AB" w:rsidRPr="007C18AB" w:rsidRDefault="007C18AB" w:rsidP="00A3197F">
            <w:pPr>
              <w:jc w:val="right"/>
              <w:rPr>
                <w:rFonts w:asciiTheme="majorBidi" w:hAnsiTheme="majorBidi" w:cstheme="majorBidi"/>
                <w:b/>
                <w:bCs/>
                <w:sz w:val="40"/>
              </w:rPr>
            </w:pPr>
            <w:r w:rsidRPr="007C18AB">
              <w:rPr>
                <w:rFonts w:asciiTheme="majorBidi" w:hAnsiTheme="majorBidi" w:cstheme="majorBidi"/>
                <w:b/>
                <w:bCs/>
                <w:sz w:val="40"/>
              </w:rPr>
              <w:t>Doc. 16</w:t>
            </w:r>
            <w:r w:rsidR="00A3197F">
              <w:rPr>
                <w:rFonts w:asciiTheme="majorBidi" w:hAnsiTheme="majorBidi" w:cstheme="majorBidi"/>
                <w:b/>
                <w:bCs/>
                <w:sz w:val="40"/>
              </w:rPr>
              <w:t>9</w:t>
            </w:r>
          </w:p>
        </w:tc>
      </w:tr>
      <w:tr w:rsidR="007C18AB" w:rsidRPr="007C18AB" w:rsidTr="006008C2">
        <w:trPr>
          <w:cantSplit/>
          <w:trHeight w:val="355"/>
        </w:trPr>
        <w:tc>
          <w:tcPr>
            <w:tcW w:w="4857" w:type="dxa"/>
            <w:gridSpan w:val="2"/>
            <w:vMerge/>
            <w:tcBorders>
              <w:bottom w:val="single" w:sz="12" w:space="0" w:color="auto"/>
            </w:tcBorders>
          </w:tcPr>
          <w:p w:rsidR="007C18AB" w:rsidRPr="007C18AB" w:rsidRDefault="007C18AB" w:rsidP="006008C2">
            <w:pPr>
              <w:rPr>
                <w:rFonts w:asciiTheme="majorBidi" w:hAnsiTheme="majorBidi" w:cstheme="majorBidi"/>
                <w:b/>
                <w:bCs/>
                <w:sz w:val="26"/>
              </w:rPr>
            </w:pPr>
          </w:p>
        </w:tc>
        <w:tc>
          <w:tcPr>
            <w:tcW w:w="5066" w:type="dxa"/>
            <w:tcBorders>
              <w:bottom w:val="single" w:sz="12" w:space="0" w:color="auto"/>
            </w:tcBorders>
          </w:tcPr>
          <w:p w:rsidR="007C18AB" w:rsidRPr="007C18AB" w:rsidRDefault="007C18AB" w:rsidP="006008C2">
            <w:pPr>
              <w:jc w:val="right"/>
              <w:rPr>
                <w:rFonts w:asciiTheme="majorBidi" w:hAnsiTheme="majorBidi" w:cstheme="majorBidi"/>
                <w:b/>
                <w:bCs/>
                <w:sz w:val="28"/>
              </w:rPr>
            </w:pPr>
            <w:r w:rsidRPr="007C18AB">
              <w:rPr>
                <w:rFonts w:asciiTheme="majorBidi" w:hAnsiTheme="majorBidi" w:cstheme="majorBidi"/>
                <w:b/>
                <w:bCs/>
                <w:sz w:val="28"/>
              </w:rPr>
              <w:t>English only</w:t>
            </w:r>
          </w:p>
          <w:p w:rsidR="007C18AB" w:rsidRPr="007C18AB" w:rsidRDefault="007C18AB" w:rsidP="006008C2">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7C18AB" w:rsidRPr="0075050E" w:rsidTr="006008C2">
        <w:trPr>
          <w:cantSplit/>
          <w:trHeight w:val="357"/>
        </w:trPr>
        <w:tc>
          <w:tcPr>
            <w:tcW w:w="1617" w:type="dxa"/>
          </w:tcPr>
          <w:p w:rsidR="007C18AB" w:rsidRPr="0075050E" w:rsidRDefault="007C18AB" w:rsidP="006008C2">
            <w:pPr>
              <w:rPr>
                <w:rFonts w:asciiTheme="majorBidi" w:hAnsiTheme="majorBidi" w:cstheme="majorBidi"/>
                <w:b/>
                <w:bCs/>
                <w:sz w:val="24"/>
                <w:szCs w:val="24"/>
              </w:rPr>
            </w:pPr>
            <w:r w:rsidRPr="0075050E">
              <w:rPr>
                <w:rFonts w:asciiTheme="majorBidi" w:hAnsiTheme="majorBidi" w:cstheme="majorBidi"/>
                <w:b/>
                <w:bCs/>
                <w:sz w:val="24"/>
                <w:szCs w:val="24"/>
              </w:rPr>
              <w:t>Source:</w:t>
            </w:r>
          </w:p>
        </w:tc>
        <w:tc>
          <w:tcPr>
            <w:tcW w:w="8306" w:type="dxa"/>
            <w:gridSpan w:val="2"/>
          </w:tcPr>
          <w:p w:rsidR="007C18AB" w:rsidRPr="0075050E" w:rsidRDefault="007C18AB" w:rsidP="006008C2">
            <w:pPr>
              <w:rPr>
                <w:rFonts w:asciiTheme="majorBidi" w:hAnsiTheme="majorBidi" w:cstheme="majorBidi"/>
                <w:b/>
                <w:bCs/>
                <w:sz w:val="24"/>
                <w:szCs w:val="24"/>
                <w:lang w:val="fr-CH"/>
              </w:rPr>
            </w:pPr>
            <w:r w:rsidRPr="0075050E">
              <w:rPr>
                <w:rFonts w:asciiTheme="majorBidi" w:hAnsiTheme="majorBidi" w:cstheme="majorBidi"/>
                <w:sz w:val="24"/>
                <w:szCs w:val="24"/>
              </w:rPr>
              <w:t>JCA-AHF</w:t>
            </w:r>
            <w:r w:rsidR="00AC6977" w:rsidRPr="0075050E">
              <w:rPr>
                <w:rFonts w:asciiTheme="majorBidi" w:hAnsiTheme="majorBidi" w:cstheme="majorBidi"/>
                <w:sz w:val="24"/>
                <w:szCs w:val="24"/>
              </w:rPr>
              <w:t xml:space="preserve"> Convener</w:t>
            </w:r>
          </w:p>
        </w:tc>
      </w:tr>
      <w:tr w:rsidR="007C18AB" w:rsidRPr="0075050E" w:rsidTr="006008C2">
        <w:trPr>
          <w:cantSplit/>
          <w:trHeight w:val="357"/>
        </w:trPr>
        <w:tc>
          <w:tcPr>
            <w:tcW w:w="1617" w:type="dxa"/>
            <w:tcBorders>
              <w:bottom w:val="single" w:sz="12" w:space="0" w:color="auto"/>
            </w:tcBorders>
          </w:tcPr>
          <w:p w:rsidR="007C18AB" w:rsidRPr="0075050E" w:rsidRDefault="007C18AB" w:rsidP="006008C2">
            <w:pPr>
              <w:spacing w:after="120"/>
              <w:rPr>
                <w:rFonts w:asciiTheme="majorBidi" w:hAnsiTheme="majorBidi" w:cstheme="majorBidi"/>
                <w:sz w:val="24"/>
                <w:szCs w:val="24"/>
              </w:rPr>
            </w:pPr>
            <w:r w:rsidRPr="0075050E">
              <w:rPr>
                <w:rFonts w:asciiTheme="majorBidi" w:hAnsiTheme="majorBidi" w:cstheme="majorBidi"/>
                <w:b/>
                <w:bCs/>
                <w:sz w:val="24"/>
                <w:szCs w:val="24"/>
              </w:rPr>
              <w:t>Title:</w:t>
            </w:r>
          </w:p>
        </w:tc>
        <w:tc>
          <w:tcPr>
            <w:tcW w:w="8306" w:type="dxa"/>
            <w:gridSpan w:val="2"/>
            <w:tcBorders>
              <w:bottom w:val="single" w:sz="12" w:space="0" w:color="auto"/>
            </w:tcBorders>
          </w:tcPr>
          <w:p w:rsidR="007C18AB" w:rsidRPr="0075050E" w:rsidRDefault="00AC6977" w:rsidP="00A3197F">
            <w:pPr>
              <w:spacing w:after="120"/>
              <w:rPr>
                <w:rFonts w:asciiTheme="majorBidi" w:hAnsiTheme="majorBidi" w:cstheme="majorBidi"/>
                <w:b/>
                <w:bCs/>
                <w:sz w:val="24"/>
                <w:szCs w:val="24"/>
              </w:rPr>
            </w:pPr>
            <w:r w:rsidRPr="0075050E">
              <w:rPr>
                <w:rFonts w:asciiTheme="majorBidi" w:hAnsiTheme="majorBidi" w:cstheme="majorBidi"/>
              </w:rPr>
              <w:t xml:space="preserve">Invitation to the conference </w:t>
            </w:r>
            <w:r w:rsidR="00A3197F" w:rsidRPr="00A3197F">
              <w:rPr>
                <w:rFonts w:asciiTheme="majorBidi" w:hAnsiTheme="majorBidi" w:cstheme="majorBidi"/>
              </w:rPr>
              <w:t>REACH112 Project Final Conference "21st Century Telecommunications Equality and Nex</w:t>
            </w:r>
            <w:r w:rsidR="00A3197F" w:rsidRPr="00A3197F">
              <w:rPr>
                <w:rFonts w:asciiTheme="majorBidi" w:hAnsiTheme="majorBidi" w:cstheme="majorBidi"/>
              </w:rPr>
              <w:t xml:space="preserve">t Generation 112 Accessibility", </w:t>
            </w:r>
            <w:r w:rsidR="00A3197F" w:rsidRPr="00A3197F">
              <w:rPr>
                <w:rFonts w:asciiTheme="majorBidi" w:hAnsiTheme="majorBidi" w:cstheme="majorBidi"/>
              </w:rPr>
              <w:t xml:space="preserve">Santiago de </w:t>
            </w:r>
            <w:proofErr w:type="spellStart"/>
            <w:r w:rsidR="00A3197F" w:rsidRPr="00A3197F">
              <w:rPr>
                <w:rFonts w:asciiTheme="majorBidi" w:hAnsiTheme="majorBidi" w:cstheme="majorBidi"/>
              </w:rPr>
              <w:t>Compostela</w:t>
            </w:r>
            <w:proofErr w:type="spellEnd"/>
            <w:r w:rsidR="00A3197F" w:rsidRPr="00A3197F">
              <w:rPr>
                <w:rFonts w:asciiTheme="majorBidi" w:hAnsiTheme="majorBidi" w:cstheme="majorBidi"/>
              </w:rPr>
              <w:t>, Spain,</w:t>
            </w:r>
            <w:r w:rsidR="00A3197F" w:rsidRPr="00A3197F">
              <w:rPr>
                <w:rFonts w:asciiTheme="majorBidi" w:hAnsiTheme="majorBidi" w:cstheme="majorBidi"/>
              </w:rPr>
              <w:t xml:space="preserve"> 28 – 29 June 2012</w:t>
            </w:r>
            <w:r w:rsidR="00A3197F">
              <w:rPr>
                <w:rFonts w:eastAsia="Times New Roman"/>
              </w:rPr>
              <w:t xml:space="preserve"> </w:t>
            </w:r>
          </w:p>
        </w:tc>
      </w:tr>
    </w:tbl>
    <w:p w:rsidR="0001557B" w:rsidRDefault="0001557B" w:rsidP="00455E37">
      <w:pPr>
        <w:rPr>
          <w:rFonts w:asciiTheme="majorBidi" w:hAnsiTheme="majorBidi" w:cstheme="majorBidi"/>
        </w:rPr>
      </w:pPr>
    </w:p>
    <w:p w:rsidR="00455E37" w:rsidRDefault="00A3197F" w:rsidP="00455E37">
      <w:pPr>
        <w:spacing w:after="240"/>
        <w:rPr>
          <w:rFonts w:eastAsia="Times New Roman"/>
        </w:rPr>
      </w:pPr>
      <w:bookmarkStart w:id="1" w:name="_GoBack"/>
      <w:r w:rsidRPr="00D7461B">
        <w:rPr>
          <w:rFonts w:asciiTheme="majorBidi" w:hAnsiTheme="majorBidi" w:cstheme="majorBidi"/>
        </w:rPr>
        <w:t>The REACH112 Project Team is delighted to invite you to the REACH112 Final Conference - "21st Century Telecommunications Equality and Next Generation 112 Accessibility".</w:t>
      </w:r>
      <w:r w:rsidRPr="00D7461B">
        <w:rPr>
          <w:rFonts w:asciiTheme="majorBidi" w:hAnsiTheme="majorBidi" w:cstheme="majorBidi"/>
        </w:rPr>
        <w:br/>
      </w:r>
      <w:r w:rsidRPr="00D7461B">
        <w:rPr>
          <w:rFonts w:asciiTheme="majorBidi" w:hAnsiTheme="majorBidi" w:cstheme="majorBidi"/>
        </w:rPr>
        <w:br/>
        <w:t>The final conference will present the outcomes and impact of the REACH112 project (</w:t>
      </w:r>
      <w:hyperlink r:id="rId8" w:history="1">
        <w:r w:rsidRPr="00D7461B">
          <w:rPr>
            <w:rFonts w:asciiTheme="majorBidi" w:hAnsiTheme="majorBidi" w:cstheme="majorBidi"/>
          </w:rPr>
          <w:t>www.reach112.eu</w:t>
        </w:r>
      </w:hyperlink>
      <w:r w:rsidRPr="00D7461B">
        <w:rPr>
          <w:rFonts w:asciiTheme="majorBidi" w:hAnsiTheme="majorBidi" w:cstheme="majorBidi"/>
        </w:rPr>
        <w:t xml:space="preserve">) so that countries and agencies can deploy REACH112 type of services. The conference will be held in Santiago de </w:t>
      </w:r>
      <w:proofErr w:type="spellStart"/>
      <w:r w:rsidRPr="00D7461B">
        <w:rPr>
          <w:rFonts w:asciiTheme="majorBidi" w:hAnsiTheme="majorBidi" w:cstheme="majorBidi"/>
        </w:rPr>
        <w:t>Compostela</w:t>
      </w:r>
      <w:proofErr w:type="spellEnd"/>
      <w:r w:rsidRPr="00D7461B">
        <w:rPr>
          <w:rFonts w:asciiTheme="majorBidi" w:hAnsiTheme="majorBidi" w:cstheme="majorBidi"/>
        </w:rPr>
        <w:t xml:space="preserve">, Spain, June 28-29, 2012. </w:t>
      </w:r>
      <w:r w:rsidRPr="00D7461B">
        <w:rPr>
          <w:rFonts w:asciiTheme="majorBidi" w:hAnsiTheme="majorBidi" w:cstheme="majorBidi"/>
        </w:rPr>
        <w:br/>
      </w:r>
      <w:r w:rsidRPr="00D7461B">
        <w:rPr>
          <w:rFonts w:asciiTheme="majorBidi" w:hAnsiTheme="majorBidi" w:cstheme="majorBidi"/>
        </w:rPr>
        <w:br/>
        <w:t>Please find more information and the practical details here</w:t>
      </w:r>
      <w:proofErr w:type="gramStart"/>
      <w:r w:rsidRPr="00D7461B">
        <w:rPr>
          <w:rFonts w:asciiTheme="majorBidi" w:hAnsiTheme="majorBidi" w:cstheme="majorBidi"/>
        </w:rPr>
        <w:t>:</w:t>
      </w:r>
      <w:proofErr w:type="gramEnd"/>
      <w:r w:rsidRPr="00D7461B">
        <w:rPr>
          <w:rFonts w:asciiTheme="majorBidi" w:hAnsiTheme="majorBidi" w:cstheme="majorBidi"/>
        </w:rPr>
        <w:br/>
      </w:r>
      <w:bookmarkEnd w:id="1"/>
      <w:r>
        <w:rPr>
          <w:rFonts w:eastAsia="Times New Roman"/>
        </w:rPr>
        <w:fldChar w:fldCharType="begin"/>
      </w:r>
      <w:r>
        <w:rPr>
          <w:rFonts w:eastAsia="Times New Roman"/>
        </w:rPr>
        <w:instrText xml:space="preserve"> HYPERLINK "http://www.reach112.eu/view/en/event/REACH112finalconference.html" </w:instrText>
      </w:r>
      <w:r>
        <w:rPr>
          <w:rFonts w:eastAsia="Times New Roman"/>
        </w:rPr>
        <w:fldChar w:fldCharType="separate"/>
      </w:r>
      <w:r>
        <w:rPr>
          <w:rStyle w:val="Hyperlink"/>
          <w:rFonts w:eastAsia="Times New Roman"/>
        </w:rPr>
        <w:t>http://www.reach112.eu/view/en/event/REACH112finalconference.html</w:t>
      </w:r>
      <w:r>
        <w:rPr>
          <w:rFonts w:eastAsia="Times New Roman"/>
        </w:rPr>
        <w:fldChar w:fldCharType="end"/>
      </w:r>
    </w:p>
    <w:p w:rsidR="00A3197F" w:rsidRDefault="00A3197F" w:rsidP="00455E37">
      <w:pPr>
        <w:spacing w:after="240"/>
        <w:jc w:val="center"/>
        <w:rPr>
          <w:rFonts w:eastAsia="Times New Roman"/>
        </w:rPr>
      </w:pPr>
      <w:r>
        <w:rPr>
          <w:rFonts w:eastAsia="Times New Roman"/>
        </w:rPr>
        <w:br/>
      </w:r>
      <w:r>
        <w:rPr>
          <w:rFonts w:eastAsia="Times New Roman"/>
        </w:rPr>
        <w:t>____________</w:t>
      </w:r>
    </w:p>
    <w:p w:rsidR="00A3197F" w:rsidRDefault="00A3197F" w:rsidP="006A60E9">
      <w:pPr>
        <w:rPr>
          <w:rFonts w:asciiTheme="majorBidi" w:hAnsiTheme="majorBidi" w:cstheme="majorBidi"/>
        </w:rPr>
      </w:pPr>
    </w:p>
    <w:sectPr w:rsidR="00A3197F" w:rsidSect="00304D1C">
      <w:headerReference w:type="default" r:id="rId9"/>
      <w:footerReference w:type="first" r:id="rId10"/>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59" w:rsidRDefault="00AF4359" w:rsidP="00304D1C">
      <w:pPr>
        <w:spacing w:after="0" w:line="240" w:lineRule="auto"/>
      </w:pPr>
      <w:r>
        <w:separator/>
      </w:r>
    </w:p>
  </w:endnote>
  <w:endnote w:type="continuationSeparator" w:id="0">
    <w:p w:rsidR="00AF4359" w:rsidRDefault="00AF4359"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AC6977" w:rsidRPr="00AC6977" w:rsidTr="00C5120B">
      <w:trPr>
        <w:gridAfter w:val="1"/>
        <w:wAfter w:w="29" w:type="dxa"/>
        <w:cantSplit/>
        <w:trHeight w:val="204"/>
        <w:jc w:val="center"/>
      </w:trPr>
      <w:tc>
        <w:tcPr>
          <w:tcW w:w="1252" w:type="dxa"/>
          <w:tcBorders>
            <w:top w:val="single" w:sz="12" w:space="0" w:color="auto"/>
          </w:tcBorders>
        </w:tcPr>
        <w:p w:rsidR="00AC6977" w:rsidRPr="00AC6977" w:rsidRDefault="00AC6977" w:rsidP="00AC6977">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r w:rsidRPr="00AC6977">
            <w:rPr>
              <w:rFonts w:ascii="Times New Roman" w:eastAsia="MS Mincho" w:hAnsi="Times New Roman" w:cs="Times New Roman"/>
              <w:b/>
              <w:bCs/>
              <w:sz w:val="24"/>
              <w:szCs w:val="24"/>
              <w:lang w:val="en-GB" w:eastAsia="en-US"/>
            </w:rPr>
            <w:t>Contact:</w:t>
          </w:r>
        </w:p>
      </w:tc>
      <w:tc>
        <w:tcPr>
          <w:tcW w:w="4282" w:type="dxa"/>
          <w:tcBorders>
            <w:top w:val="single" w:sz="12" w:space="0" w:color="auto"/>
          </w:tcBorders>
        </w:tcPr>
        <w:p w:rsidR="00AC6977" w:rsidRPr="00AC6977" w:rsidRDefault="00AC6977"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0"/>
              <w:lang w:val="en-GB" w:eastAsia="ja-JP"/>
            </w:rPr>
          </w:pPr>
          <w:r w:rsidRPr="00AC6977">
            <w:rPr>
              <w:rFonts w:ascii="Times New Roman" w:eastAsia="MS Mincho" w:hAnsi="Times New Roman" w:cs="Times New Roman"/>
              <w:sz w:val="24"/>
              <w:szCs w:val="20"/>
              <w:lang w:val="en-GB" w:eastAsia="ja-JP"/>
            </w:rPr>
            <w:t>Andrea J. Saks</w:t>
          </w:r>
        </w:p>
        <w:p w:rsidR="00AC6977" w:rsidRPr="00AC6977" w:rsidRDefault="00AC6977"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val="pt-PT" w:eastAsia="ko-KR"/>
            </w:rPr>
          </w:pPr>
          <w:r w:rsidRPr="00AC6977">
            <w:rPr>
              <w:rFonts w:ascii="Times New Roman" w:eastAsia="MS Mincho" w:hAnsi="Times New Roman" w:cs="Times New Roman"/>
              <w:sz w:val="24"/>
              <w:szCs w:val="20"/>
              <w:lang w:val="en-GB" w:eastAsia="ja-JP"/>
            </w:rPr>
            <w:t>JCA-AHF Convener</w:t>
          </w:r>
        </w:p>
      </w:tc>
      <w:tc>
        <w:tcPr>
          <w:tcW w:w="4018" w:type="dxa"/>
          <w:tcBorders>
            <w:top w:val="single" w:sz="12" w:space="0" w:color="auto"/>
          </w:tcBorders>
        </w:tcPr>
        <w:p w:rsidR="00AC6977" w:rsidRPr="00AC6977" w:rsidRDefault="00AC6977"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24"/>
              <w:szCs w:val="24"/>
              <w:lang w:val="fr-FR" w:eastAsia="ko-KR"/>
            </w:rPr>
          </w:pPr>
          <w:r w:rsidRPr="00AC6977">
            <w:rPr>
              <w:rFonts w:ascii="Times New Roman" w:eastAsia="MS Mincho" w:hAnsi="Times New Roman" w:cs="Times New Roman"/>
              <w:sz w:val="24"/>
              <w:szCs w:val="24"/>
              <w:lang w:val="fr-FR" w:eastAsia="ja-JP"/>
            </w:rPr>
            <w:t xml:space="preserve">Email: </w:t>
          </w:r>
          <w:hyperlink r:id="rId1" w:history="1">
            <w:r w:rsidRPr="00AC6977">
              <w:rPr>
                <w:rFonts w:ascii="Times New Roman" w:eastAsia="MS Mincho" w:hAnsi="Times New Roman" w:cs="Times New Roman"/>
                <w:color w:val="0000FF"/>
                <w:sz w:val="24"/>
                <w:szCs w:val="24"/>
                <w:u w:val="single"/>
                <w:lang w:val="fr-FR" w:eastAsia="ja-JP"/>
              </w:rPr>
              <w:t>asaks@waitrose.com</w:t>
            </w:r>
          </w:hyperlink>
        </w:p>
      </w:tc>
    </w:tr>
    <w:tr w:rsidR="00AC6977" w:rsidRPr="00AC6977" w:rsidTr="00C5120B">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AC6977" w:rsidRPr="00AC6977" w:rsidRDefault="00AC6977" w:rsidP="00AC6977">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r w:rsidRPr="00AC6977">
            <w:rPr>
              <w:rFonts w:ascii="Times New Roman" w:eastAsia="MS Mincho" w:hAnsi="Times New Roman" w:cs="Times New Roman"/>
              <w:b/>
              <w:bCs/>
              <w:sz w:val="18"/>
              <w:szCs w:val="20"/>
              <w:lang w:val="en-GB" w:eastAsia="en-US"/>
            </w:rPr>
            <w:t>Attention:</w:t>
          </w:r>
          <w:r w:rsidRPr="00AC6977">
            <w:rPr>
              <w:rFonts w:ascii="Times New Roman" w:eastAsia="MS Mincho" w:hAnsi="Times New Roman" w:cs="Times New Roman"/>
              <w:sz w:val="18"/>
              <w:szCs w:val="20"/>
              <w:lang w:val="en-GB" w:eastAsia="en-US"/>
            </w:rPr>
            <w:t xml:space="preserve"> This is not a publication made available to the public, but </w:t>
          </w:r>
          <w:r w:rsidRPr="00AC6977">
            <w:rPr>
              <w:rFonts w:ascii="Times New Roman" w:eastAsia="MS Mincho" w:hAnsi="Times New Roman" w:cs="Times New Roman"/>
              <w:b/>
              <w:bCs/>
              <w:sz w:val="18"/>
              <w:szCs w:val="20"/>
              <w:lang w:val="en-GB" w:eastAsia="en-US"/>
            </w:rPr>
            <w:t>an internal ITU-T Document</w:t>
          </w:r>
          <w:r w:rsidRPr="00AC6977">
            <w:rPr>
              <w:rFonts w:ascii="Times New Roman" w:eastAsia="MS Mincho" w:hAnsi="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C6977" w:rsidRPr="00AC6977" w:rsidRDefault="00AC6977" w:rsidP="00AC6977">
    <w:pPr>
      <w:tabs>
        <w:tab w:val="left" w:pos="5954"/>
        <w:tab w:val="right" w:pos="9639"/>
      </w:tabs>
      <w:overflowPunct w:val="0"/>
      <w:autoSpaceDE w:val="0"/>
      <w:autoSpaceDN w:val="0"/>
      <w:adjustRightInd w:val="0"/>
      <w:spacing w:after="0" w:line="240" w:lineRule="auto"/>
      <w:textAlignment w:val="baseline"/>
      <w:rPr>
        <w:rFonts w:ascii="Times New Roman" w:eastAsia="MS Mincho" w:hAnsi="Times New Roman" w:cs="Times New Roman"/>
        <w:caps/>
        <w:noProof/>
        <w:sz w:val="16"/>
        <w:szCs w:val="20"/>
        <w:lang w:val="en-GB"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59" w:rsidRDefault="00AF4359" w:rsidP="00304D1C">
      <w:pPr>
        <w:spacing w:after="0" w:line="240" w:lineRule="auto"/>
      </w:pPr>
      <w:r>
        <w:separator/>
      </w:r>
    </w:p>
  </w:footnote>
  <w:footnote w:type="continuationSeparator" w:id="0">
    <w:p w:rsidR="00AF4359" w:rsidRDefault="00AF4359"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40785"/>
      <w:docPartObj>
        <w:docPartGallery w:val="Page Numbers (Top of Page)"/>
        <w:docPartUnique/>
      </w:docPartObj>
    </w:sdtPr>
    <w:sdtEndPr>
      <w:rPr>
        <w:noProof/>
      </w:rPr>
    </w:sdtEndPr>
    <w:sdtContent>
      <w:p w:rsidR="00AF4359" w:rsidRDefault="00AF4359" w:rsidP="001C7E85">
        <w:pPr>
          <w:pStyle w:val="Header"/>
          <w:jc w:val="center"/>
        </w:pPr>
        <w:r>
          <w:fldChar w:fldCharType="begin"/>
        </w:r>
        <w:r>
          <w:instrText xml:space="preserve"> PAGE   \* MERGEFORMAT </w:instrText>
        </w:r>
        <w:r>
          <w:fldChar w:fldCharType="separate"/>
        </w:r>
        <w:r w:rsidR="00A3197F">
          <w:rPr>
            <w:noProof/>
          </w:rPr>
          <w:t>2</w:t>
        </w:r>
        <w:r>
          <w:rPr>
            <w:noProof/>
          </w:rPr>
          <w:fldChar w:fldCharType="end"/>
        </w:r>
      </w:p>
    </w:sdtContent>
  </w:sdt>
  <w:p w:rsidR="00AF4359" w:rsidRDefault="00AF4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D5"/>
    <w:rsid w:val="0001557B"/>
    <w:rsid w:val="00072160"/>
    <w:rsid w:val="000E0DFC"/>
    <w:rsid w:val="0016561A"/>
    <w:rsid w:val="001A33F2"/>
    <w:rsid w:val="001C7E85"/>
    <w:rsid w:val="00227799"/>
    <w:rsid w:val="00304D1C"/>
    <w:rsid w:val="00350FD5"/>
    <w:rsid w:val="00430FA2"/>
    <w:rsid w:val="00455E37"/>
    <w:rsid w:val="004B450B"/>
    <w:rsid w:val="004D726D"/>
    <w:rsid w:val="004E2521"/>
    <w:rsid w:val="004E4EAE"/>
    <w:rsid w:val="00541BB1"/>
    <w:rsid w:val="00550601"/>
    <w:rsid w:val="0059234E"/>
    <w:rsid w:val="005F7D6E"/>
    <w:rsid w:val="006803E9"/>
    <w:rsid w:val="00693806"/>
    <w:rsid w:val="006A60E9"/>
    <w:rsid w:val="006C0C30"/>
    <w:rsid w:val="006D3147"/>
    <w:rsid w:val="006F175E"/>
    <w:rsid w:val="006F7D25"/>
    <w:rsid w:val="0075050E"/>
    <w:rsid w:val="007726C6"/>
    <w:rsid w:val="007C18AB"/>
    <w:rsid w:val="007F3BEC"/>
    <w:rsid w:val="00807E79"/>
    <w:rsid w:val="00877578"/>
    <w:rsid w:val="00885652"/>
    <w:rsid w:val="009D3C2E"/>
    <w:rsid w:val="00A2038B"/>
    <w:rsid w:val="00A3197F"/>
    <w:rsid w:val="00A94EC6"/>
    <w:rsid w:val="00AA75EB"/>
    <w:rsid w:val="00AC6977"/>
    <w:rsid w:val="00AF4359"/>
    <w:rsid w:val="00C15FFC"/>
    <w:rsid w:val="00C5696C"/>
    <w:rsid w:val="00CB3B05"/>
    <w:rsid w:val="00CE0CD7"/>
    <w:rsid w:val="00CE2881"/>
    <w:rsid w:val="00D7461B"/>
    <w:rsid w:val="00DF3ED4"/>
    <w:rsid w:val="00E9576A"/>
    <w:rsid w:val="00EE4BB0"/>
    <w:rsid w:val="00EF1B02"/>
    <w:rsid w:val="00EF2EB7"/>
    <w:rsid w:val="00F024AD"/>
    <w:rsid w:val="00F146BF"/>
    <w:rsid w:val="00F149BC"/>
    <w:rsid w:val="00F21136"/>
    <w:rsid w:val="00F33664"/>
    <w:rsid w:val="00F56AF6"/>
    <w:rsid w:val="00FB3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1C"/>
  </w:style>
  <w:style w:type="paragraph" w:styleId="Footer">
    <w:name w:val="footer"/>
    <w:basedOn w:val="Normal"/>
    <w:link w:val="FooterChar"/>
    <w:uiPriority w:val="99"/>
    <w:unhideWhenUsed/>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1C"/>
  </w:style>
  <w:style w:type="character" w:styleId="Hyperlink">
    <w:name w:val="Hyperlink"/>
    <w:uiPriority w:val="99"/>
    <w:rsid w:val="00304D1C"/>
    <w:rPr>
      <w:rFonts w:cs="Times New Roman"/>
      <w:color w:val="0000FF"/>
      <w:u w:val="single"/>
    </w:rPr>
  </w:style>
  <w:style w:type="paragraph" w:customStyle="1" w:styleId="LSDeadline">
    <w:name w:val="LSDeadline"/>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rsid w:val="00304D1C"/>
  </w:style>
  <w:style w:type="paragraph" w:customStyle="1" w:styleId="LSForComment">
    <w:name w:val="LSForComment"/>
    <w:basedOn w:val="LSForAction"/>
    <w:rsid w:val="00304D1C"/>
    <w:rPr>
      <w:rFonts w:eastAsia="Times New Roman"/>
    </w:rPr>
  </w:style>
  <w:style w:type="paragraph" w:customStyle="1" w:styleId="Default">
    <w:name w:val="Default"/>
    <w:rsid w:val="00AC697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1C"/>
  </w:style>
  <w:style w:type="paragraph" w:styleId="Footer">
    <w:name w:val="footer"/>
    <w:basedOn w:val="Normal"/>
    <w:link w:val="FooterChar"/>
    <w:uiPriority w:val="99"/>
    <w:unhideWhenUsed/>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1C"/>
  </w:style>
  <w:style w:type="character" w:styleId="Hyperlink">
    <w:name w:val="Hyperlink"/>
    <w:uiPriority w:val="99"/>
    <w:rsid w:val="00304D1C"/>
    <w:rPr>
      <w:rFonts w:cs="Times New Roman"/>
      <w:color w:val="0000FF"/>
      <w:u w:val="single"/>
    </w:rPr>
  </w:style>
  <w:style w:type="paragraph" w:customStyle="1" w:styleId="LSDeadline">
    <w:name w:val="LSDeadline"/>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rsid w:val="00304D1C"/>
  </w:style>
  <w:style w:type="paragraph" w:customStyle="1" w:styleId="LSForComment">
    <w:name w:val="LSForComment"/>
    <w:basedOn w:val="LSForAction"/>
    <w:rsid w:val="00304D1C"/>
    <w:rPr>
      <w:rFonts w:eastAsia="Times New Roman"/>
    </w:rPr>
  </w:style>
  <w:style w:type="paragraph" w:customStyle="1" w:styleId="Default">
    <w:name w:val="Default"/>
    <w:rsid w:val="00AC69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591">
      <w:bodyDiv w:val="1"/>
      <w:marLeft w:val="0"/>
      <w:marRight w:val="0"/>
      <w:marTop w:val="0"/>
      <w:marBottom w:val="0"/>
      <w:divBdr>
        <w:top w:val="none" w:sz="0" w:space="0" w:color="auto"/>
        <w:left w:val="none" w:sz="0" w:space="0" w:color="auto"/>
        <w:bottom w:val="none" w:sz="0" w:space="0" w:color="auto"/>
        <w:right w:val="none" w:sz="0" w:space="0" w:color="auto"/>
      </w:divBdr>
    </w:div>
    <w:div w:id="511260557">
      <w:bodyDiv w:val="1"/>
      <w:marLeft w:val="0"/>
      <w:marRight w:val="0"/>
      <w:marTop w:val="0"/>
      <w:marBottom w:val="0"/>
      <w:divBdr>
        <w:top w:val="none" w:sz="0" w:space="0" w:color="auto"/>
        <w:left w:val="none" w:sz="0" w:space="0" w:color="auto"/>
        <w:bottom w:val="none" w:sz="0" w:space="0" w:color="auto"/>
        <w:right w:val="none" w:sz="0" w:space="0" w:color="auto"/>
      </w:divBdr>
    </w:div>
    <w:div w:id="521750163">
      <w:bodyDiv w:val="1"/>
      <w:marLeft w:val="0"/>
      <w:marRight w:val="0"/>
      <w:marTop w:val="0"/>
      <w:marBottom w:val="0"/>
      <w:divBdr>
        <w:top w:val="none" w:sz="0" w:space="0" w:color="auto"/>
        <w:left w:val="none" w:sz="0" w:space="0" w:color="auto"/>
        <w:bottom w:val="none" w:sz="0" w:space="0" w:color="auto"/>
        <w:right w:val="none" w:sz="0" w:space="0" w:color="auto"/>
      </w:divBdr>
    </w:div>
    <w:div w:id="867597237">
      <w:bodyDiv w:val="1"/>
      <w:marLeft w:val="0"/>
      <w:marRight w:val="0"/>
      <w:marTop w:val="0"/>
      <w:marBottom w:val="0"/>
      <w:divBdr>
        <w:top w:val="none" w:sz="0" w:space="0" w:color="auto"/>
        <w:left w:val="none" w:sz="0" w:space="0" w:color="auto"/>
        <w:bottom w:val="none" w:sz="0" w:space="0" w:color="auto"/>
        <w:right w:val="none" w:sz="0" w:space="0" w:color="auto"/>
      </w:divBdr>
    </w:div>
    <w:div w:id="1023553426">
      <w:bodyDiv w:val="1"/>
      <w:marLeft w:val="0"/>
      <w:marRight w:val="0"/>
      <w:marTop w:val="0"/>
      <w:marBottom w:val="0"/>
      <w:divBdr>
        <w:top w:val="none" w:sz="0" w:space="0" w:color="auto"/>
        <w:left w:val="none" w:sz="0" w:space="0" w:color="auto"/>
        <w:bottom w:val="none" w:sz="0" w:space="0" w:color="auto"/>
        <w:right w:val="none" w:sz="0" w:space="0" w:color="auto"/>
      </w:divBdr>
    </w:div>
    <w:div w:id="1301882032">
      <w:bodyDiv w:val="1"/>
      <w:marLeft w:val="0"/>
      <w:marRight w:val="0"/>
      <w:marTop w:val="0"/>
      <w:marBottom w:val="0"/>
      <w:divBdr>
        <w:top w:val="none" w:sz="0" w:space="0" w:color="auto"/>
        <w:left w:val="none" w:sz="0" w:space="0" w:color="auto"/>
        <w:bottom w:val="none" w:sz="0" w:space="0" w:color="auto"/>
        <w:right w:val="none" w:sz="0" w:space="0" w:color="auto"/>
      </w:divBdr>
    </w:div>
    <w:div w:id="1533421142">
      <w:bodyDiv w:val="1"/>
      <w:marLeft w:val="0"/>
      <w:marRight w:val="0"/>
      <w:marTop w:val="0"/>
      <w:marBottom w:val="0"/>
      <w:divBdr>
        <w:top w:val="none" w:sz="0" w:space="0" w:color="auto"/>
        <w:left w:val="none" w:sz="0" w:space="0" w:color="auto"/>
        <w:bottom w:val="none" w:sz="0" w:space="0" w:color="auto"/>
        <w:right w:val="none" w:sz="0" w:space="0" w:color="auto"/>
      </w:divBdr>
    </w:div>
    <w:div w:id="16909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ch112.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6446-69A8-4F41-9AE9-B914F0E1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5</cp:revision>
  <cp:lastPrinted>2012-01-11T12:57:00Z</cp:lastPrinted>
  <dcterms:created xsi:type="dcterms:W3CDTF">2012-02-22T15:36:00Z</dcterms:created>
  <dcterms:modified xsi:type="dcterms:W3CDTF">2012-02-22T15:38:00Z</dcterms:modified>
</cp:coreProperties>
</file>