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FC4903" w:rsidRPr="007A5CEA" w:rsidTr="0019432C">
        <w:trPr>
          <w:cantSplit/>
        </w:trPr>
        <w:tc>
          <w:tcPr>
            <w:tcW w:w="4857" w:type="dxa"/>
            <w:gridSpan w:val="2"/>
          </w:tcPr>
          <w:p w:rsidR="00FC4903" w:rsidRPr="007A5CEA" w:rsidRDefault="00FC4903" w:rsidP="0019432C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FC4903" w:rsidRPr="007A5CEA" w:rsidRDefault="00FC4903" w:rsidP="0019432C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FC4903" w:rsidRPr="007A5CEA" w:rsidRDefault="00FC4903" w:rsidP="0019432C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FC4903" w:rsidRPr="007A5CEA" w:rsidTr="001943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FC4903" w:rsidRPr="007A5CEA" w:rsidRDefault="00FC4903" w:rsidP="0019432C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FC4903" w:rsidRPr="007A5CEA" w:rsidRDefault="00FC4903" w:rsidP="00FC4903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>
              <w:rPr>
                <w:b/>
                <w:bCs/>
                <w:sz w:val="40"/>
              </w:rPr>
              <w:t>1</w:t>
            </w:r>
            <w:r>
              <w:rPr>
                <w:b/>
                <w:bCs/>
                <w:sz w:val="40"/>
              </w:rPr>
              <w:t>20</w:t>
            </w:r>
          </w:p>
        </w:tc>
      </w:tr>
      <w:tr w:rsidR="00FC4903" w:rsidRPr="007A5CEA" w:rsidTr="0019432C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FC4903" w:rsidRPr="007A5CEA" w:rsidRDefault="00FC4903" w:rsidP="0019432C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FC4903" w:rsidRPr="007A5CEA" w:rsidRDefault="00FC4903" w:rsidP="0019432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FC4903" w:rsidRPr="007A5CEA" w:rsidRDefault="00FC4903" w:rsidP="0019432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FC4903" w:rsidRPr="007A5CEA" w:rsidTr="0019432C">
        <w:trPr>
          <w:cantSplit/>
          <w:trHeight w:val="357"/>
        </w:trPr>
        <w:tc>
          <w:tcPr>
            <w:tcW w:w="1617" w:type="dxa"/>
          </w:tcPr>
          <w:p w:rsidR="00FC4903" w:rsidRPr="007A5CEA" w:rsidRDefault="00FC4903" w:rsidP="0019432C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FC4903" w:rsidRPr="00CF6CA7" w:rsidRDefault="00FC4903" w:rsidP="00FC4903">
            <w:r w:rsidRPr="00CF6CA7">
              <w:t>ITU-T FG AVA</w:t>
            </w:r>
            <w:r>
              <w:t xml:space="preserve"> (Geneva, </w:t>
            </w:r>
            <w:r w:rsidR="00655335">
              <w:t>26 M</w:t>
            </w:r>
            <w:r>
              <w:t>ay 2011</w:t>
            </w:r>
            <w:r>
              <w:t>)</w:t>
            </w:r>
          </w:p>
        </w:tc>
      </w:tr>
      <w:tr w:rsidR="00FC4903" w:rsidRPr="007A5CEA" w:rsidTr="001943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FC4903" w:rsidRPr="00CF6CA7" w:rsidRDefault="00FC4903" w:rsidP="0019432C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FC4903" w:rsidRPr="00283179" w:rsidRDefault="00FC4903" w:rsidP="00FC4903">
            <w:pPr>
              <w:spacing w:after="120"/>
            </w:pPr>
            <w:r>
              <w:t xml:space="preserve">Incoming Liaison Statement to </w:t>
            </w:r>
            <w:r w:rsidRPr="00557507">
              <w:rPr>
                <w:rFonts w:eastAsia="Malgun Gothic"/>
              </w:rPr>
              <w:t>IEC TC</w:t>
            </w:r>
            <w:r>
              <w:rPr>
                <w:rFonts w:eastAsia="Malgun Gothic"/>
              </w:rPr>
              <w:t> </w:t>
            </w:r>
            <w:r w:rsidRPr="00557507">
              <w:rPr>
                <w:rFonts w:eastAsia="Malgun Gothic"/>
              </w:rPr>
              <w:t>100</w:t>
            </w:r>
            <w:r>
              <w:rPr>
                <w:rFonts w:eastAsia="Malgun Gothic"/>
              </w:rPr>
              <w:t xml:space="preserve">, ISO/IEC JTC </w:t>
            </w:r>
            <w:r w:rsidRPr="00557507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 xml:space="preserve"> and SWG-A</w:t>
            </w:r>
            <w:r w:rsidRPr="00557507">
              <w:rPr>
                <w:rFonts w:eastAsia="Malgun Gothic"/>
              </w:rPr>
              <w:t xml:space="preserve"> </w:t>
            </w:r>
            <w:r>
              <w:t xml:space="preserve">on </w:t>
            </w:r>
            <w:r w:rsidRPr="00283179">
              <w:t xml:space="preserve">first meeting of </w:t>
            </w:r>
            <w:r>
              <w:t xml:space="preserve">ITU-T </w:t>
            </w:r>
            <w:r w:rsidRPr="00283179">
              <w:t xml:space="preserve">Focus Group on </w:t>
            </w:r>
            <w:proofErr w:type="spellStart"/>
            <w:r>
              <w:t>Audiovisual</w:t>
            </w:r>
            <w:proofErr w:type="spellEnd"/>
            <w:r>
              <w:t xml:space="preserve"> Media Accessibility </w:t>
            </w:r>
            <w:r w:rsidRPr="00283179">
              <w:t xml:space="preserve">(FG </w:t>
            </w:r>
            <w:r>
              <w:t>AVA</w:t>
            </w:r>
            <w:r w:rsidRPr="00283179">
              <w:t>)</w:t>
            </w:r>
            <w:r>
              <w:t xml:space="preserve"> and nomination of LS officers</w:t>
            </w:r>
          </w:p>
        </w:tc>
      </w:tr>
    </w:tbl>
    <w:p w:rsidR="00FC4903" w:rsidRDefault="00FC4903" w:rsidP="00FC4903"/>
    <w:p w:rsidR="00FC4903" w:rsidRDefault="00FC4903"/>
    <w:p w:rsidR="00FC4903" w:rsidRDefault="00FC4903"/>
    <w:p w:rsidR="00FC4903" w:rsidRDefault="00FC4903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283179" w:rsidRPr="00283179">
        <w:trPr>
          <w:cantSplit/>
        </w:trPr>
        <w:tc>
          <w:tcPr>
            <w:tcW w:w="1417" w:type="dxa"/>
            <w:vMerge w:val="restart"/>
          </w:tcPr>
          <w:p w:rsidR="00283179" w:rsidRPr="00283179" w:rsidRDefault="00283179" w:rsidP="00283179">
            <w:r w:rsidRPr="00283179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0C0240F" wp14:editId="4634420B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283179" w:rsidRPr="00283179" w:rsidRDefault="00283179" w:rsidP="00283179">
            <w:pPr>
              <w:rPr>
                <w:sz w:val="20"/>
              </w:rPr>
            </w:pPr>
            <w:r w:rsidRPr="00283179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283179" w:rsidRPr="00283179" w:rsidRDefault="0056188B" w:rsidP="0071441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AVA</w:t>
            </w:r>
            <w:r w:rsidR="00283179">
              <w:rPr>
                <w:b/>
                <w:sz w:val="28"/>
              </w:rPr>
              <w:t xml:space="preserve"> – LS 00</w:t>
            </w:r>
            <w:r w:rsidR="00714414">
              <w:rPr>
                <w:b/>
                <w:sz w:val="28"/>
              </w:rPr>
              <w:t>2</w:t>
            </w:r>
            <w:r w:rsidR="00283179">
              <w:rPr>
                <w:b/>
                <w:sz w:val="28"/>
              </w:rPr>
              <w:t xml:space="preserve"> – E</w:t>
            </w:r>
          </w:p>
        </w:tc>
      </w:tr>
      <w:tr w:rsidR="00283179" w:rsidRPr="00283179">
        <w:trPr>
          <w:cantSplit/>
          <w:trHeight w:val="355"/>
        </w:trPr>
        <w:tc>
          <w:tcPr>
            <w:tcW w:w="1417" w:type="dxa"/>
            <w:vMerge/>
          </w:tcPr>
          <w:p w:rsidR="00283179" w:rsidRPr="00283179" w:rsidRDefault="00283179" w:rsidP="00283179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283179" w:rsidRPr="00283179" w:rsidRDefault="00283179" w:rsidP="00283179">
            <w:pPr>
              <w:rPr>
                <w:b/>
                <w:bCs/>
                <w:sz w:val="26"/>
              </w:rPr>
            </w:pPr>
            <w:r w:rsidRPr="00283179">
              <w:rPr>
                <w:b/>
                <w:bCs/>
                <w:sz w:val="26"/>
              </w:rPr>
              <w:t>TELECOMMUNICATION</w:t>
            </w:r>
            <w:r w:rsidRPr="00283179">
              <w:rPr>
                <w:b/>
                <w:bCs/>
                <w:sz w:val="26"/>
              </w:rPr>
              <w:br/>
              <w:t>STANDARDIZATION SECTOR</w:t>
            </w:r>
          </w:p>
          <w:p w:rsidR="00283179" w:rsidRPr="00283179" w:rsidRDefault="00283179" w:rsidP="00283179">
            <w:pPr>
              <w:rPr>
                <w:smallCaps/>
                <w:sz w:val="20"/>
              </w:rPr>
            </w:pPr>
            <w:r w:rsidRPr="00283179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4466" w:type="dxa"/>
            <w:gridSpan w:val="3"/>
          </w:tcPr>
          <w:p w:rsidR="00283179" w:rsidRPr="00283179" w:rsidRDefault="00283179" w:rsidP="00283179">
            <w:pPr>
              <w:jc w:val="right"/>
              <w:rPr>
                <w:b/>
                <w:bCs/>
              </w:rPr>
            </w:pPr>
          </w:p>
        </w:tc>
      </w:tr>
      <w:tr w:rsidR="00283179" w:rsidRPr="00283179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83179" w:rsidRPr="00283179" w:rsidRDefault="00283179" w:rsidP="00283179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283179" w:rsidRPr="00283179" w:rsidRDefault="00283179" w:rsidP="00283179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283179" w:rsidRDefault="00283179" w:rsidP="0028317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283179" w:rsidRPr="00283179" w:rsidRDefault="00283179" w:rsidP="0028317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283179" w:rsidRPr="00283179">
        <w:trPr>
          <w:cantSplit/>
          <w:trHeight w:val="357"/>
        </w:trPr>
        <w:tc>
          <w:tcPr>
            <w:tcW w:w="1617" w:type="dxa"/>
            <w:gridSpan w:val="2"/>
          </w:tcPr>
          <w:p w:rsidR="00283179" w:rsidRPr="00283179" w:rsidRDefault="00283179" w:rsidP="00283179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283179">
              <w:rPr>
                <w:b/>
                <w:bCs/>
              </w:rPr>
              <w:t>WG(s):</w:t>
            </w:r>
          </w:p>
        </w:tc>
        <w:tc>
          <w:tcPr>
            <w:tcW w:w="3360" w:type="dxa"/>
            <w:gridSpan w:val="2"/>
          </w:tcPr>
          <w:p w:rsidR="00283179" w:rsidRPr="00283179" w:rsidRDefault="00283179" w:rsidP="00283179">
            <w:r w:rsidRPr="00283179">
              <w:t>All</w:t>
            </w:r>
          </w:p>
        </w:tc>
        <w:tc>
          <w:tcPr>
            <w:tcW w:w="4946" w:type="dxa"/>
            <w:gridSpan w:val="4"/>
          </w:tcPr>
          <w:p w:rsidR="00283179" w:rsidRPr="00283179" w:rsidRDefault="00283179" w:rsidP="0056188B">
            <w:pPr>
              <w:jc w:val="right"/>
            </w:pPr>
            <w:r>
              <w:t xml:space="preserve">Geneva, </w:t>
            </w:r>
            <w:r w:rsidR="0056188B">
              <w:t>26 May 2011</w:t>
            </w:r>
          </w:p>
        </w:tc>
      </w:tr>
      <w:tr w:rsidR="00283179" w:rsidRPr="00283179">
        <w:trPr>
          <w:cantSplit/>
          <w:trHeight w:val="357"/>
        </w:trPr>
        <w:tc>
          <w:tcPr>
            <w:tcW w:w="9923" w:type="dxa"/>
            <w:gridSpan w:val="8"/>
          </w:tcPr>
          <w:p w:rsidR="00283179" w:rsidRPr="00283179" w:rsidRDefault="00557507" w:rsidP="00714414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</w:rPr>
              <w:t>Ref.</w:t>
            </w:r>
            <w:r w:rsidR="00283179" w:rsidRPr="00283179">
              <w:rPr>
                <w:b/>
                <w:bCs/>
              </w:rPr>
              <w:t xml:space="preserve">: </w:t>
            </w:r>
            <w:r w:rsidR="0056188B">
              <w:rPr>
                <w:b/>
                <w:bCs/>
              </w:rPr>
              <w:t>AVA</w:t>
            </w:r>
            <w:r w:rsidR="00283179" w:rsidRPr="00283179">
              <w:rPr>
                <w:b/>
                <w:bCs/>
              </w:rPr>
              <w:t>-O-00</w:t>
            </w:r>
            <w:r w:rsidR="00714414">
              <w:rPr>
                <w:b/>
                <w:bCs/>
              </w:rPr>
              <w:t>2</w:t>
            </w:r>
          </w:p>
        </w:tc>
      </w:tr>
      <w:tr w:rsidR="00283179" w:rsidRPr="00283179">
        <w:trPr>
          <w:cantSplit/>
          <w:trHeight w:val="357"/>
        </w:trPr>
        <w:tc>
          <w:tcPr>
            <w:tcW w:w="1617" w:type="dxa"/>
            <w:gridSpan w:val="2"/>
          </w:tcPr>
          <w:p w:rsidR="00283179" w:rsidRPr="00283179" w:rsidRDefault="00283179" w:rsidP="0028317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28317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283179" w:rsidRPr="00283179" w:rsidRDefault="00023A4B" w:rsidP="00557507">
            <w:r>
              <w:t xml:space="preserve">ITU-T </w:t>
            </w:r>
            <w:r w:rsidR="007D1924" w:rsidRPr="00283179">
              <w:t xml:space="preserve">FG </w:t>
            </w:r>
            <w:r w:rsidR="007D1924">
              <w:t>AVA</w:t>
            </w:r>
          </w:p>
        </w:tc>
      </w:tr>
      <w:tr w:rsidR="00283179" w:rsidRPr="00283179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283179" w:rsidRPr="00283179" w:rsidRDefault="00283179" w:rsidP="00283179">
            <w:pPr>
              <w:spacing w:after="120"/>
            </w:pPr>
            <w:bookmarkStart w:id="9" w:name="dtitle1" w:colFirst="1" w:colLast="1"/>
            <w:bookmarkEnd w:id="8"/>
            <w:r w:rsidRPr="0028317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283179" w:rsidRPr="00283179" w:rsidRDefault="00557507" w:rsidP="0071168C">
            <w:pPr>
              <w:spacing w:after="120"/>
            </w:pPr>
            <w:r>
              <w:t xml:space="preserve">LS to </w:t>
            </w:r>
            <w:r w:rsidR="0071168C" w:rsidRPr="00557507">
              <w:rPr>
                <w:rFonts w:eastAsia="Malgun Gothic"/>
              </w:rPr>
              <w:t>IEC TC</w:t>
            </w:r>
            <w:r w:rsidR="0071168C">
              <w:rPr>
                <w:rFonts w:eastAsia="Malgun Gothic"/>
              </w:rPr>
              <w:t> </w:t>
            </w:r>
            <w:r w:rsidR="0071168C" w:rsidRPr="00557507">
              <w:rPr>
                <w:rFonts w:eastAsia="Malgun Gothic"/>
              </w:rPr>
              <w:t>100</w:t>
            </w:r>
            <w:r w:rsidR="0071168C">
              <w:rPr>
                <w:rFonts w:eastAsia="Malgun Gothic"/>
              </w:rPr>
              <w:t xml:space="preserve">, </w:t>
            </w:r>
            <w:r>
              <w:rPr>
                <w:rFonts w:eastAsia="Malgun Gothic"/>
              </w:rPr>
              <w:t xml:space="preserve">ISO/IEC JTC </w:t>
            </w:r>
            <w:r w:rsidRPr="00557507">
              <w:rPr>
                <w:rFonts w:eastAsia="Malgun Gothic"/>
              </w:rPr>
              <w:t>1</w:t>
            </w:r>
            <w:r w:rsidR="0071168C">
              <w:rPr>
                <w:rFonts w:eastAsia="Malgun Gothic"/>
              </w:rPr>
              <w:t xml:space="preserve"> and SWG-A</w:t>
            </w:r>
            <w:r w:rsidRPr="00557507">
              <w:rPr>
                <w:rFonts w:eastAsia="Malgun Gothic"/>
              </w:rPr>
              <w:t xml:space="preserve"> </w:t>
            </w:r>
            <w:r>
              <w:t xml:space="preserve">on </w:t>
            </w:r>
            <w:r w:rsidRPr="00283179">
              <w:t xml:space="preserve">first </w:t>
            </w:r>
            <w:r w:rsidR="00283179" w:rsidRPr="00283179">
              <w:t xml:space="preserve">meeting of </w:t>
            </w:r>
            <w:r w:rsidR="00023A4B">
              <w:t xml:space="preserve">ITU-T </w:t>
            </w:r>
            <w:r w:rsidR="00283179" w:rsidRPr="00283179">
              <w:t xml:space="preserve">Focus Group on </w:t>
            </w:r>
            <w:proofErr w:type="spellStart"/>
            <w:r w:rsidR="00023A4B">
              <w:t>Audiovisual</w:t>
            </w:r>
            <w:proofErr w:type="spellEnd"/>
            <w:r w:rsidR="00023A4B">
              <w:t xml:space="preserve"> Media Accessibility </w:t>
            </w:r>
            <w:r w:rsidR="00283179" w:rsidRPr="00283179">
              <w:t xml:space="preserve">(FG </w:t>
            </w:r>
            <w:r w:rsidR="00023A4B">
              <w:t>AVA</w:t>
            </w:r>
            <w:r w:rsidR="00283179" w:rsidRPr="00283179">
              <w:t>)</w:t>
            </w:r>
            <w:r>
              <w:t xml:space="preserve"> and nomination of </w:t>
            </w:r>
            <w:r w:rsidR="00714414">
              <w:t>LS officer</w:t>
            </w:r>
            <w:r>
              <w:t>s</w:t>
            </w:r>
          </w:p>
        </w:tc>
      </w:tr>
      <w:bookmarkEnd w:id="2"/>
      <w:bookmarkEnd w:id="9"/>
      <w:tr w:rsidR="009F5CAB" w:rsidTr="003869CD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2E7B1A" w:rsidRDefault="0071168C" w:rsidP="001D050B">
            <w:pPr>
              <w:pStyle w:val="LSForAction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</w:rPr>
              <w:t xml:space="preserve">IEC TC100, </w:t>
            </w:r>
            <w:r w:rsidR="008A507B">
              <w:rPr>
                <w:b w:val="0"/>
                <w:bCs w:val="0"/>
              </w:rPr>
              <w:t>ISO</w:t>
            </w:r>
            <w:r>
              <w:rPr>
                <w:b w:val="0"/>
                <w:bCs w:val="0"/>
              </w:rPr>
              <w:t>/</w:t>
            </w:r>
            <w:r w:rsidR="008A507B">
              <w:rPr>
                <w:b w:val="0"/>
                <w:bCs w:val="0"/>
              </w:rPr>
              <w:t>IEC JTC</w:t>
            </w:r>
            <w:r>
              <w:rPr>
                <w:b w:val="0"/>
                <w:bCs w:val="0"/>
              </w:rPr>
              <w:t xml:space="preserve"> </w:t>
            </w:r>
            <w:r w:rsidR="008A507B">
              <w:rPr>
                <w:b w:val="0"/>
                <w:bCs w:val="0"/>
              </w:rPr>
              <w:t xml:space="preserve">1, </w:t>
            </w:r>
            <w:r>
              <w:rPr>
                <w:b w:val="0"/>
                <w:bCs w:val="0"/>
              </w:rPr>
              <w:t xml:space="preserve">ISO/IEC JTC 1 SWG-A 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869CD" w:rsidRPr="00F53B6A" w:rsidRDefault="00557507" w:rsidP="003869CD">
            <w:pPr>
              <w:pStyle w:val="LSForCommen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2E7B1A" w:rsidRDefault="0071168C">
            <w:pPr>
              <w:pStyle w:val="LSForInfo"/>
              <w:rPr>
                <w:b w:val="0"/>
                <w:bCs w:val="0"/>
                <w:sz w:val="28"/>
              </w:rPr>
            </w:pPr>
            <w:r>
              <w:rPr>
                <w:rFonts w:eastAsia="Malgun Gothic"/>
                <w:b w:val="0"/>
                <w:bCs w:val="0"/>
                <w:lang w:eastAsia="ko-KR"/>
              </w:rPr>
              <w:t xml:space="preserve">All </w:t>
            </w:r>
            <w:r w:rsidRPr="00781871">
              <w:rPr>
                <w:rFonts w:eastAsia="Malgun Gothic" w:hint="eastAsia"/>
                <w:b w:val="0"/>
                <w:bCs w:val="0"/>
                <w:lang w:eastAsia="ko-KR"/>
              </w:rPr>
              <w:t>ITU-T S</w:t>
            </w:r>
            <w:r>
              <w:rPr>
                <w:rFonts w:eastAsia="Malgun Gothic"/>
                <w:b w:val="0"/>
                <w:bCs w:val="0"/>
                <w:lang w:eastAsia="ko-KR"/>
              </w:rPr>
              <w:t xml:space="preserve">tudy </w:t>
            </w:r>
            <w:r w:rsidRPr="00781871">
              <w:rPr>
                <w:rFonts w:eastAsia="Malgun Gothic" w:hint="eastAsia"/>
                <w:b w:val="0"/>
                <w:bCs w:val="0"/>
                <w:lang w:eastAsia="ko-KR"/>
              </w:rPr>
              <w:t>G</w:t>
            </w:r>
            <w:r>
              <w:rPr>
                <w:rFonts w:eastAsia="Malgun Gothic"/>
                <w:b w:val="0"/>
                <w:bCs w:val="0"/>
                <w:lang w:eastAsia="ko-KR"/>
              </w:rPr>
              <w:t>roups, TSAG</w:t>
            </w:r>
            <w:r w:rsidDel="0071168C">
              <w:rPr>
                <w:b w:val="0"/>
                <w:bCs w:val="0"/>
              </w:rPr>
              <w:t xml:space="preserve"> </w:t>
            </w:r>
            <w:r w:rsidR="008A507B">
              <w:rPr>
                <w:rFonts w:eastAsia="Malgun Gothic"/>
                <w:b w:val="0"/>
                <w:bCs w:val="0"/>
                <w:lang w:eastAsia="ko-KR"/>
              </w:rPr>
              <w:t xml:space="preserve">JCA-AHF, 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869CD" w:rsidRPr="00F53B6A" w:rsidRDefault="0056188B" w:rsidP="00557507">
            <w:r w:rsidRPr="00F53B6A">
              <w:t xml:space="preserve">Agreed to at FG </w:t>
            </w:r>
            <w:r>
              <w:t>AVA</w:t>
            </w:r>
            <w:r w:rsidRPr="00F53B6A">
              <w:t xml:space="preserve"> meeting</w:t>
            </w:r>
            <w:r>
              <w:t xml:space="preserve"> </w:t>
            </w:r>
            <w:r w:rsidR="00557507">
              <w:t>(Geneva, 26 May 2011</w:t>
            </w:r>
            <w:r>
              <w:t>)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869CD" w:rsidRPr="00F53B6A" w:rsidRDefault="00230A48" w:rsidP="00557507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September 2011</w:t>
            </w:r>
          </w:p>
        </w:tc>
      </w:tr>
      <w:tr w:rsidR="003869CD" w:rsidTr="00714414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9CD" w:rsidRPr="00572A8E" w:rsidRDefault="003869CD">
            <w:pPr>
              <w:rPr>
                <w:b/>
                <w:bCs/>
                <w:szCs w:val="24"/>
              </w:rPr>
            </w:pPr>
            <w:r w:rsidRPr="00572A8E">
              <w:rPr>
                <w:b/>
                <w:bCs/>
                <w:szCs w:val="24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02FC4" w:rsidRPr="00572A8E" w:rsidRDefault="0056188B" w:rsidP="0056188B">
            <w:pPr>
              <w:rPr>
                <w:szCs w:val="24"/>
              </w:rPr>
            </w:pPr>
            <w:r>
              <w:rPr>
                <w:szCs w:val="24"/>
                <w:lang w:eastAsia="ja-JP"/>
              </w:rPr>
              <w:t>Peter Olaf Looms</w:t>
            </w:r>
          </w:p>
          <w:p w:rsidR="00F0563F" w:rsidRDefault="00872E0B">
            <w:pPr>
              <w:spacing w:before="0"/>
              <w:rPr>
                <w:szCs w:val="24"/>
              </w:rPr>
            </w:pPr>
            <w:r w:rsidRPr="00572A8E">
              <w:rPr>
                <w:szCs w:val="24"/>
                <w:lang w:eastAsia="ja-JP"/>
              </w:rPr>
              <w:t>Chairman</w:t>
            </w:r>
            <w:r>
              <w:rPr>
                <w:szCs w:val="24"/>
                <w:lang w:eastAsia="ja-JP"/>
              </w:rPr>
              <w:t>,</w:t>
            </w:r>
            <w:r w:rsidRPr="00572A8E">
              <w:rPr>
                <w:szCs w:val="24"/>
                <w:lang w:eastAsia="ja-JP"/>
              </w:rPr>
              <w:t xml:space="preserve"> </w:t>
            </w:r>
            <w:r>
              <w:rPr>
                <w:szCs w:val="24"/>
                <w:lang w:eastAsia="ja-JP"/>
              </w:rPr>
              <w:t xml:space="preserve">ITU-T </w:t>
            </w:r>
            <w:r w:rsidR="00322195" w:rsidRPr="00572A8E">
              <w:rPr>
                <w:szCs w:val="24"/>
                <w:lang w:eastAsia="ja-JP"/>
              </w:rPr>
              <w:t xml:space="preserve">FG </w:t>
            </w:r>
            <w:r w:rsidR="0056188B">
              <w:rPr>
                <w:szCs w:val="24"/>
                <w:lang w:eastAsia="ja-JP"/>
              </w:rPr>
              <w:t>AVA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9CD" w:rsidRPr="0056188B" w:rsidRDefault="00C02FC4" w:rsidP="0056188B">
            <w:pPr>
              <w:rPr>
                <w:szCs w:val="24"/>
              </w:rPr>
            </w:pPr>
            <w:r w:rsidRPr="00572A8E">
              <w:rPr>
                <w:szCs w:val="24"/>
              </w:rPr>
              <w:t>Email:</w:t>
            </w:r>
            <w:r w:rsidRPr="00572A8E">
              <w:rPr>
                <w:rFonts w:hint="eastAsia"/>
                <w:szCs w:val="24"/>
                <w:lang w:eastAsia="ja-JP"/>
              </w:rPr>
              <w:tab/>
            </w:r>
            <w:hyperlink r:id="rId9" w:history="1">
              <w:r w:rsidR="00557507" w:rsidRPr="00E72FA1">
                <w:rPr>
                  <w:rStyle w:val="Hyperlink"/>
                </w:rPr>
                <w:t>polooms@gmail.com</w:t>
              </w:r>
            </w:hyperlink>
          </w:p>
        </w:tc>
      </w:tr>
    </w:tbl>
    <w:p w:rsidR="002E7B1A" w:rsidRDefault="00557507">
      <w:pPr>
        <w:rPr>
          <w:rFonts w:eastAsia="Malgun Gothic"/>
        </w:rPr>
      </w:pPr>
      <w:r>
        <w:t xml:space="preserve">The </w:t>
      </w:r>
      <w:r w:rsidR="00023A4B" w:rsidRPr="00557507">
        <w:t xml:space="preserve">ITU-T </w:t>
      </w:r>
      <w:r w:rsidRPr="00557507">
        <w:t xml:space="preserve">Focus Group on </w:t>
      </w:r>
      <w:proofErr w:type="spellStart"/>
      <w:r w:rsidRPr="00557507">
        <w:t>Audiovisual</w:t>
      </w:r>
      <w:proofErr w:type="spellEnd"/>
      <w:r w:rsidRPr="00557507">
        <w:t xml:space="preserve"> Media Accessibility (FG</w:t>
      </w:r>
      <w:r w:rsidRPr="00557507">
        <w:rPr>
          <w:rFonts w:eastAsia="Malgun Gothic" w:hint="eastAsia"/>
        </w:rPr>
        <w:t xml:space="preserve"> </w:t>
      </w:r>
      <w:r w:rsidRPr="00557507">
        <w:rPr>
          <w:rFonts w:eastAsia="Malgun Gothic"/>
        </w:rPr>
        <w:t>AVA</w:t>
      </w:r>
      <w:r w:rsidRPr="00557507">
        <w:rPr>
          <w:rFonts w:eastAsia="Malgun Gothic" w:hint="eastAsia"/>
        </w:rPr>
        <w:t>)</w:t>
      </w:r>
      <w:r w:rsidRPr="00557507">
        <w:rPr>
          <w:rFonts w:eastAsia="Malgun Gothic"/>
        </w:rPr>
        <w:t xml:space="preserve"> </w:t>
      </w:r>
      <w:r w:rsidR="00C02FC4" w:rsidRPr="00557507">
        <w:rPr>
          <w:rFonts w:eastAsia="Batang"/>
        </w:rPr>
        <w:t xml:space="preserve">is </w:t>
      </w:r>
      <w:r w:rsidR="00C02FC4" w:rsidRPr="00557507">
        <w:t>pleased to inform you that we start</w:t>
      </w:r>
      <w:r w:rsidR="0016081B" w:rsidRPr="00557507">
        <w:t>ed</w:t>
      </w:r>
      <w:r w:rsidR="00C02FC4" w:rsidRPr="00557507">
        <w:t xml:space="preserve"> work and made progress </w:t>
      </w:r>
      <w:r w:rsidR="0016081B" w:rsidRPr="00557507">
        <w:t xml:space="preserve">at </w:t>
      </w:r>
      <w:r w:rsidRPr="00557507">
        <w:t>our</w:t>
      </w:r>
      <w:r w:rsidR="00C02FC4" w:rsidRPr="00557507">
        <w:t xml:space="preserve"> </w:t>
      </w:r>
      <w:r w:rsidR="0016081B" w:rsidRPr="00557507">
        <w:t xml:space="preserve">first meeting </w:t>
      </w:r>
      <w:r w:rsidRPr="00557507">
        <w:t>in Geneva, 26 May 2011</w:t>
      </w:r>
      <w:r w:rsidR="006421D4">
        <w:t>.</w:t>
      </w:r>
      <w:r w:rsidRPr="00557507">
        <w:rPr>
          <w:rFonts w:eastAsia="Malgun Gothic"/>
        </w:rPr>
        <w:t xml:space="preserve"> </w:t>
      </w:r>
      <w:r w:rsidR="006421D4">
        <w:rPr>
          <w:rFonts w:eastAsia="Malgun Gothic"/>
        </w:rPr>
        <w:t xml:space="preserve">The chairman of the group is Mr </w:t>
      </w:r>
      <w:r w:rsidR="006421D4">
        <w:rPr>
          <w:szCs w:val="24"/>
          <w:lang w:eastAsia="ja-JP"/>
        </w:rPr>
        <w:t xml:space="preserve">Peter Olaf Looms (EBU and Denmark), assisted by vice-chairmen Messrs </w:t>
      </w:r>
      <w:r w:rsidR="00230A48" w:rsidRPr="00083922">
        <w:rPr>
          <w:rFonts w:eastAsia="Malgun Gothic"/>
        </w:rPr>
        <w:t xml:space="preserve">Masahito Kawamori </w:t>
      </w:r>
      <w:r w:rsidR="0071168C">
        <w:rPr>
          <w:rFonts w:eastAsia="Malgun Gothic"/>
        </w:rPr>
        <w:t>(</w:t>
      </w:r>
      <w:r w:rsidR="00230A48" w:rsidRPr="00083922">
        <w:rPr>
          <w:rFonts w:eastAsia="Malgun Gothic"/>
        </w:rPr>
        <w:t>NTT</w:t>
      </w:r>
      <w:r w:rsidR="0071168C">
        <w:rPr>
          <w:rFonts w:eastAsia="Malgun Gothic"/>
        </w:rPr>
        <w:t>, Japan)</w:t>
      </w:r>
      <w:r w:rsidR="00230A48">
        <w:rPr>
          <w:rFonts w:eastAsia="Malgun Gothic"/>
        </w:rPr>
        <w:t xml:space="preserve">, </w:t>
      </w:r>
      <w:r w:rsidR="00230A48" w:rsidRPr="00083922">
        <w:rPr>
          <w:rFonts w:eastAsia="Malgun Gothic"/>
        </w:rPr>
        <w:t xml:space="preserve">Clyde Smith </w:t>
      </w:r>
      <w:r w:rsidR="0071168C">
        <w:rPr>
          <w:rFonts w:eastAsia="Malgun Gothic"/>
        </w:rPr>
        <w:t>(</w:t>
      </w:r>
      <w:r w:rsidR="00230A48" w:rsidRPr="00083922">
        <w:rPr>
          <w:rFonts w:eastAsia="Malgun Gothic"/>
        </w:rPr>
        <w:t>Turner Broadcasting System</w:t>
      </w:r>
      <w:r w:rsidR="0071168C">
        <w:rPr>
          <w:rFonts w:eastAsia="Malgun Gothic"/>
        </w:rPr>
        <w:t>, USA)</w:t>
      </w:r>
      <w:r w:rsidR="00230A48">
        <w:rPr>
          <w:rFonts w:eastAsia="Malgun Gothic"/>
        </w:rPr>
        <w:t xml:space="preserve"> and </w:t>
      </w:r>
      <w:r w:rsidR="00230A48" w:rsidRPr="00083922">
        <w:rPr>
          <w:rFonts w:eastAsia="Malgun Gothic"/>
        </w:rPr>
        <w:t xml:space="preserve">Axel Leblois </w:t>
      </w:r>
      <w:r w:rsidR="0071168C">
        <w:rPr>
          <w:rFonts w:eastAsia="Malgun Gothic"/>
        </w:rPr>
        <w:t>(</w:t>
      </w:r>
      <w:r w:rsidR="00230A48" w:rsidRPr="00083922">
        <w:rPr>
          <w:rFonts w:eastAsia="Malgun Gothic"/>
        </w:rPr>
        <w:t>G3ict</w:t>
      </w:r>
      <w:r w:rsidR="0071168C">
        <w:rPr>
          <w:rFonts w:eastAsia="Malgun Gothic"/>
        </w:rPr>
        <w:t>)</w:t>
      </w:r>
      <w:r w:rsidR="00230A48">
        <w:rPr>
          <w:rFonts w:eastAsia="Malgun Gothic"/>
        </w:rPr>
        <w:t>.</w:t>
      </w:r>
    </w:p>
    <w:p w:rsidR="00230A48" w:rsidRPr="00115C6E" w:rsidRDefault="00230A48" w:rsidP="00230A48">
      <w:r w:rsidRPr="00115C6E">
        <w:rPr>
          <w:rFonts w:eastAsia="Malgun Gothic"/>
        </w:rPr>
        <w:t xml:space="preserve">The FG AVA decided </w:t>
      </w:r>
      <w:r>
        <w:t>to organize the work in Working Groups (WGs) and assigned Working Group Coordinators (WGCs) as follows</w:t>
      </w:r>
      <w:r w:rsidRPr="00115C6E">
        <w:t>: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1</w:t>
      </w:r>
      <w:r>
        <w:t xml:space="preserve"> – </w:t>
      </w:r>
      <w:r w:rsidRPr="00115C6E">
        <w:t>Captioning</w:t>
      </w:r>
      <w:r>
        <w:br/>
      </w:r>
      <w:r w:rsidR="00F7301C" w:rsidRPr="00F7301C">
        <w:rPr>
          <w:rFonts w:eastAsia="Malgun Gothic"/>
          <w:i/>
          <w:iCs/>
        </w:rPr>
        <w:t>Clyde Smith (</w:t>
      </w:r>
      <w:r w:rsidR="00F7301C" w:rsidRPr="00F7301C">
        <w:rPr>
          <w:i/>
          <w:iCs/>
          <w:szCs w:val="24"/>
          <w:lang w:eastAsia="ja-JP"/>
        </w:rPr>
        <w:t>ITU-T FG AVA Vice-chair</w:t>
      </w:r>
      <w:r w:rsidR="00F7301C" w:rsidRPr="00F7301C">
        <w:rPr>
          <w:rFonts w:eastAsia="Malgun Gothic"/>
          <w:i/>
          <w:iCs/>
        </w:rPr>
        <w:t>)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2</w:t>
      </w:r>
      <w:r>
        <w:t xml:space="preserve"> – </w:t>
      </w:r>
      <w:r w:rsidRPr="00115C6E">
        <w:t>Audio/Video description and spoken captions</w:t>
      </w:r>
      <w:r>
        <w:br/>
      </w:r>
      <w:r w:rsidR="00F7301C" w:rsidRPr="00F7301C">
        <w:rPr>
          <w:i/>
          <w:iCs/>
        </w:rPr>
        <w:t>Pilar Orero (</w:t>
      </w:r>
      <w:proofErr w:type="spellStart"/>
      <w:r w:rsidR="00F7301C" w:rsidRPr="00F7301C">
        <w:rPr>
          <w:i/>
          <w:iCs/>
        </w:rPr>
        <w:t>Universitat</w:t>
      </w:r>
      <w:proofErr w:type="spellEnd"/>
      <w:r w:rsidR="00F7301C" w:rsidRPr="00F7301C">
        <w:rPr>
          <w:i/>
          <w:iCs/>
        </w:rPr>
        <w:t xml:space="preserve"> </w:t>
      </w:r>
      <w:proofErr w:type="spellStart"/>
      <w:r w:rsidR="00F7301C" w:rsidRPr="00F7301C">
        <w:rPr>
          <w:i/>
          <w:iCs/>
        </w:rPr>
        <w:t>Autonoma</w:t>
      </w:r>
      <w:proofErr w:type="spellEnd"/>
      <w:r w:rsidR="00F7301C" w:rsidRPr="00F7301C">
        <w:rPr>
          <w:i/>
          <w:iCs/>
        </w:rPr>
        <w:t xml:space="preserve"> de Barcelona, Spain) and Aline Remael (University College </w:t>
      </w:r>
      <w:proofErr w:type="spellStart"/>
      <w:r w:rsidR="00F7301C" w:rsidRPr="00F7301C">
        <w:rPr>
          <w:i/>
          <w:iCs/>
        </w:rPr>
        <w:t>Artesis</w:t>
      </w:r>
      <w:proofErr w:type="spellEnd"/>
      <w:r w:rsidR="00F7301C" w:rsidRPr="00F7301C">
        <w:rPr>
          <w:i/>
          <w:iCs/>
        </w:rPr>
        <w:t>, Belgium)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3</w:t>
      </w:r>
      <w:r>
        <w:t xml:space="preserve"> – </w:t>
      </w:r>
      <w:r w:rsidRPr="00115C6E">
        <w:t>Visual signing and sign language</w:t>
      </w:r>
      <w:r>
        <w:br/>
      </w:r>
      <w:r w:rsidR="00F7301C" w:rsidRPr="00F7301C">
        <w:rPr>
          <w:i/>
          <w:iCs/>
        </w:rPr>
        <w:t>Takayuki Ito (NHK, Japan)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4</w:t>
      </w:r>
      <w:r>
        <w:t xml:space="preserve"> – </w:t>
      </w:r>
      <w:r w:rsidRPr="00115C6E">
        <w:t>Emerging access services</w:t>
      </w:r>
      <w:r>
        <w:br/>
      </w:r>
      <w:r w:rsidR="00D8370B">
        <w:rPr>
          <w:i/>
          <w:iCs/>
        </w:rPr>
        <w:t>David Wood (</w:t>
      </w:r>
      <w:r w:rsidR="00F7301C" w:rsidRPr="00F7301C">
        <w:rPr>
          <w:i/>
          <w:iCs/>
        </w:rPr>
        <w:t>EBU)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5</w:t>
      </w:r>
      <w:r>
        <w:t xml:space="preserve"> – </w:t>
      </w:r>
      <w:r w:rsidRPr="00115C6E">
        <w:t>Electronic Programming Guides and on-air promotion</w:t>
      </w:r>
      <w:r>
        <w:br/>
      </w:r>
      <w:r w:rsidR="00F7301C" w:rsidRPr="00F7301C">
        <w:rPr>
          <w:i/>
          <w:iCs/>
        </w:rPr>
        <w:t>Peter Olaf Looms (</w:t>
      </w:r>
      <w:r w:rsidR="00F7301C" w:rsidRPr="00F7301C">
        <w:rPr>
          <w:i/>
          <w:iCs/>
          <w:szCs w:val="24"/>
          <w:lang w:eastAsia="ja-JP"/>
        </w:rPr>
        <w:t>ITU-T FG AVA Chair</w:t>
      </w:r>
      <w:r w:rsidR="00F7301C" w:rsidRPr="00F7301C">
        <w:rPr>
          <w:i/>
          <w:iCs/>
        </w:rPr>
        <w:t>)</w:t>
      </w:r>
    </w:p>
    <w:p w:rsidR="0071168C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6</w:t>
      </w:r>
      <w:r>
        <w:t xml:space="preserve"> – </w:t>
      </w:r>
      <w:r w:rsidRPr="00115C6E">
        <w:t>Participation and digital media</w:t>
      </w:r>
      <w:r>
        <w:br/>
      </w:r>
      <w:r w:rsidR="00F7301C" w:rsidRPr="00F7301C">
        <w:rPr>
          <w:i/>
          <w:iCs/>
        </w:rPr>
        <w:t>Pradipta Biswas (University of Cambridge, UK)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7</w:t>
      </w:r>
      <w:r>
        <w:t xml:space="preserve"> – </w:t>
      </w:r>
      <w:r w:rsidRPr="00115C6E">
        <w:t>Digital Broadcast Television</w:t>
      </w:r>
      <w:r>
        <w:br/>
      </w:r>
      <w:r w:rsidR="00F7301C" w:rsidRPr="00F7301C">
        <w:rPr>
          <w:i/>
          <w:iCs/>
        </w:rPr>
        <w:t xml:space="preserve">Nick Tanton (BBC, UK) and Peter </w:t>
      </w:r>
      <w:proofErr w:type="spellStart"/>
      <w:r w:rsidR="00F7301C" w:rsidRPr="00F7301C">
        <w:rPr>
          <w:i/>
          <w:iCs/>
        </w:rPr>
        <w:t>Mølsted</w:t>
      </w:r>
      <w:proofErr w:type="spellEnd"/>
      <w:r w:rsidR="00F7301C" w:rsidRPr="00F7301C">
        <w:rPr>
          <w:i/>
          <w:iCs/>
        </w:rPr>
        <w:t xml:space="preserve">  (DR/Danish Broadcasting Corporation)</w:t>
      </w:r>
    </w:p>
    <w:p w:rsidR="0071168C" w:rsidRPr="004D33DA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  <w:rPr>
          <w:lang w:val="fr-CH"/>
        </w:rPr>
      </w:pPr>
      <w:r w:rsidRPr="007D2B9D">
        <w:rPr>
          <w:lang w:val="fr-CH"/>
        </w:rPr>
        <w:t xml:space="preserve">WG </w:t>
      </w:r>
      <w:r w:rsidRPr="007D2B9D">
        <w:rPr>
          <w:noProof/>
          <w:lang w:val="fr-CH"/>
        </w:rPr>
        <w:t>8</w:t>
      </w:r>
      <w:r w:rsidRPr="007D2B9D">
        <w:rPr>
          <w:lang w:val="fr-CH"/>
        </w:rPr>
        <w:t xml:space="preserve"> – </w:t>
      </w:r>
      <w:r w:rsidRPr="004D33DA">
        <w:rPr>
          <w:lang w:val="fr-CH"/>
        </w:rPr>
        <w:t>IPTV</w:t>
      </w:r>
      <w:r w:rsidRPr="004D33DA">
        <w:rPr>
          <w:lang w:val="fr-CH"/>
        </w:rPr>
        <w:br/>
      </w:r>
      <w:r w:rsidR="00F7301C" w:rsidRPr="00F7301C">
        <w:rPr>
          <w:i/>
          <w:iCs/>
          <w:lang w:val="fr-CH"/>
        </w:rPr>
        <w:t xml:space="preserve">Masahito Kawamori </w:t>
      </w:r>
      <w:r w:rsidR="00F7301C" w:rsidRPr="00F7301C">
        <w:rPr>
          <w:rFonts w:eastAsia="Malgun Gothic"/>
          <w:i/>
          <w:iCs/>
          <w:lang w:val="fr-CH"/>
        </w:rPr>
        <w:t>(</w:t>
      </w:r>
      <w:r w:rsidR="00F7301C" w:rsidRPr="00F7301C">
        <w:rPr>
          <w:i/>
          <w:iCs/>
          <w:szCs w:val="24"/>
          <w:lang w:val="fr-CH" w:eastAsia="ja-JP"/>
        </w:rPr>
        <w:t>ITU-T FG AVA Vice-chair</w:t>
      </w:r>
      <w:r w:rsidR="00F7301C" w:rsidRPr="00F7301C">
        <w:rPr>
          <w:rFonts w:eastAsia="Malgun Gothic"/>
          <w:i/>
          <w:iCs/>
          <w:lang w:val="fr-CH"/>
        </w:rPr>
        <w:t>)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lastRenderedPageBreak/>
        <w:t xml:space="preserve">WG </w:t>
      </w:r>
      <w:r>
        <w:rPr>
          <w:noProof/>
        </w:rPr>
        <w:t>9</w:t>
      </w:r>
      <w:r>
        <w:t xml:space="preserve"> – </w:t>
      </w:r>
      <w:r w:rsidRPr="00115C6E">
        <w:t>Mobile and handheld devices</w:t>
      </w:r>
      <w:r>
        <w:br/>
      </w:r>
      <w:r w:rsidR="00F7301C" w:rsidRPr="00F7301C">
        <w:rPr>
          <w:i/>
          <w:iCs/>
        </w:rPr>
        <w:t xml:space="preserve">Axel Leblois </w:t>
      </w:r>
      <w:r w:rsidR="00F7301C" w:rsidRPr="00F7301C">
        <w:rPr>
          <w:rFonts w:eastAsia="Malgun Gothic"/>
          <w:i/>
          <w:iCs/>
        </w:rPr>
        <w:t>(</w:t>
      </w:r>
      <w:r w:rsidR="00F7301C" w:rsidRPr="00F7301C">
        <w:rPr>
          <w:i/>
          <w:iCs/>
          <w:szCs w:val="24"/>
          <w:lang w:eastAsia="ja-JP"/>
        </w:rPr>
        <w:t>ITU-T FG AVA Vice-chair</w:t>
      </w:r>
      <w:r w:rsidR="00F7301C" w:rsidRPr="00F7301C">
        <w:rPr>
          <w:rFonts w:eastAsia="Malgun Gothic"/>
          <w:i/>
          <w:iCs/>
        </w:rPr>
        <w:t>)</w:t>
      </w:r>
      <w:r>
        <w:t xml:space="preserve"> </w:t>
      </w:r>
    </w:p>
    <w:p w:rsidR="0071168C" w:rsidRPr="00115C6E" w:rsidRDefault="0071168C" w:rsidP="0071168C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contextualSpacing/>
      </w:pPr>
      <w:r>
        <w:t xml:space="preserve">WG </w:t>
      </w:r>
      <w:r>
        <w:rPr>
          <w:noProof/>
        </w:rPr>
        <w:t>10</w:t>
      </w:r>
      <w:r>
        <w:t xml:space="preserve"> – </w:t>
      </w:r>
      <w:r w:rsidRPr="00115C6E">
        <w:t>Key Performance Indicators for the accessibility of broadcast television, IPTV and metadata, mobile and hand-held devices</w:t>
      </w:r>
      <w:r>
        <w:br/>
      </w:r>
      <w:r w:rsidR="00F7301C" w:rsidRPr="00F7301C">
        <w:rPr>
          <w:rFonts w:eastAsia="Malgun Gothic"/>
          <w:i/>
          <w:iCs/>
        </w:rPr>
        <w:t>Peter Olaf Looms (</w:t>
      </w:r>
      <w:r w:rsidR="00F7301C" w:rsidRPr="00F7301C">
        <w:rPr>
          <w:i/>
          <w:iCs/>
          <w:szCs w:val="24"/>
          <w:lang w:eastAsia="ja-JP"/>
        </w:rPr>
        <w:t>ITU-T FG AVA Chair)</w:t>
      </w:r>
      <w:r w:rsidR="00F7301C" w:rsidRPr="00F7301C">
        <w:rPr>
          <w:rFonts w:eastAsia="Malgun Gothic"/>
          <w:i/>
          <w:iCs/>
        </w:rPr>
        <w:t xml:space="preserve">, </w:t>
      </w:r>
      <w:r w:rsidR="00F7301C" w:rsidRPr="00F7301C">
        <w:rPr>
          <w:i/>
          <w:iCs/>
        </w:rPr>
        <w:t xml:space="preserve">Masahito Kawamori </w:t>
      </w:r>
      <w:r w:rsidR="00F7301C" w:rsidRPr="00F7301C">
        <w:rPr>
          <w:rFonts w:eastAsia="Malgun Gothic"/>
          <w:i/>
          <w:iCs/>
        </w:rPr>
        <w:t>(</w:t>
      </w:r>
      <w:r w:rsidR="00F7301C" w:rsidRPr="00F7301C">
        <w:rPr>
          <w:i/>
          <w:iCs/>
          <w:szCs w:val="24"/>
          <w:lang w:eastAsia="ja-JP"/>
        </w:rPr>
        <w:t>ITU-T FG AVA Vice-chair</w:t>
      </w:r>
      <w:r w:rsidR="00F7301C" w:rsidRPr="00F7301C">
        <w:rPr>
          <w:rFonts w:eastAsia="Malgun Gothic"/>
          <w:i/>
          <w:iCs/>
        </w:rPr>
        <w:t xml:space="preserve">) and </w:t>
      </w:r>
      <w:r w:rsidR="00F7301C" w:rsidRPr="00F7301C">
        <w:rPr>
          <w:i/>
          <w:iCs/>
        </w:rPr>
        <w:t xml:space="preserve">Axel Leblois </w:t>
      </w:r>
      <w:r w:rsidR="00F7301C" w:rsidRPr="00F7301C">
        <w:rPr>
          <w:rFonts w:eastAsia="Malgun Gothic"/>
          <w:i/>
          <w:iCs/>
        </w:rPr>
        <w:t>(</w:t>
      </w:r>
      <w:r w:rsidR="00F7301C" w:rsidRPr="00F7301C">
        <w:rPr>
          <w:i/>
          <w:iCs/>
          <w:szCs w:val="24"/>
          <w:lang w:eastAsia="ja-JP"/>
        </w:rPr>
        <w:t>ITU-T FG AVA Vice-chair</w:t>
      </w:r>
      <w:r w:rsidR="00F7301C" w:rsidRPr="00F7301C">
        <w:rPr>
          <w:rFonts w:eastAsia="Malgun Gothic"/>
          <w:i/>
          <w:iCs/>
        </w:rPr>
        <w:t>)</w:t>
      </w:r>
    </w:p>
    <w:p w:rsidR="006421D4" w:rsidRDefault="006421D4" w:rsidP="006421D4">
      <w:pPr>
        <w:rPr>
          <w:rFonts w:eastAsia="Malgun Gothic"/>
        </w:rPr>
      </w:pPr>
      <w:r>
        <w:rPr>
          <w:rFonts w:eastAsia="Malgun Gothic"/>
        </w:rPr>
        <w:t xml:space="preserve">More information on the group can be found at </w:t>
      </w:r>
      <w:hyperlink r:id="rId10" w:history="1">
        <w:r w:rsidRPr="00E72FA1">
          <w:rPr>
            <w:rStyle w:val="Hyperlink"/>
          </w:rPr>
          <w:t>http://itu.int/en/ITU-T/focusgroups/ava</w:t>
        </w:r>
      </w:hyperlink>
      <w:r>
        <w:t>.</w:t>
      </w:r>
    </w:p>
    <w:p w:rsidR="00714414" w:rsidRPr="00557507" w:rsidRDefault="00624AB4" w:rsidP="00624AB4">
      <w:pPr>
        <w:rPr>
          <w:rFonts w:eastAsia="Malgun Gothic"/>
        </w:rPr>
      </w:pPr>
      <w:r>
        <w:rPr>
          <w:rFonts w:eastAsia="Malgun Gothic"/>
        </w:rPr>
        <w:t xml:space="preserve">As there are many work areas of common interest, and with the intention to maximize coordination, FG AVA would like to establish a Liaison relationship with ISO/IEC JTC </w:t>
      </w:r>
      <w:r w:rsidRPr="00557507">
        <w:rPr>
          <w:rFonts w:eastAsia="Malgun Gothic"/>
        </w:rPr>
        <w:t>1 and IEC TC</w:t>
      </w:r>
      <w:r>
        <w:rPr>
          <w:rFonts w:eastAsia="Malgun Gothic"/>
        </w:rPr>
        <w:t> </w:t>
      </w:r>
      <w:r w:rsidRPr="00557507">
        <w:rPr>
          <w:rFonts w:eastAsia="Malgun Gothic"/>
        </w:rPr>
        <w:t>100</w:t>
      </w:r>
      <w:r>
        <w:rPr>
          <w:rFonts w:eastAsia="Malgun Gothic"/>
        </w:rPr>
        <w:t xml:space="preserve">. To this end, </w:t>
      </w:r>
      <w:r w:rsidR="00023A4B" w:rsidRPr="00557507">
        <w:rPr>
          <w:rFonts w:eastAsia="Malgun Gothic"/>
        </w:rPr>
        <w:t xml:space="preserve">FG AVA </w:t>
      </w:r>
      <w:r w:rsidR="006421D4">
        <w:rPr>
          <w:rFonts w:eastAsia="Malgun Gothic"/>
        </w:rPr>
        <w:t>agreed to</w:t>
      </w:r>
      <w:r w:rsidR="00714414" w:rsidRPr="00557507">
        <w:rPr>
          <w:rFonts w:eastAsia="Malgun Gothic"/>
        </w:rPr>
        <w:t xml:space="preserve"> appoint Mrs Ulri</w:t>
      </w:r>
      <w:r w:rsidR="008A507B" w:rsidRPr="00557507">
        <w:rPr>
          <w:rFonts w:eastAsia="Malgun Gothic"/>
        </w:rPr>
        <w:t>k</w:t>
      </w:r>
      <w:r w:rsidR="00714414" w:rsidRPr="00557507">
        <w:rPr>
          <w:rFonts w:eastAsia="Malgun Gothic"/>
        </w:rPr>
        <w:t xml:space="preserve">e </w:t>
      </w:r>
      <w:r w:rsidR="006421D4">
        <w:rPr>
          <w:rFonts w:eastAsia="Malgun Gothic"/>
        </w:rPr>
        <w:t>Haltrich</w:t>
      </w:r>
      <w:r w:rsidR="008A507B" w:rsidRPr="00557507">
        <w:rPr>
          <w:rFonts w:eastAsia="Malgun Gothic"/>
        </w:rPr>
        <w:t xml:space="preserve"> </w:t>
      </w:r>
      <w:r w:rsidR="006421D4">
        <w:rPr>
          <w:rFonts w:eastAsia="Malgun Gothic"/>
        </w:rPr>
        <w:t>(</w:t>
      </w:r>
      <w:r w:rsidR="008A507B" w:rsidRPr="00557507">
        <w:rPr>
          <w:rFonts w:eastAsia="Malgun Gothic"/>
        </w:rPr>
        <w:t>Sony Europe</w:t>
      </w:r>
      <w:r w:rsidR="006421D4">
        <w:rPr>
          <w:rFonts w:eastAsia="Malgun Gothic"/>
        </w:rPr>
        <w:t>)</w:t>
      </w:r>
      <w:r w:rsidR="008A507B" w:rsidRPr="00557507">
        <w:rPr>
          <w:rFonts w:eastAsia="Malgun Gothic"/>
        </w:rPr>
        <w:t xml:space="preserve"> as </w:t>
      </w:r>
      <w:r w:rsidR="00211F90" w:rsidRPr="00557507">
        <w:rPr>
          <w:rFonts w:eastAsia="Malgun Gothic"/>
        </w:rPr>
        <w:t xml:space="preserve">ITU-T FG AVA </w:t>
      </w:r>
      <w:r w:rsidR="008A507B" w:rsidRPr="00557507">
        <w:rPr>
          <w:rFonts w:eastAsia="Malgun Gothic"/>
        </w:rPr>
        <w:t>Liaison O</w:t>
      </w:r>
      <w:r w:rsidR="00714414" w:rsidRPr="00557507">
        <w:rPr>
          <w:rFonts w:eastAsia="Malgun Gothic"/>
        </w:rPr>
        <w:t xml:space="preserve">fficer to </w:t>
      </w:r>
      <w:r w:rsidR="00557507">
        <w:rPr>
          <w:rFonts w:eastAsia="Malgun Gothic"/>
        </w:rPr>
        <w:t xml:space="preserve">ISO/IEC JTC </w:t>
      </w:r>
      <w:r w:rsidR="008A507B" w:rsidRPr="00557507">
        <w:rPr>
          <w:rFonts w:eastAsia="Malgun Gothic"/>
        </w:rPr>
        <w:t>1 and IEC TC</w:t>
      </w:r>
      <w:r w:rsidR="00557507">
        <w:rPr>
          <w:rFonts w:eastAsia="Malgun Gothic"/>
        </w:rPr>
        <w:t> </w:t>
      </w:r>
      <w:r w:rsidR="008A507B" w:rsidRPr="00557507">
        <w:rPr>
          <w:rFonts w:eastAsia="Malgun Gothic"/>
        </w:rPr>
        <w:t>100.</w:t>
      </w:r>
      <w:r w:rsidR="006421D4">
        <w:rPr>
          <w:rFonts w:eastAsia="Malgun Gothic"/>
        </w:rPr>
        <w:t xml:space="preserve"> We would look forward to having representatives from ISO/IEC JTC </w:t>
      </w:r>
      <w:r w:rsidR="006421D4" w:rsidRPr="00557507">
        <w:rPr>
          <w:rFonts w:eastAsia="Malgun Gothic"/>
        </w:rPr>
        <w:t>1 and IEC TC</w:t>
      </w:r>
      <w:r w:rsidR="006421D4">
        <w:rPr>
          <w:rFonts w:eastAsia="Malgun Gothic"/>
        </w:rPr>
        <w:t> </w:t>
      </w:r>
      <w:r w:rsidR="006421D4" w:rsidRPr="00557507">
        <w:rPr>
          <w:rFonts w:eastAsia="Malgun Gothic"/>
        </w:rPr>
        <w:t>100</w:t>
      </w:r>
      <w:r w:rsidR="006421D4">
        <w:rPr>
          <w:rFonts w:eastAsia="Malgun Gothic"/>
        </w:rPr>
        <w:t xml:space="preserve"> into the FG AVA.</w:t>
      </w:r>
    </w:p>
    <w:p w:rsidR="00F0563F" w:rsidRDefault="00932EC2" w:rsidP="00F33620">
      <w:pPr>
        <w:rPr>
          <w:rFonts w:eastAsia="Malgun Gothic"/>
        </w:rPr>
      </w:pPr>
      <w:r>
        <w:rPr>
          <w:rFonts w:eastAsia="Malgun Gothic"/>
        </w:rPr>
        <w:t xml:space="preserve">Independent of official liaison roles, ISO/IEC JTC </w:t>
      </w:r>
      <w:r w:rsidRPr="00557507">
        <w:rPr>
          <w:rFonts w:eastAsia="Malgun Gothic"/>
        </w:rPr>
        <w:t>1 and IEC TC</w:t>
      </w:r>
      <w:r>
        <w:rPr>
          <w:rFonts w:eastAsia="Malgun Gothic"/>
        </w:rPr>
        <w:t> </w:t>
      </w:r>
      <w:r w:rsidRPr="00557507">
        <w:rPr>
          <w:rFonts w:eastAsia="Malgun Gothic"/>
        </w:rPr>
        <w:t>100</w:t>
      </w:r>
      <w:r>
        <w:rPr>
          <w:rFonts w:eastAsia="Malgun Gothic"/>
        </w:rPr>
        <w:t xml:space="preserve"> </w:t>
      </w:r>
      <w:r w:rsidR="00F33620">
        <w:rPr>
          <w:rFonts w:eastAsia="Malgun Gothic"/>
        </w:rPr>
        <w:t xml:space="preserve">members </w:t>
      </w:r>
      <w:r>
        <w:rPr>
          <w:rFonts w:eastAsia="Malgun Gothic"/>
        </w:rPr>
        <w:t xml:space="preserve">can also participate in individual capacity. </w:t>
      </w:r>
      <w:r w:rsidRPr="000B5553">
        <w:t xml:space="preserve">Those wishing to take part in FG AVA and its working groups </w:t>
      </w:r>
      <w:r>
        <w:t>can</w:t>
      </w:r>
      <w:r w:rsidRPr="000B5553">
        <w:t xml:space="preserve"> register for the Focus Group</w:t>
      </w:r>
      <w:r>
        <w:t xml:space="preserve"> and </w:t>
      </w:r>
      <w:r w:rsidRPr="000B5553">
        <w:t xml:space="preserve">details can be found </w:t>
      </w:r>
      <w:r>
        <w:t xml:space="preserve">in the section dedicated to </w:t>
      </w:r>
      <w:r w:rsidRPr="004D33DA">
        <w:rPr>
          <w:b/>
          <w:bCs/>
        </w:rPr>
        <w:t>“FG AVA Meetings”</w:t>
      </w:r>
      <w:r>
        <w:rPr>
          <w:b/>
          <w:bCs/>
        </w:rPr>
        <w:t xml:space="preserve"> </w:t>
      </w:r>
      <w:r w:rsidRPr="001329E7">
        <w:t>and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4D33DA">
        <w:rPr>
          <w:b/>
          <w:bCs/>
        </w:rPr>
        <w:t>“</w:t>
      </w:r>
      <w:r w:rsidRPr="002A79B0">
        <w:rPr>
          <w:rFonts w:asciiTheme="majorBidi" w:hAnsiTheme="majorBidi" w:cstheme="majorBidi"/>
          <w:b/>
          <w:bCs/>
        </w:rPr>
        <w:t>FG AVA FTP area and Mailing list”</w:t>
      </w:r>
      <w:r w:rsidR="00F447EF" w:rsidRPr="00F447EF">
        <w:rPr>
          <w:rFonts w:asciiTheme="majorBidi" w:hAnsiTheme="majorBidi" w:cstheme="majorBidi"/>
        </w:rPr>
        <w:t xml:space="preserve"> of </w:t>
      </w:r>
      <w:r>
        <w:t>the FG AVA homepage</w:t>
      </w:r>
      <w:r w:rsidR="00F447EF" w:rsidRPr="00F447EF">
        <w:rPr>
          <w:rFonts w:asciiTheme="majorBidi" w:hAnsiTheme="majorBidi" w:cstheme="majorBidi"/>
        </w:rPr>
        <w:t>.</w:t>
      </w:r>
    </w:p>
    <w:p w:rsidR="008A507B" w:rsidRDefault="008A507B" w:rsidP="00557507">
      <w:pPr>
        <w:rPr>
          <w:rFonts w:eastAsia="Malgun Gothic"/>
        </w:rPr>
      </w:pPr>
      <w:r w:rsidRPr="00557507">
        <w:rPr>
          <w:rFonts w:eastAsia="Malgun Gothic"/>
        </w:rPr>
        <w:t xml:space="preserve">ITU-T FG AVA looks forward to </w:t>
      </w:r>
      <w:r w:rsidR="00557507">
        <w:rPr>
          <w:rFonts w:eastAsia="Malgun Gothic"/>
        </w:rPr>
        <w:t xml:space="preserve">working closely with ISO/IEC JTC </w:t>
      </w:r>
      <w:r w:rsidR="00557507" w:rsidRPr="00557507">
        <w:rPr>
          <w:rFonts w:eastAsia="Malgun Gothic"/>
        </w:rPr>
        <w:t>1 and IEC TC</w:t>
      </w:r>
      <w:r w:rsidR="00557507">
        <w:rPr>
          <w:rFonts w:eastAsia="Malgun Gothic"/>
        </w:rPr>
        <w:t> </w:t>
      </w:r>
      <w:r w:rsidR="00557507" w:rsidRPr="00557507">
        <w:rPr>
          <w:rFonts w:eastAsia="Malgun Gothic"/>
        </w:rPr>
        <w:t>100</w:t>
      </w:r>
      <w:r w:rsidRPr="00557507">
        <w:rPr>
          <w:rFonts w:eastAsia="Malgun Gothic"/>
        </w:rPr>
        <w:t>.</w:t>
      </w:r>
    </w:p>
    <w:p w:rsidR="00557507" w:rsidRPr="00557507" w:rsidRDefault="00557507" w:rsidP="00557507">
      <w:pPr>
        <w:jc w:val="center"/>
        <w:rPr>
          <w:rFonts w:eastAsia="Malgun Gothic"/>
        </w:rPr>
      </w:pPr>
      <w:r>
        <w:rPr>
          <w:rFonts w:eastAsia="Malgun Gothic"/>
        </w:rPr>
        <w:t>____________________</w:t>
      </w:r>
    </w:p>
    <w:sectPr w:rsidR="00557507" w:rsidRPr="00557507" w:rsidSect="006421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76" w:rsidRDefault="00570876" w:rsidP="009F5CAB">
      <w:r>
        <w:separator/>
      </w:r>
    </w:p>
  </w:endnote>
  <w:endnote w:type="continuationSeparator" w:id="0">
    <w:p w:rsidR="00570876" w:rsidRDefault="00570876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35" w:rsidRDefault="00655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35" w:rsidRDefault="006553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714414" w:rsidRPr="00283179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714414" w:rsidRPr="00283179" w:rsidRDefault="00714414" w:rsidP="00283179">
          <w:pPr>
            <w:spacing w:before="0"/>
            <w:rPr>
              <w:sz w:val="18"/>
            </w:rPr>
          </w:pPr>
          <w:r w:rsidRPr="00283179">
            <w:rPr>
              <w:b/>
              <w:bCs/>
              <w:sz w:val="18"/>
            </w:rPr>
            <w:t>Attention:</w:t>
          </w:r>
          <w:r w:rsidRPr="00283179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714414" w:rsidRPr="00283179" w:rsidRDefault="00714414" w:rsidP="00283179">
          <w:pPr>
            <w:spacing w:before="0"/>
            <w:rPr>
              <w:sz w:val="18"/>
            </w:rPr>
          </w:pPr>
          <w:r w:rsidRPr="00283179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714414" w:rsidRPr="00283179" w:rsidRDefault="00714414" w:rsidP="00283179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76" w:rsidRDefault="00570876" w:rsidP="009F5CAB">
      <w:r>
        <w:separator/>
      </w:r>
    </w:p>
  </w:footnote>
  <w:footnote w:type="continuationSeparator" w:id="0">
    <w:p w:rsidR="00570876" w:rsidRDefault="00570876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35" w:rsidRDefault="00655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14" w:rsidRPr="00283179" w:rsidRDefault="00714414" w:rsidP="00283179">
    <w:pPr>
      <w:pStyle w:val="Header"/>
    </w:pPr>
    <w:r w:rsidRPr="00283179">
      <w:t xml:space="preserve">- </w:t>
    </w:r>
    <w:r w:rsidR="00655335">
      <w:fldChar w:fldCharType="begin"/>
    </w:r>
    <w:r w:rsidR="00655335">
      <w:instrText xml:space="preserve"> PAGE  \* MERGEFORMAT </w:instrText>
    </w:r>
    <w:r w:rsidR="00655335">
      <w:fldChar w:fldCharType="separate"/>
    </w:r>
    <w:r w:rsidR="00655335">
      <w:rPr>
        <w:noProof/>
      </w:rPr>
      <w:t>3</w:t>
    </w:r>
    <w:r w:rsidR="00655335">
      <w:rPr>
        <w:noProof/>
      </w:rPr>
      <w:fldChar w:fldCharType="end"/>
    </w:r>
    <w:r w:rsidRPr="00283179">
      <w:t xml:space="preserve"> -</w:t>
    </w:r>
    <w:bookmarkStart w:id="10" w:name="_GoBack"/>
    <w:bookmarkEnd w:id="1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35" w:rsidRDefault="00655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2E67F0"/>
    <w:multiLevelType w:val="hybridMultilevel"/>
    <w:tmpl w:val="55AC0314"/>
    <w:lvl w:ilvl="0" w:tplc="A0A41FBC">
      <w:numFmt w:val="bullet"/>
      <w:lvlText w:val="·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D0B07"/>
    <w:multiLevelType w:val="hybridMultilevel"/>
    <w:tmpl w:val="DB68D922"/>
    <w:lvl w:ilvl="0" w:tplc="CF08E4A2">
      <w:start w:val="1"/>
      <w:numFmt w:val="decimal"/>
      <w:lvlText w:val="%1)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0EF552B"/>
    <w:multiLevelType w:val="hybridMultilevel"/>
    <w:tmpl w:val="B588BF2C"/>
    <w:lvl w:ilvl="0" w:tplc="A0A41FBC">
      <w:numFmt w:val="bullet"/>
      <w:lvlText w:val="·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65743"/>
    <w:multiLevelType w:val="hybridMultilevel"/>
    <w:tmpl w:val="C84ECCC8"/>
    <w:lvl w:ilvl="0" w:tplc="F3C08C0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16D19EA"/>
    <w:multiLevelType w:val="hybridMultilevel"/>
    <w:tmpl w:val="A24235FA"/>
    <w:lvl w:ilvl="0" w:tplc="F3C08C0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78523EA6"/>
    <w:multiLevelType w:val="hybridMultilevel"/>
    <w:tmpl w:val="3CC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CAB"/>
    <w:rsid w:val="00023A4B"/>
    <w:rsid w:val="00077E16"/>
    <w:rsid w:val="00081D25"/>
    <w:rsid w:val="00092F33"/>
    <w:rsid w:val="00094CDC"/>
    <w:rsid w:val="000974C8"/>
    <w:rsid w:val="000D3A5D"/>
    <w:rsid w:val="000E19DB"/>
    <w:rsid w:val="0012362D"/>
    <w:rsid w:val="0016081B"/>
    <w:rsid w:val="001862D5"/>
    <w:rsid w:val="001D050B"/>
    <w:rsid w:val="001D667E"/>
    <w:rsid w:val="001F0479"/>
    <w:rsid w:val="001F4BAE"/>
    <w:rsid w:val="00207BF3"/>
    <w:rsid w:val="00211F90"/>
    <w:rsid w:val="00215402"/>
    <w:rsid w:val="00226033"/>
    <w:rsid w:val="00230A48"/>
    <w:rsid w:val="00232C4A"/>
    <w:rsid w:val="00280B7E"/>
    <w:rsid w:val="00283179"/>
    <w:rsid w:val="00292745"/>
    <w:rsid w:val="002E7B1A"/>
    <w:rsid w:val="003142C6"/>
    <w:rsid w:val="00322195"/>
    <w:rsid w:val="003869CD"/>
    <w:rsid w:val="003C1F9D"/>
    <w:rsid w:val="003C7FA5"/>
    <w:rsid w:val="00455DE2"/>
    <w:rsid w:val="00485E16"/>
    <w:rsid w:val="00493A83"/>
    <w:rsid w:val="004B5E8C"/>
    <w:rsid w:val="005472A8"/>
    <w:rsid w:val="00547E23"/>
    <w:rsid w:val="00557507"/>
    <w:rsid w:val="0056188B"/>
    <w:rsid w:val="00570876"/>
    <w:rsid w:val="00572A8E"/>
    <w:rsid w:val="00582FED"/>
    <w:rsid w:val="005868E0"/>
    <w:rsid w:val="005D54A5"/>
    <w:rsid w:val="006035B0"/>
    <w:rsid w:val="00624AB4"/>
    <w:rsid w:val="006421D4"/>
    <w:rsid w:val="00644257"/>
    <w:rsid w:val="00652CEC"/>
    <w:rsid w:val="00655335"/>
    <w:rsid w:val="006C5717"/>
    <w:rsid w:val="0071168C"/>
    <w:rsid w:val="00714414"/>
    <w:rsid w:val="007D1924"/>
    <w:rsid w:val="007D2B9D"/>
    <w:rsid w:val="007F5554"/>
    <w:rsid w:val="008628A6"/>
    <w:rsid w:val="00872E0B"/>
    <w:rsid w:val="00896A15"/>
    <w:rsid w:val="008A507B"/>
    <w:rsid w:val="00932EC2"/>
    <w:rsid w:val="009638A0"/>
    <w:rsid w:val="009A00C1"/>
    <w:rsid w:val="009C5FFD"/>
    <w:rsid w:val="009D2393"/>
    <w:rsid w:val="009D6CFB"/>
    <w:rsid w:val="009F5CAB"/>
    <w:rsid w:val="00AB6A05"/>
    <w:rsid w:val="00B309C6"/>
    <w:rsid w:val="00B41177"/>
    <w:rsid w:val="00BF3779"/>
    <w:rsid w:val="00C02FC4"/>
    <w:rsid w:val="00C24B16"/>
    <w:rsid w:val="00C955F2"/>
    <w:rsid w:val="00CA73BE"/>
    <w:rsid w:val="00CC5757"/>
    <w:rsid w:val="00D676C3"/>
    <w:rsid w:val="00D82E29"/>
    <w:rsid w:val="00D8370B"/>
    <w:rsid w:val="00DA02AB"/>
    <w:rsid w:val="00DA203B"/>
    <w:rsid w:val="00DC2467"/>
    <w:rsid w:val="00DD5008"/>
    <w:rsid w:val="00DF0F96"/>
    <w:rsid w:val="00E423A1"/>
    <w:rsid w:val="00E434BC"/>
    <w:rsid w:val="00E448A8"/>
    <w:rsid w:val="00E606D9"/>
    <w:rsid w:val="00E64BE9"/>
    <w:rsid w:val="00E73D45"/>
    <w:rsid w:val="00ED0C32"/>
    <w:rsid w:val="00EF3207"/>
    <w:rsid w:val="00F0563F"/>
    <w:rsid w:val="00F12FF0"/>
    <w:rsid w:val="00F33620"/>
    <w:rsid w:val="00F447EF"/>
    <w:rsid w:val="00F4730A"/>
    <w:rsid w:val="00F53B6A"/>
    <w:rsid w:val="00F647DF"/>
    <w:rsid w:val="00F7301C"/>
    <w:rsid w:val="00F945BC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32C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2C4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2C4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2C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2C4A"/>
    <w:pPr>
      <w:outlineLvl w:val="4"/>
    </w:pPr>
  </w:style>
  <w:style w:type="paragraph" w:styleId="Heading6">
    <w:name w:val="heading 6"/>
    <w:basedOn w:val="Heading4"/>
    <w:next w:val="Normal"/>
    <w:qFormat/>
    <w:rsid w:val="00232C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2C4A"/>
    <w:pPr>
      <w:outlineLvl w:val="6"/>
    </w:pPr>
  </w:style>
  <w:style w:type="paragraph" w:styleId="Heading8">
    <w:name w:val="heading 8"/>
    <w:basedOn w:val="Heading6"/>
    <w:next w:val="Normal"/>
    <w:qFormat/>
    <w:rsid w:val="00232C4A"/>
    <w:pPr>
      <w:outlineLvl w:val="7"/>
    </w:pPr>
  </w:style>
  <w:style w:type="paragraph" w:styleId="Heading9">
    <w:name w:val="heading 9"/>
    <w:basedOn w:val="Heading6"/>
    <w:next w:val="Normal"/>
    <w:qFormat/>
    <w:rsid w:val="00232C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2C4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2C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2C4A"/>
  </w:style>
  <w:style w:type="paragraph" w:customStyle="1" w:styleId="AppendixNotitle">
    <w:name w:val="Appendix_No &amp; title"/>
    <w:basedOn w:val="AnnexNotitle"/>
    <w:next w:val="Normal"/>
    <w:rsid w:val="00232C4A"/>
  </w:style>
  <w:style w:type="character" w:customStyle="1" w:styleId="Artdef">
    <w:name w:val="Art_def"/>
    <w:basedOn w:val="DefaultParagraphFont"/>
    <w:rsid w:val="00232C4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232C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2C4A"/>
  </w:style>
  <w:style w:type="paragraph" w:customStyle="1" w:styleId="Arttitle">
    <w:name w:val="Art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2C4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32C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32C4A"/>
    <w:rPr>
      <w:vertAlign w:val="superscript"/>
    </w:rPr>
  </w:style>
  <w:style w:type="paragraph" w:customStyle="1" w:styleId="enumlev1">
    <w:name w:val="enumlev1"/>
    <w:basedOn w:val="Normal"/>
    <w:rsid w:val="00232C4A"/>
    <w:pPr>
      <w:spacing w:before="80"/>
      <w:ind w:left="794" w:hanging="794"/>
    </w:pPr>
  </w:style>
  <w:style w:type="paragraph" w:customStyle="1" w:styleId="enumlev2">
    <w:name w:val="enumlev2"/>
    <w:basedOn w:val="enumlev1"/>
    <w:rsid w:val="00232C4A"/>
    <w:pPr>
      <w:ind w:left="1191" w:hanging="397"/>
    </w:pPr>
  </w:style>
  <w:style w:type="paragraph" w:customStyle="1" w:styleId="enumlev3">
    <w:name w:val="enumlev3"/>
    <w:basedOn w:val="enumlev2"/>
    <w:rsid w:val="00232C4A"/>
    <w:pPr>
      <w:ind w:left="1588"/>
    </w:pPr>
  </w:style>
  <w:style w:type="paragraph" w:customStyle="1" w:styleId="Equation">
    <w:name w:val="Equation"/>
    <w:basedOn w:val="Normal"/>
    <w:rsid w:val="00232C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2C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32C4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232C4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232C4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232C4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232C4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232C4A"/>
    <w:pPr>
      <w:keepLines/>
      <w:spacing w:before="240" w:after="120"/>
      <w:jc w:val="center"/>
    </w:pPr>
  </w:style>
  <w:style w:type="paragraph" w:styleId="Footer">
    <w:name w:val="footer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2C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232C4A"/>
    <w:rPr>
      <w:position w:val="6"/>
      <w:sz w:val="18"/>
    </w:rPr>
  </w:style>
  <w:style w:type="paragraph" w:customStyle="1" w:styleId="Note">
    <w:name w:val="Note"/>
    <w:basedOn w:val="Normal"/>
    <w:rsid w:val="00232C4A"/>
    <w:pPr>
      <w:spacing w:before="80"/>
    </w:pPr>
  </w:style>
  <w:style w:type="paragraph" w:styleId="FootnoteText">
    <w:name w:val="footnote text"/>
    <w:basedOn w:val="Note"/>
    <w:semiHidden/>
    <w:rsid w:val="00232C4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232C4A"/>
    <w:rPr>
      <w:b w:val="0"/>
    </w:rPr>
  </w:style>
  <w:style w:type="paragraph" w:styleId="Header">
    <w:name w:val="header"/>
    <w:basedOn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2C4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2C4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2C4A"/>
  </w:style>
  <w:style w:type="paragraph" w:styleId="Index2">
    <w:name w:val="index 2"/>
    <w:basedOn w:val="Normal"/>
    <w:next w:val="Normal"/>
    <w:semiHidden/>
    <w:rsid w:val="00232C4A"/>
    <w:pPr>
      <w:ind w:left="283"/>
    </w:pPr>
  </w:style>
  <w:style w:type="paragraph" w:styleId="Index3">
    <w:name w:val="index 3"/>
    <w:basedOn w:val="Normal"/>
    <w:next w:val="Normal"/>
    <w:semiHidden/>
    <w:rsid w:val="00232C4A"/>
    <w:pPr>
      <w:ind w:left="566"/>
    </w:pPr>
  </w:style>
  <w:style w:type="paragraph" w:customStyle="1" w:styleId="Normalaftertitle">
    <w:name w:val="Normal_after_title"/>
    <w:basedOn w:val="Normal"/>
    <w:next w:val="Normal"/>
    <w:rsid w:val="00232C4A"/>
    <w:pPr>
      <w:spacing w:before="360"/>
    </w:pPr>
  </w:style>
  <w:style w:type="character" w:styleId="PageNumber">
    <w:name w:val="page number"/>
    <w:basedOn w:val="DefaultParagraphFont"/>
    <w:rsid w:val="00232C4A"/>
  </w:style>
  <w:style w:type="paragraph" w:customStyle="1" w:styleId="PartNo">
    <w:name w:val="Part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232C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2C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32C4A"/>
  </w:style>
  <w:style w:type="paragraph" w:customStyle="1" w:styleId="RecNo">
    <w:name w:val="Rec_No"/>
    <w:basedOn w:val="Normal"/>
    <w:next w:val="Normal"/>
    <w:rsid w:val="00232C4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232C4A"/>
  </w:style>
  <w:style w:type="paragraph" w:customStyle="1" w:styleId="RecNoBR">
    <w:name w:val="Rec_No_BR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232C4A"/>
  </w:style>
  <w:style w:type="paragraph" w:customStyle="1" w:styleId="Recref">
    <w:name w:val="Rec_ref"/>
    <w:basedOn w:val="Normal"/>
    <w:next w:val="Recdat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32C4A"/>
  </w:style>
  <w:style w:type="paragraph" w:customStyle="1" w:styleId="Rectitle">
    <w:name w:val="Rec_title"/>
    <w:basedOn w:val="Normal"/>
    <w:next w:val="Normalaftertitle"/>
    <w:rsid w:val="00232C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32C4A"/>
  </w:style>
  <w:style w:type="character" w:customStyle="1" w:styleId="Recdef">
    <w:name w:val="Rec_def"/>
    <w:basedOn w:val="DefaultParagraphFont"/>
    <w:rsid w:val="00232C4A"/>
    <w:rPr>
      <w:b/>
    </w:rPr>
  </w:style>
  <w:style w:type="paragraph" w:customStyle="1" w:styleId="Reftext">
    <w:name w:val="Ref_text"/>
    <w:basedOn w:val="Normal"/>
    <w:rsid w:val="00232C4A"/>
    <w:pPr>
      <w:ind w:left="794" w:hanging="794"/>
    </w:pPr>
  </w:style>
  <w:style w:type="paragraph" w:customStyle="1" w:styleId="Reftitle">
    <w:name w:val="Ref_title"/>
    <w:basedOn w:val="Normal"/>
    <w:next w:val="Reftext"/>
    <w:rsid w:val="00232C4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2C4A"/>
  </w:style>
  <w:style w:type="paragraph" w:customStyle="1" w:styleId="RepNo">
    <w:name w:val="Rep_No"/>
    <w:basedOn w:val="RecNo"/>
    <w:next w:val="Normal"/>
    <w:rsid w:val="00232C4A"/>
  </w:style>
  <w:style w:type="paragraph" w:customStyle="1" w:styleId="RepNoBR">
    <w:name w:val="Rep_No_BR"/>
    <w:basedOn w:val="RecNoBR"/>
    <w:next w:val="Normal"/>
    <w:rsid w:val="00232C4A"/>
  </w:style>
  <w:style w:type="paragraph" w:customStyle="1" w:styleId="Repref">
    <w:name w:val="Rep_ref"/>
    <w:basedOn w:val="Recref"/>
    <w:next w:val="Repdate"/>
    <w:rsid w:val="00232C4A"/>
  </w:style>
  <w:style w:type="paragraph" w:customStyle="1" w:styleId="Reptitle">
    <w:name w:val="Rep_title"/>
    <w:basedOn w:val="Rectitle"/>
    <w:next w:val="Repref"/>
    <w:rsid w:val="00232C4A"/>
  </w:style>
  <w:style w:type="paragraph" w:customStyle="1" w:styleId="Resdate">
    <w:name w:val="Res_date"/>
    <w:basedOn w:val="Recdate"/>
    <w:next w:val="Normalaftertitle"/>
    <w:rsid w:val="00232C4A"/>
  </w:style>
  <w:style w:type="character" w:customStyle="1" w:styleId="Resdef">
    <w:name w:val="Res_def"/>
    <w:basedOn w:val="DefaultParagraphFont"/>
    <w:rsid w:val="00232C4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232C4A"/>
  </w:style>
  <w:style w:type="paragraph" w:customStyle="1" w:styleId="ResNoBR">
    <w:name w:val="Res_No_BR"/>
    <w:basedOn w:val="RecNoBR"/>
    <w:next w:val="Normal"/>
    <w:rsid w:val="00232C4A"/>
  </w:style>
  <w:style w:type="paragraph" w:customStyle="1" w:styleId="Resref">
    <w:name w:val="Res_ref"/>
    <w:basedOn w:val="Recref"/>
    <w:next w:val="Resdate"/>
    <w:rsid w:val="00232C4A"/>
  </w:style>
  <w:style w:type="paragraph" w:customStyle="1" w:styleId="Restitle">
    <w:name w:val="Res_title"/>
    <w:basedOn w:val="Rectitle"/>
    <w:next w:val="Resref"/>
    <w:rsid w:val="00232C4A"/>
  </w:style>
  <w:style w:type="paragraph" w:customStyle="1" w:styleId="Section1">
    <w:name w:val="Section_1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2C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2C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2C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2C4A"/>
    <w:rPr>
      <w:b/>
      <w:color w:val="auto"/>
    </w:rPr>
  </w:style>
  <w:style w:type="paragraph" w:customStyle="1" w:styleId="Tablehead">
    <w:name w:val="Table_head"/>
    <w:basedOn w:val="Normal"/>
    <w:next w:val="Normal"/>
    <w:rsid w:val="00232C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32C4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32C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2C4A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232C4A"/>
  </w:style>
  <w:style w:type="paragraph" w:customStyle="1" w:styleId="Title3">
    <w:name w:val="Title 3"/>
    <w:basedOn w:val="Title2"/>
    <w:next w:val="Normal"/>
    <w:rsid w:val="00232C4A"/>
    <w:rPr>
      <w:caps w:val="0"/>
    </w:rPr>
  </w:style>
  <w:style w:type="paragraph" w:customStyle="1" w:styleId="Title4">
    <w:name w:val="Title 4"/>
    <w:basedOn w:val="Title3"/>
    <w:next w:val="Heading1"/>
    <w:rsid w:val="00232C4A"/>
    <w:rPr>
      <w:b/>
    </w:rPr>
  </w:style>
  <w:style w:type="paragraph" w:customStyle="1" w:styleId="toc0">
    <w:name w:val="toc 0"/>
    <w:basedOn w:val="Normal"/>
    <w:next w:val="TOC1"/>
    <w:rsid w:val="00232C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2C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2C4A"/>
    <w:pPr>
      <w:spacing w:before="80"/>
      <w:ind w:left="1531" w:hanging="851"/>
    </w:pPr>
  </w:style>
  <w:style w:type="paragraph" w:styleId="TOC3">
    <w:name w:val="toc 3"/>
    <w:basedOn w:val="TOC2"/>
    <w:semiHidden/>
    <w:rsid w:val="00232C4A"/>
  </w:style>
  <w:style w:type="paragraph" w:styleId="TOC4">
    <w:name w:val="toc 4"/>
    <w:basedOn w:val="TOC3"/>
    <w:semiHidden/>
    <w:rsid w:val="00232C4A"/>
  </w:style>
  <w:style w:type="paragraph" w:styleId="TOC5">
    <w:name w:val="toc 5"/>
    <w:basedOn w:val="TOC4"/>
    <w:semiHidden/>
    <w:rsid w:val="00232C4A"/>
  </w:style>
  <w:style w:type="paragraph" w:styleId="TOC6">
    <w:name w:val="toc 6"/>
    <w:basedOn w:val="TOC4"/>
    <w:semiHidden/>
    <w:rsid w:val="00232C4A"/>
  </w:style>
  <w:style w:type="paragraph" w:styleId="TOC7">
    <w:name w:val="toc 7"/>
    <w:basedOn w:val="TOC4"/>
    <w:semiHidden/>
    <w:rsid w:val="00232C4A"/>
  </w:style>
  <w:style w:type="paragraph" w:styleId="TOC8">
    <w:name w:val="toc 8"/>
    <w:basedOn w:val="TOC4"/>
    <w:semiHidden/>
    <w:rsid w:val="00232C4A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rsid w:val="00C02FC4"/>
    <w:rPr>
      <w:color w:val="0000FF"/>
      <w:u w:val="single"/>
    </w:rPr>
  </w:style>
  <w:style w:type="character" w:styleId="FollowedHyperlink">
    <w:name w:val="FollowedHyperlink"/>
    <w:basedOn w:val="DefaultParagraphFont"/>
    <w:rsid w:val="001608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3A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490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90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tu.int/en/ITU-T/focusgroups/a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ooms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pari\AppData\Roaming\Microsoft\Template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3</TotalTime>
  <Pages>3</Pages>
  <Words>574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– First meeting of Focus Group on Cloud Computing (FG Cloud)</vt:lpstr>
    </vt:vector>
  </TitlesOfParts>
  <Manager>ITU-T</Manager>
  <Company>International Telecommunication Union (ITU)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 FG AVA Secretariat</dc:creator>
  <cp:keywords>All</cp:keywords>
  <cp:lastModifiedBy>Gaspari, Alexandra</cp:lastModifiedBy>
  <cp:revision>4</cp:revision>
  <cp:lastPrinted>2011-06-16T08:02:00Z</cp:lastPrinted>
  <dcterms:created xsi:type="dcterms:W3CDTF">2011-06-17T12:44:00Z</dcterms:created>
  <dcterms:modified xsi:type="dcterms:W3CDTF">2011-11-02T11:56:00Z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Cloud – LS 003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/>
  </property>
  <property fmtid="{D5CDD505-2E9C-101B-9397-08002B2CF9AE}" pid="7" name="Docauthor">
    <vt:lpwstr>Focus Group on Cloud Computing (Geneva, 14-16 June 2010)</vt:lpwstr>
  </property>
</Properties>
</file>